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中共岳普湖县委员会办公室2024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40A84DA">
      <w:r>
        <w:br w:type="page"/>
      </w:r>
    </w:p>
    <w:p w14:paraId="2AE4B0EF">
      <w:pPr>
        <w:spacing w:line="640" w:lineRule="exact"/>
        <w:jc w:val="center"/>
        <w:outlineLvl w:val="1"/>
      </w:pPr>
      <w:r>
        <w:rPr>
          <w:rFonts w:ascii="黑体" w:hAnsi="黑体" w:eastAsia="黑体"/>
          <w:sz w:val="32"/>
        </w:rPr>
        <w:t>第一部分 单位概况</w:t>
      </w:r>
    </w:p>
    <w:p w14:paraId="30CC8B4A">
      <w:pPr>
        <w:spacing w:line="640" w:lineRule="exact"/>
        <w:ind w:firstLine="640"/>
        <w:jc w:val="both"/>
        <w:outlineLvl w:val="2"/>
      </w:pPr>
      <w:r>
        <w:rPr>
          <w:rFonts w:ascii="黑体" w:hAnsi="黑体" w:eastAsia="黑体"/>
          <w:sz w:val="32"/>
        </w:rPr>
        <w:t>一、主要职能</w:t>
      </w:r>
    </w:p>
    <w:p w14:paraId="07B0AFE8">
      <w:pPr>
        <w:spacing w:line="580" w:lineRule="exact"/>
        <w:ind w:firstLine="640"/>
        <w:jc w:val="both"/>
      </w:pPr>
      <w:r>
        <w:rPr>
          <w:rFonts w:ascii="仿宋_GB2312" w:hAnsi="仿宋_GB2312" w:eastAsia="仿宋_GB2312"/>
          <w:sz w:val="32"/>
        </w:rPr>
        <w:t>负责县委日常工作的综合协调，承担与县委各议事协调机构办公室的协调工作；负责县委日常文电的处理工作，承担县委、县委办公室文件文稿的起草、修改、审核和制发、立卷、归档、清理和销毁等工作；承办对中央、自治区党委、地委和县委决策部署贯彻落实情况的督促检查和中央、自治区党委、地委和县委领导同志的指示批示、交办事项的催办落实；负责县委工作部署落实情况的督促检查和县委文件、县委领导同志指示批示的催办落实工作；负责全面了解全县、经济与社会发展情况，及时掌握各乡镇、各部门重大动态，为县委科学决策发挥参谋助手作用；围绕县委总体工作部署，负责全县重要信息的收集处理，及时向地委办公室和县委报送信息；负责中央、自治区党委、地委、县委文件和县有关文件、信件的接收、传递工作；负责县委召开会议的筹备、组织和服务工作；负责县委领导同志的公务活动安排，统筹协调副县级以上领导同志来岳进行公务活动的接待服务；负责县委规范性文件的具体服务工作；负责县委机关的安全保卫、后勤保障的协调服务工作；负责县委和县委办公室有关会议和文件材料的翻译工作；负责县委系统信息化建设的统一规划、协调和建设管理工作；负责全县档案事业行政管理，负责县档案史志馆重要档案提供利用的审批工作；负责县委全面深化改革委员会办公室具体工作；负责县委国家安全委员会办公室具体工作；负责县委财经委员会办公室具体工作；完成县委交办的其他任务。</w:t>
      </w:r>
    </w:p>
    <w:p w14:paraId="3DCE357B">
      <w:pPr>
        <w:spacing w:line="640" w:lineRule="exact"/>
        <w:ind w:firstLine="640"/>
        <w:jc w:val="both"/>
        <w:outlineLvl w:val="2"/>
      </w:pPr>
      <w:r>
        <w:rPr>
          <w:rFonts w:ascii="黑体" w:hAnsi="黑体" w:eastAsia="黑体"/>
          <w:sz w:val="32"/>
        </w:rPr>
        <w:t>二、机构设置及人员情况</w:t>
      </w:r>
    </w:p>
    <w:p w14:paraId="22E3BA5D">
      <w:pPr>
        <w:spacing w:line="580" w:lineRule="exact"/>
        <w:ind w:firstLine="640"/>
        <w:jc w:val="both"/>
      </w:pPr>
      <w:r>
        <w:rPr>
          <w:rFonts w:ascii="仿宋_GB2312" w:hAnsi="仿宋_GB2312" w:eastAsia="仿宋_GB2312"/>
          <w:sz w:val="32"/>
        </w:rPr>
        <w:t>中共岳普湖县委员会办公室2024年度，实有人数58人，其中：在职人员38人，减少2人；离休人员0人，增加0人；退休人员20人,增加2人。</w:t>
      </w:r>
    </w:p>
    <w:p w14:paraId="44B3CFFC">
      <w:pPr>
        <w:spacing w:line="580" w:lineRule="exact"/>
        <w:ind w:firstLine="640"/>
        <w:jc w:val="both"/>
      </w:pPr>
      <w:r>
        <w:rPr>
          <w:rFonts w:ascii="仿宋_GB2312" w:hAnsi="仿宋_GB2312" w:eastAsia="仿宋_GB2312"/>
          <w:sz w:val="32"/>
        </w:rPr>
        <w:t>中共岳普湖县委员会办公室无下属预算单位，下设6个科室，分别是：行政办公室、综合保障室、秘书办公室、督查办公室、信息办公室、文书处理（翻译）室。</w:t>
      </w:r>
    </w:p>
    <w:p w14:paraId="442AC549">
      <w:r>
        <w:br w:type="page"/>
      </w:r>
    </w:p>
    <w:p w14:paraId="4444417A">
      <w:pPr>
        <w:spacing w:line="240" w:lineRule="auto"/>
        <w:jc w:val="center"/>
        <w:outlineLvl w:val="1"/>
      </w:pPr>
      <w:r>
        <w:rPr>
          <w:rFonts w:ascii="黑体" w:hAnsi="黑体" w:eastAsia="黑体"/>
          <w:sz w:val="32"/>
        </w:rPr>
        <w:t>第二部分 部门决算情况说明</w:t>
      </w:r>
    </w:p>
    <w:p w14:paraId="44F71D86">
      <w:pPr>
        <w:spacing w:line="640" w:lineRule="exact"/>
        <w:ind w:firstLine="640"/>
        <w:jc w:val="both"/>
        <w:outlineLvl w:val="2"/>
      </w:pPr>
      <w:r>
        <w:rPr>
          <w:rFonts w:ascii="黑体" w:hAnsi="黑体" w:eastAsia="黑体"/>
          <w:sz w:val="32"/>
        </w:rPr>
        <w:t>一、收入支出决算总体情况说明</w:t>
      </w:r>
    </w:p>
    <w:p w14:paraId="22AE4B61">
      <w:pPr>
        <w:spacing w:line="580" w:lineRule="exact"/>
        <w:ind w:firstLine="640"/>
        <w:jc w:val="both"/>
      </w:pPr>
      <w:r>
        <w:rPr>
          <w:rFonts w:ascii="仿宋_GB2312" w:hAnsi="仿宋_GB2312" w:eastAsia="仿宋_GB2312"/>
          <w:b/>
          <w:sz w:val="32"/>
        </w:rPr>
        <w:t>2024年度收入总计928.03万元，</w:t>
      </w:r>
      <w:r>
        <w:rPr>
          <w:rFonts w:ascii="仿宋_GB2312" w:hAnsi="仿宋_GB2312" w:eastAsia="仿宋_GB2312"/>
          <w:b w:val="0"/>
          <w:sz w:val="32"/>
        </w:rPr>
        <w:t>其中：本年收入合计928.03万元，使用非财政拨款结余（含专用结余）0.00万元，年初结转和结余0.00万元。</w:t>
      </w:r>
    </w:p>
    <w:p w14:paraId="786FD71B">
      <w:pPr>
        <w:spacing w:line="580" w:lineRule="exact"/>
        <w:ind w:firstLine="640"/>
        <w:jc w:val="both"/>
      </w:pPr>
      <w:r>
        <w:rPr>
          <w:rFonts w:ascii="仿宋_GB2312" w:hAnsi="仿宋_GB2312" w:eastAsia="仿宋_GB2312"/>
          <w:b/>
          <w:sz w:val="32"/>
        </w:rPr>
        <w:t>2024年度支出总计928.03万元，</w:t>
      </w:r>
      <w:r>
        <w:rPr>
          <w:rFonts w:ascii="仿宋_GB2312" w:hAnsi="仿宋_GB2312" w:eastAsia="仿宋_GB2312"/>
          <w:b w:val="0"/>
          <w:sz w:val="32"/>
        </w:rPr>
        <w:t>其中：本年支出合计928.03万元，结余分配0.00万元，年末结转和结余0.00万元。</w:t>
      </w:r>
    </w:p>
    <w:p w14:paraId="188D8E07">
      <w:pPr>
        <w:spacing w:line="580" w:lineRule="exact"/>
        <w:ind w:firstLine="640"/>
        <w:jc w:val="both"/>
      </w:pPr>
      <w:r>
        <w:rPr>
          <w:rFonts w:ascii="仿宋_GB2312" w:hAnsi="仿宋_GB2312" w:eastAsia="仿宋_GB2312"/>
          <w:b w:val="0"/>
          <w:sz w:val="32"/>
        </w:rPr>
        <w:t>收入支出总体与上年相比，增加97.31万元，增长11.71%，主要原因是：本年在职人员工资调增，社保、公积金基数调增；本年增加年鉴出版经费、申请解决县委、县政府维稳值班系统改造费用、采购无纸化办公设备经费项目。</w:t>
      </w:r>
    </w:p>
    <w:p w14:paraId="7FE0A012">
      <w:pPr>
        <w:spacing w:line="640" w:lineRule="exact"/>
        <w:ind w:firstLine="640"/>
        <w:jc w:val="both"/>
        <w:outlineLvl w:val="2"/>
      </w:pPr>
      <w:r>
        <w:rPr>
          <w:rFonts w:ascii="黑体" w:hAnsi="黑体" w:eastAsia="黑体"/>
          <w:sz w:val="32"/>
        </w:rPr>
        <w:t>二、收入决算情况说明</w:t>
      </w:r>
    </w:p>
    <w:p w14:paraId="598701A9">
      <w:pPr>
        <w:spacing w:line="580" w:lineRule="exact"/>
        <w:ind w:firstLine="640"/>
        <w:jc w:val="both"/>
      </w:pPr>
      <w:r>
        <w:rPr>
          <w:rFonts w:ascii="仿宋_GB2312" w:hAnsi="仿宋_GB2312" w:eastAsia="仿宋_GB2312"/>
          <w:b/>
          <w:sz w:val="32"/>
        </w:rPr>
        <w:t>本年收入928.03万元，</w:t>
      </w:r>
      <w:r>
        <w:rPr>
          <w:rFonts w:ascii="仿宋_GB2312" w:hAnsi="仿宋_GB2312" w:eastAsia="仿宋_GB2312"/>
          <w:b w:val="0"/>
          <w:sz w:val="32"/>
        </w:rPr>
        <w:t>其中：财政拨款收入909.80万元，占98.04%；上级补助收入0.00万元，占0.00%；事业收入0.00万元，占0.00%；经营收入0.00万元，占0.00%；附属单位上缴收入0.00万元，占0.00%；其他收入18.23万元，占1.96%。</w:t>
      </w:r>
    </w:p>
    <w:p w14:paraId="16ADF3F5">
      <w:pPr>
        <w:spacing w:line="640" w:lineRule="exact"/>
        <w:ind w:firstLine="640"/>
        <w:jc w:val="both"/>
        <w:outlineLvl w:val="2"/>
      </w:pPr>
      <w:r>
        <w:rPr>
          <w:rFonts w:ascii="黑体" w:hAnsi="黑体" w:eastAsia="黑体"/>
          <w:sz w:val="32"/>
        </w:rPr>
        <w:t>三、支出决算情况说明</w:t>
      </w:r>
    </w:p>
    <w:p w14:paraId="15C45E98">
      <w:pPr>
        <w:spacing w:line="580" w:lineRule="exact"/>
        <w:ind w:firstLine="640"/>
        <w:jc w:val="both"/>
      </w:pPr>
      <w:r>
        <w:rPr>
          <w:rFonts w:ascii="仿宋_GB2312" w:hAnsi="仿宋_GB2312" w:eastAsia="仿宋_GB2312"/>
          <w:b/>
          <w:sz w:val="32"/>
        </w:rPr>
        <w:t>本年支出928.03万元，</w:t>
      </w:r>
      <w:r>
        <w:rPr>
          <w:rFonts w:ascii="仿宋_GB2312" w:hAnsi="仿宋_GB2312" w:eastAsia="仿宋_GB2312"/>
          <w:b w:val="0"/>
          <w:sz w:val="32"/>
        </w:rPr>
        <w:t>其中：基本支出890.54万元，占95.96%；项目支出37.48万元，占4.04%；上缴上级支出0.00万元，占0.00%；经营支出0.00万元，占0.00%；对附属单位补助支出0.00万元，占0.00%。</w:t>
      </w:r>
    </w:p>
    <w:p w14:paraId="22D957EB">
      <w:pPr>
        <w:spacing w:line="640" w:lineRule="exact"/>
        <w:ind w:firstLine="640"/>
        <w:jc w:val="both"/>
        <w:outlineLvl w:val="2"/>
      </w:pPr>
      <w:r>
        <w:rPr>
          <w:rFonts w:ascii="黑体" w:hAnsi="黑体" w:eastAsia="黑体"/>
          <w:sz w:val="32"/>
        </w:rPr>
        <w:t>四、财政拨款收入支出决算总体情况说明</w:t>
      </w:r>
    </w:p>
    <w:p w14:paraId="4BB9E355">
      <w:pPr>
        <w:spacing w:line="580" w:lineRule="exact"/>
        <w:ind w:firstLine="640"/>
        <w:jc w:val="both"/>
      </w:pPr>
      <w:r>
        <w:rPr>
          <w:rFonts w:ascii="仿宋_GB2312" w:hAnsi="仿宋_GB2312" w:eastAsia="仿宋_GB2312"/>
          <w:b/>
          <w:sz w:val="32"/>
        </w:rPr>
        <w:t>2024年度财政拨款收入总计909.80万元，</w:t>
      </w:r>
      <w:r>
        <w:rPr>
          <w:rFonts w:ascii="仿宋_GB2312" w:hAnsi="仿宋_GB2312" w:eastAsia="仿宋_GB2312"/>
          <w:b w:val="0"/>
          <w:sz w:val="32"/>
        </w:rPr>
        <w:t>其中：年初财政拨款结转和结余0.00万元，本年财政拨款收入909.80万元。</w:t>
      </w:r>
      <w:r>
        <w:rPr>
          <w:rFonts w:ascii="仿宋_GB2312" w:hAnsi="仿宋_GB2312" w:eastAsia="仿宋_GB2312"/>
          <w:b/>
          <w:sz w:val="32"/>
        </w:rPr>
        <w:t>财政拨款支出总计909.80万元，</w:t>
      </w:r>
      <w:r>
        <w:rPr>
          <w:rFonts w:ascii="仿宋_GB2312" w:hAnsi="仿宋_GB2312" w:eastAsia="仿宋_GB2312"/>
          <w:b w:val="0"/>
          <w:sz w:val="32"/>
        </w:rPr>
        <w:t>其中：年末财政拨款结转和结余0.00万元，本年财政拨款支出909.80万元。</w:t>
      </w:r>
    </w:p>
    <w:p w14:paraId="6BB8963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增加79.08万元，增长9.52%，主要原因是：本年在职人员工资调增，社保、公积金基数调增；本年增加年鉴出版经费、申请解决县委、县政府维稳值班系统改造费用。</w:t>
      </w:r>
      <w:r>
        <w:rPr>
          <w:rFonts w:ascii="仿宋_GB2312" w:hAnsi="仿宋_GB2312" w:eastAsia="仿宋_GB2312"/>
          <w:b/>
          <w:sz w:val="32"/>
        </w:rPr>
        <w:t>与年初预算相比，</w:t>
      </w:r>
      <w:r>
        <w:rPr>
          <w:rFonts w:ascii="仿宋_GB2312" w:hAnsi="仿宋_GB2312" w:eastAsia="仿宋_GB2312"/>
          <w:b w:val="0"/>
          <w:sz w:val="32"/>
        </w:rPr>
        <w:t>年初预算数938.11万元，决算数909.80万元，预决算差异率-3.02%，主要原因是：严格落实中央八项规定精神，厉行节约，减少不必要的开支。</w:t>
      </w:r>
    </w:p>
    <w:p w14:paraId="738529CF">
      <w:pPr>
        <w:spacing w:line="640" w:lineRule="exact"/>
        <w:ind w:firstLine="640"/>
        <w:jc w:val="both"/>
        <w:outlineLvl w:val="2"/>
      </w:pPr>
      <w:r>
        <w:rPr>
          <w:rFonts w:ascii="黑体" w:hAnsi="黑体" w:eastAsia="黑体"/>
          <w:sz w:val="32"/>
        </w:rPr>
        <w:t>五、一般公共预算财政拨款支出决算情况说明</w:t>
      </w:r>
    </w:p>
    <w:p w14:paraId="5EDDFEC3">
      <w:pPr>
        <w:spacing w:line="640" w:lineRule="exact"/>
        <w:ind w:firstLine="640"/>
        <w:jc w:val="both"/>
        <w:outlineLvl w:val="3"/>
      </w:pPr>
      <w:r>
        <w:rPr>
          <w:rFonts w:ascii="楷体_GB2312" w:hAnsi="楷体_GB2312" w:eastAsia="楷体_GB2312"/>
          <w:b/>
          <w:sz w:val="32"/>
        </w:rPr>
        <w:t>（一）一般公共预算财政拨款支出决算总体情况</w:t>
      </w:r>
    </w:p>
    <w:p w14:paraId="5EEE80E6">
      <w:pPr>
        <w:spacing w:line="580" w:lineRule="exact"/>
        <w:ind w:firstLine="640"/>
        <w:jc w:val="both"/>
      </w:pPr>
      <w:r>
        <w:rPr>
          <w:rFonts w:ascii="仿宋_GB2312" w:hAnsi="仿宋_GB2312" w:eastAsia="仿宋_GB2312"/>
          <w:b/>
          <w:sz w:val="32"/>
        </w:rPr>
        <w:t>2024年度一般公共预算财政拨款支出909.80万元，</w:t>
      </w:r>
      <w:r>
        <w:rPr>
          <w:rFonts w:ascii="仿宋_GB2312" w:hAnsi="仿宋_GB2312" w:eastAsia="仿宋_GB2312"/>
          <w:b w:val="0"/>
          <w:sz w:val="32"/>
        </w:rPr>
        <w:t>占本年支出合计的98.04%。</w:t>
      </w:r>
      <w:r>
        <w:rPr>
          <w:rFonts w:ascii="仿宋_GB2312" w:hAnsi="仿宋_GB2312" w:eastAsia="仿宋_GB2312"/>
          <w:b/>
          <w:sz w:val="32"/>
        </w:rPr>
        <w:t>与上年相比，</w:t>
      </w:r>
      <w:r>
        <w:rPr>
          <w:rFonts w:ascii="仿宋_GB2312" w:hAnsi="仿宋_GB2312" w:eastAsia="仿宋_GB2312"/>
          <w:b w:val="0"/>
          <w:sz w:val="32"/>
        </w:rPr>
        <w:t>增加79.08万元，增长9.52%，主要原因是：本年在职人员工资调增，社保、公积金基数调增；本年增加年鉴出版经费、申请解决县委、县政府维稳值班系统改造费用。</w:t>
      </w:r>
      <w:r>
        <w:rPr>
          <w:rFonts w:ascii="仿宋_GB2312" w:hAnsi="仿宋_GB2312" w:eastAsia="仿宋_GB2312"/>
          <w:b/>
          <w:sz w:val="32"/>
        </w:rPr>
        <w:t>与年初预算相比,</w:t>
      </w:r>
      <w:r>
        <w:rPr>
          <w:rFonts w:ascii="仿宋_GB2312" w:hAnsi="仿宋_GB2312" w:eastAsia="仿宋_GB2312"/>
          <w:b w:val="0"/>
          <w:sz w:val="32"/>
        </w:rPr>
        <w:t>年初预算数938.11万元，决算数909.80万元，预决算差异率-3.02%，主要原因是：严格落实中央八项规定精神，厉行节约，减少不必要的开支。</w:t>
      </w:r>
    </w:p>
    <w:p w14:paraId="3AB395E6">
      <w:pPr>
        <w:spacing w:line="640" w:lineRule="exact"/>
        <w:ind w:firstLine="640"/>
        <w:jc w:val="both"/>
        <w:outlineLvl w:val="3"/>
      </w:pPr>
      <w:r>
        <w:rPr>
          <w:rFonts w:ascii="楷体_GB2312" w:hAnsi="楷体_GB2312" w:eastAsia="楷体_GB2312"/>
          <w:b/>
          <w:sz w:val="32"/>
        </w:rPr>
        <w:t>（二）一般公共预算财政拨款支出决算结构情况</w:t>
      </w:r>
    </w:p>
    <w:p w14:paraId="11F0FE15">
      <w:pPr>
        <w:spacing w:line="580" w:lineRule="exact"/>
        <w:ind w:firstLine="640"/>
        <w:jc w:val="both"/>
      </w:pPr>
      <w:r>
        <w:rPr>
          <w:rFonts w:ascii="仿宋_GB2312" w:hAnsi="仿宋_GB2312" w:eastAsia="仿宋_GB2312"/>
          <w:b w:val="0"/>
          <w:sz w:val="32"/>
        </w:rPr>
        <w:t>1.一般公共服务支出(类)708.14万元,占77.83%。</w:t>
      </w:r>
    </w:p>
    <w:p w14:paraId="21603408">
      <w:pPr>
        <w:spacing w:line="580" w:lineRule="exact"/>
        <w:ind w:firstLine="640"/>
        <w:jc w:val="both"/>
      </w:pPr>
      <w:r>
        <w:rPr>
          <w:rFonts w:ascii="仿宋_GB2312" w:hAnsi="仿宋_GB2312" w:eastAsia="仿宋_GB2312"/>
          <w:b w:val="0"/>
          <w:sz w:val="32"/>
        </w:rPr>
        <w:t>2.社会保障和就业支出(类)101.43万元,占11.15%。</w:t>
      </w:r>
    </w:p>
    <w:p w14:paraId="44E571B1">
      <w:pPr>
        <w:spacing w:line="580" w:lineRule="exact"/>
        <w:ind w:firstLine="640"/>
        <w:jc w:val="both"/>
      </w:pPr>
      <w:r>
        <w:rPr>
          <w:rFonts w:ascii="仿宋_GB2312" w:hAnsi="仿宋_GB2312" w:eastAsia="仿宋_GB2312"/>
          <w:b w:val="0"/>
          <w:sz w:val="32"/>
        </w:rPr>
        <w:t>3.卫生健康支出(类)34.87万元,占3.83%。</w:t>
      </w:r>
    </w:p>
    <w:p w14:paraId="294FCDF3">
      <w:pPr>
        <w:spacing w:line="580" w:lineRule="exact"/>
        <w:ind w:firstLine="640"/>
        <w:jc w:val="both"/>
      </w:pPr>
      <w:r>
        <w:rPr>
          <w:rFonts w:ascii="仿宋_GB2312" w:hAnsi="仿宋_GB2312" w:eastAsia="仿宋_GB2312"/>
          <w:b w:val="0"/>
          <w:sz w:val="32"/>
        </w:rPr>
        <w:t>4.住房保障支出(类)56.13万元,占6.17%。</w:t>
      </w:r>
    </w:p>
    <w:p w14:paraId="6620B94D">
      <w:pPr>
        <w:spacing w:line="580" w:lineRule="exact"/>
        <w:ind w:firstLine="640"/>
        <w:jc w:val="both"/>
      </w:pPr>
      <w:r>
        <w:rPr>
          <w:rFonts w:ascii="仿宋_GB2312" w:hAnsi="仿宋_GB2312" w:eastAsia="仿宋_GB2312"/>
          <w:b w:val="0"/>
          <w:sz w:val="32"/>
        </w:rPr>
        <w:t>5.其他支出(类)9.22万元,占1.01%。</w:t>
      </w:r>
    </w:p>
    <w:p w14:paraId="59050717">
      <w:pPr>
        <w:spacing w:line="640" w:lineRule="exact"/>
        <w:ind w:firstLine="640"/>
        <w:jc w:val="both"/>
        <w:outlineLvl w:val="3"/>
      </w:pPr>
      <w:r>
        <w:rPr>
          <w:rFonts w:ascii="楷体_GB2312" w:hAnsi="楷体_GB2312" w:eastAsia="楷体_GB2312"/>
          <w:b/>
          <w:sz w:val="32"/>
        </w:rPr>
        <w:t>（三）一般公共预算财政拨款支出决算具体情况</w:t>
      </w:r>
    </w:p>
    <w:p w14:paraId="1218419B">
      <w:pPr>
        <w:spacing w:line="580" w:lineRule="exact"/>
        <w:ind w:firstLine="640"/>
        <w:jc w:val="both"/>
      </w:pPr>
      <w:r>
        <w:rPr>
          <w:rFonts w:ascii="仿宋_GB2312" w:hAnsi="仿宋_GB2312" w:eastAsia="仿宋_GB2312"/>
          <w:b w:val="0"/>
          <w:sz w:val="32"/>
        </w:rPr>
        <w:t>1.一般公共服务支出(类)党委办公厅（室）及相关机构事务(款)行政运行(项):支出决算数为698.10万元，比上年决算增加81.78万元，增长13.27%,主要原因是：本年在职人员工资调增，人员经费增加。</w:t>
      </w:r>
    </w:p>
    <w:p w14:paraId="61A718F5">
      <w:pPr>
        <w:spacing w:line="580" w:lineRule="exact"/>
        <w:ind w:firstLine="640"/>
        <w:jc w:val="both"/>
      </w:pPr>
      <w:r>
        <w:rPr>
          <w:rFonts w:ascii="仿宋_GB2312" w:hAnsi="仿宋_GB2312" w:eastAsia="仿宋_GB2312"/>
          <w:b w:val="0"/>
          <w:sz w:val="32"/>
        </w:rPr>
        <w:t>2.一般公共服务支出(类)党委办公厅（室）及相关机构事务(款)其他党委办公厅（室）及相关机构事务支出(项):支出决算数为10.03万元，比上年决算增加10.03万元，增长100.00%,主要原因是：本年增加年鉴出版经费、申请解决</w:t>
      </w:r>
      <w:r>
        <w:rPr>
          <w:rFonts w:hint="eastAsia" w:ascii="仿宋_GB2312" w:hAnsi="仿宋_GB2312" w:eastAsia="仿宋_GB2312"/>
          <w:b w:val="0"/>
          <w:sz w:val="32"/>
          <w:lang w:eastAsia="zh-CN"/>
        </w:rPr>
        <w:t>县委、县政府</w:t>
      </w:r>
      <w:r>
        <w:rPr>
          <w:rFonts w:ascii="仿宋_GB2312" w:hAnsi="仿宋_GB2312" w:eastAsia="仿宋_GB2312"/>
          <w:b w:val="0"/>
          <w:sz w:val="32"/>
        </w:rPr>
        <w:t>维稳值班系统改造费项目。</w:t>
      </w:r>
    </w:p>
    <w:p w14:paraId="241E060F">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3.社会保障和就业支出(类)行政事业单位养老支出(款)行政单位离退休(项):支出决算数为25.57万元，比上年决算增加3.77万元，增长17.29%,主要原因是：本年增加退休人员基础绩效奖，退休费支出增加。</w:t>
      </w:r>
    </w:p>
    <w:p w14:paraId="31AB3995">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69.34万元，比上年决算增加14.59万元，增长26.65%,主要原因是：本年在职人员工资基数调增，养老缴费基数上涨，相应支出增加。</w:t>
      </w:r>
    </w:p>
    <w:p w14:paraId="40DD0F12">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6.52万元，比上年决算减少4.36万元，下降40.07%,主要原因是：本年新增退休人员较上年减少，职业年金缴费较上年减少。</w:t>
      </w:r>
    </w:p>
    <w:p w14:paraId="3BCAAFBA">
      <w:pPr>
        <w:spacing w:line="580" w:lineRule="exact"/>
        <w:ind w:firstLine="640"/>
        <w:jc w:val="both"/>
      </w:pPr>
      <w:r>
        <w:rPr>
          <w:rFonts w:ascii="仿宋_GB2312" w:hAnsi="仿宋_GB2312" w:eastAsia="仿宋_GB2312"/>
          <w:b w:val="0"/>
          <w:sz w:val="32"/>
        </w:rPr>
        <w:t>6.社会保障和就业支出(类)抚恤(款)死亡抚恤(项):支出决算数为0.00万元，比上年决算减少45.88万元，下降100.00%,主要原因是：本年无新增死亡人员，死亡抚恤支出较上年减少。</w:t>
      </w:r>
    </w:p>
    <w:p w14:paraId="731EC607">
      <w:pPr>
        <w:spacing w:line="580" w:lineRule="exact"/>
        <w:ind w:firstLine="640"/>
        <w:jc w:val="both"/>
      </w:pPr>
      <w:r>
        <w:rPr>
          <w:rFonts w:ascii="仿宋_GB2312" w:hAnsi="仿宋_GB2312" w:eastAsia="仿宋_GB2312"/>
          <w:b w:val="0"/>
          <w:sz w:val="32"/>
        </w:rPr>
        <w:t>7.卫生健康支出(类)行政事业单位医疗(款)行政单位医疗(项):支出决算数为29.47万元，比上年决算减少1.99万元，下降6.33%,主要原因是：因退休人员医疗保险制度改革，退休人员基本医疗不再由单位缴纳，导致经费较上年减少。</w:t>
      </w:r>
    </w:p>
    <w:p w14:paraId="66A7A66A">
      <w:pPr>
        <w:spacing w:line="580" w:lineRule="exact"/>
        <w:ind w:firstLine="640"/>
        <w:jc w:val="both"/>
      </w:pPr>
      <w:r>
        <w:rPr>
          <w:rFonts w:ascii="仿宋_GB2312" w:hAnsi="仿宋_GB2312" w:eastAsia="仿宋_GB2312"/>
          <w:b w:val="0"/>
          <w:sz w:val="32"/>
        </w:rPr>
        <w:t>8.卫生健康支出(类)行政事业单位医疗(款)公务员医疗补助(项):支出决算数为5.41万元，比上年决算减少0.42万元，下降7.20%,主要原因是：因退休人员医疗保险制度改革，退休人员基本医疗不再由单位缴纳，导致经费较上年减少。</w:t>
      </w:r>
    </w:p>
    <w:p w14:paraId="7D46E6D1">
      <w:pPr>
        <w:spacing w:line="580" w:lineRule="exact"/>
        <w:ind w:firstLine="640"/>
        <w:jc w:val="both"/>
      </w:pPr>
      <w:r>
        <w:rPr>
          <w:rFonts w:ascii="仿宋_GB2312" w:hAnsi="仿宋_GB2312" w:eastAsia="仿宋_GB2312"/>
          <w:b w:val="0"/>
          <w:sz w:val="32"/>
        </w:rPr>
        <w:t>9.住房保障支出(类)住房改革支出(款)住房公积金(项):支出决算数为56.13万元，比上年决算增加12.32万元，增长28.12%,主要原因是：本年在职人员工资基数调增，公积金缴费基数上涨，相应支出增加。</w:t>
      </w:r>
    </w:p>
    <w:p w14:paraId="1AD16817">
      <w:pPr>
        <w:spacing w:line="580" w:lineRule="exact"/>
        <w:ind w:firstLine="640"/>
        <w:jc w:val="both"/>
      </w:pPr>
      <w:r>
        <w:rPr>
          <w:rFonts w:ascii="仿宋_GB2312" w:hAnsi="仿宋_GB2312" w:eastAsia="仿宋_GB2312"/>
          <w:b w:val="0"/>
          <w:sz w:val="32"/>
        </w:rPr>
        <w:t>10.其他支出(类)其他支出(款)其他支出(项):支出决算数为9.22万元，比上年决算增加9.22万元，增长100.00%,主要原因是：本年增加</w:t>
      </w:r>
      <w:r>
        <w:rPr>
          <w:rFonts w:hint="eastAsia" w:ascii="仿宋_GB2312" w:hAnsi="仿宋_GB2312" w:eastAsia="仿宋_GB2312"/>
          <w:b w:val="0"/>
          <w:sz w:val="32"/>
          <w:lang w:val="en-US" w:eastAsia="zh-CN"/>
        </w:rPr>
        <w:t>项目保质金</w:t>
      </w:r>
      <w:r>
        <w:rPr>
          <w:rFonts w:ascii="仿宋_GB2312" w:hAnsi="仿宋_GB2312" w:eastAsia="仿宋_GB2312"/>
          <w:b w:val="0"/>
          <w:sz w:val="32"/>
        </w:rPr>
        <w:t>支出。</w:t>
      </w:r>
    </w:p>
    <w:p w14:paraId="3C9E42D4">
      <w:pPr>
        <w:spacing w:line="640" w:lineRule="exact"/>
        <w:ind w:firstLine="640"/>
        <w:jc w:val="both"/>
        <w:outlineLvl w:val="2"/>
      </w:pPr>
      <w:r>
        <w:rPr>
          <w:rFonts w:ascii="黑体" w:hAnsi="黑体" w:eastAsia="黑体"/>
          <w:sz w:val="32"/>
        </w:rPr>
        <w:t>六、一般公共预算财政拨款基本支出决算情况说明</w:t>
      </w:r>
    </w:p>
    <w:p w14:paraId="32D7A5B3">
      <w:pPr>
        <w:spacing w:line="580" w:lineRule="exact"/>
        <w:ind w:firstLine="640"/>
        <w:jc w:val="both"/>
      </w:pPr>
      <w:r>
        <w:rPr>
          <w:rFonts w:ascii="仿宋_GB2312" w:hAnsi="仿宋_GB2312" w:eastAsia="仿宋_GB2312"/>
          <w:b w:val="0"/>
          <w:sz w:val="32"/>
        </w:rPr>
        <w:t>2024年度一般公共预算财政拨款基本支出890.54万元，其中：</w:t>
      </w:r>
      <w:r>
        <w:rPr>
          <w:rFonts w:ascii="仿宋_GB2312" w:hAnsi="仿宋_GB2312" w:eastAsia="仿宋_GB2312"/>
          <w:b/>
          <w:sz w:val="32"/>
        </w:rPr>
        <w:t>人员经费750.53万元，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奖励金。</w:t>
      </w:r>
    </w:p>
    <w:p w14:paraId="6BCCD00D">
      <w:pPr>
        <w:spacing w:line="580" w:lineRule="exact"/>
        <w:ind w:firstLine="640"/>
        <w:jc w:val="both"/>
      </w:pPr>
      <w:r>
        <w:rPr>
          <w:rFonts w:ascii="仿宋_GB2312" w:hAnsi="仿宋_GB2312" w:eastAsia="仿宋_GB2312"/>
          <w:b/>
          <w:sz w:val="32"/>
        </w:rPr>
        <w:t>公用经费140.01万元，</w:t>
      </w:r>
      <w:r>
        <w:rPr>
          <w:rFonts w:ascii="仿宋_GB2312" w:hAnsi="仿宋_GB2312" w:eastAsia="仿宋_GB2312"/>
          <w:b w:val="0"/>
          <w:sz w:val="32"/>
        </w:rPr>
        <w:t>包括：办公费、水费、电费、邮电费、取暖费、物业管理费、差旅费、维修（护）费、劳务费、公务用车运行维护费、办公设备购置。</w:t>
      </w:r>
    </w:p>
    <w:p w14:paraId="0F550B9D">
      <w:pPr>
        <w:spacing w:line="640" w:lineRule="exact"/>
        <w:ind w:firstLine="640"/>
        <w:jc w:val="both"/>
        <w:outlineLvl w:val="2"/>
      </w:pPr>
      <w:r>
        <w:rPr>
          <w:rFonts w:ascii="黑体" w:hAnsi="黑体" w:eastAsia="黑体"/>
          <w:sz w:val="32"/>
        </w:rPr>
        <w:t>七、政府性基金预算财政拨款收入支出决算情况说明</w:t>
      </w:r>
    </w:p>
    <w:p w14:paraId="518DBCD1">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590C0DA">
      <w:pPr>
        <w:spacing w:line="640" w:lineRule="exact"/>
        <w:ind w:firstLine="640"/>
        <w:jc w:val="both"/>
        <w:outlineLvl w:val="2"/>
      </w:pPr>
      <w:r>
        <w:rPr>
          <w:rFonts w:ascii="黑体" w:hAnsi="黑体" w:eastAsia="黑体"/>
          <w:sz w:val="32"/>
        </w:rPr>
        <w:t>八、国有资本经营预算财政拨款收入支出决算情况说明</w:t>
      </w:r>
    </w:p>
    <w:p w14:paraId="6B4A76EE">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1767A89">
      <w:pPr>
        <w:spacing w:line="640" w:lineRule="exact"/>
        <w:ind w:firstLine="640"/>
        <w:jc w:val="both"/>
        <w:outlineLvl w:val="2"/>
      </w:pPr>
      <w:r>
        <w:rPr>
          <w:rFonts w:ascii="黑体" w:hAnsi="黑体" w:eastAsia="黑体"/>
          <w:sz w:val="32"/>
        </w:rPr>
        <w:t>九、财政拨款“三公”经费支出决算情况说明</w:t>
      </w:r>
    </w:p>
    <w:p w14:paraId="58358D89">
      <w:pPr>
        <w:spacing w:line="580" w:lineRule="exact"/>
        <w:ind w:firstLine="640"/>
        <w:jc w:val="both"/>
      </w:pPr>
      <w:r>
        <w:rPr>
          <w:rFonts w:ascii="仿宋_GB2312" w:hAnsi="仿宋_GB2312" w:eastAsia="仿宋_GB2312"/>
          <w:b/>
          <w:sz w:val="32"/>
        </w:rPr>
        <w:t>2024年度财政拨款“三公”经费支出25.41万元，</w:t>
      </w:r>
      <w:r>
        <w:rPr>
          <w:rFonts w:ascii="仿宋_GB2312" w:hAnsi="仿宋_GB2312" w:eastAsia="仿宋_GB2312"/>
          <w:b w:val="0"/>
          <w:sz w:val="32"/>
        </w:rPr>
        <w:t>比上年减少0.52万元，下降2.01%，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25.41万元，占100.00%，比上年减少0.52万元，下降2.01%，主要原因是：严格落实中央八项规定精神，厉行节约，减少公务用车运行维护费。公务接待费支出0.00万元，占0.00%，比上年增加0.00万元，增长0.00%，主要原因是：2023年与2024年均未安排公务接待费支出。</w:t>
      </w:r>
    </w:p>
    <w:p w14:paraId="34557E5D">
      <w:pPr>
        <w:spacing w:line="580" w:lineRule="exact"/>
        <w:ind w:firstLine="640"/>
        <w:jc w:val="both"/>
      </w:pPr>
      <w:r>
        <w:rPr>
          <w:rFonts w:ascii="仿宋_GB2312" w:hAnsi="仿宋_GB2312" w:eastAsia="仿宋_GB2312"/>
          <w:b/>
          <w:sz w:val="32"/>
        </w:rPr>
        <w:t>具体情况如下：</w:t>
      </w:r>
    </w:p>
    <w:p w14:paraId="613FF6ED">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69A5B73">
      <w:pPr>
        <w:spacing w:line="580" w:lineRule="exact"/>
        <w:ind w:firstLine="640"/>
        <w:jc w:val="both"/>
      </w:pPr>
      <w:r>
        <w:rPr>
          <w:rFonts w:ascii="仿宋_GB2312" w:hAnsi="仿宋_GB2312" w:eastAsia="仿宋_GB2312"/>
          <w:b w:val="0"/>
          <w:sz w:val="32"/>
        </w:rPr>
        <w:t>公务用车购置及运行维护费25.41万元，其中：公务用车购置费0.00万元，公务用车运行维护费25.41万元。公务用车运行维护费开支内容包括车辆加油费、维修费、保险费、审车费、过路费等。公务用车购置数0辆，公务用车保有量11辆。国有资产占用情况中固定资产车辆11辆，与公务用车保有量差异原因是：本单位固定资产车辆与公务用车保有量一致无差异。</w:t>
      </w:r>
    </w:p>
    <w:p w14:paraId="3A912E64">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EAAC945">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25.41万元，决算数25.41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25.41万元，决算数25.41万元，预决算差异率0.00%，主要原因是：严格按照预算执行，预决算无差异。公务接待费全年预算数0.00万元，决算数0.00万元，预决算差异率0.00%，主要原因是：本单位无公务接待费。</w:t>
      </w:r>
    </w:p>
    <w:p w14:paraId="489D767A">
      <w:pPr>
        <w:spacing w:line="640" w:lineRule="exact"/>
        <w:ind w:firstLine="640"/>
        <w:jc w:val="both"/>
        <w:outlineLvl w:val="2"/>
      </w:pPr>
      <w:r>
        <w:rPr>
          <w:rFonts w:ascii="黑体" w:hAnsi="黑体" w:eastAsia="黑体"/>
          <w:sz w:val="32"/>
        </w:rPr>
        <w:t>十、其他重要事项的情况说明</w:t>
      </w:r>
    </w:p>
    <w:p w14:paraId="2F3D54CB">
      <w:pPr>
        <w:spacing w:line="640" w:lineRule="exact"/>
        <w:ind w:firstLine="640"/>
        <w:jc w:val="both"/>
        <w:outlineLvl w:val="3"/>
      </w:pPr>
      <w:r>
        <w:rPr>
          <w:rFonts w:ascii="楷体_GB2312" w:hAnsi="楷体_GB2312" w:eastAsia="楷体_GB2312"/>
          <w:b/>
          <w:sz w:val="32"/>
        </w:rPr>
        <w:t>（一）机关运行经费及公用经费支出情况</w:t>
      </w:r>
    </w:p>
    <w:p w14:paraId="4AC1A98D">
      <w:pPr>
        <w:spacing w:line="580" w:lineRule="exact"/>
        <w:ind w:firstLine="640"/>
        <w:jc w:val="both"/>
      </w:pPr>
      <w:r>
        <w:rPr>
          <w:rFonts w:ascii="仿宋_GB2312" w:hAnsi="仿宋_GB2312" w:eastAsia="仿宋_GB2312"/>
          <w:b w:val="0"/>
          <w:sz w:val="32"/>
        </w:rPr>
        <w:t>2024年度中共岳普湖县委员会办公室（行政单位和参照公务员法管理事业单位）机关运行经费支出140.01万元，比上年增加15.51万元，增长12.46%，主要原因是：本年度增加采购无纸化办公设备，导致机关运行经费较上年增加。</w:t>
      </w:r>
    </w:p>
    <w:p w14:paraId="212B1195">
      <w:pPr>
        <w:spacing w:line="640" w:lineRule="exact"/>
        <w:ind w:firstLine="640"/>
        <w:jc w:val="both"/>
        <w:outlineLvl w:val="3"/>
      </w:pPr>
      <w:r>
        <w:rPr>
          <w:rFonts w:ascii="楷体_GB2312" w:hAnsi="楷体_GB2312" w:eastAsia="楷体_GB2312"/>
          <w:b/>
          <w:sz w:val="32"/>
        </w:rPr>
        <w:t>（二）政府采购情况</w:t>
      </w:r>
    </w:p>
    <w:p w14:paraId="6155A208">
      <w:pPr>
        <w:spacing w:line="580" w:lineRule="exact"/>
        <w:ind w:firstLine="640"/>
        <w:jc w:val="both"/>
      </w:pPr>
      <w:r>
        <w:rPr>
          <w:rFonts w:ascii="仿宋_GB2312" w:hAnsi="仿宋_GB2312" w:eastAsia="仿宋_GB2312"/>
          <w:b w:val="0"/>
          <w:sz w:val="32"/>
        </w:rPr>
        <w:t>2024年度政府采购支出总额17.71万元，其中：政府采购货物支出5.12万元、政府采购工程支出0.00万元、政府采购服务支出12.59万元。</w:t>
      </w:r>
    </w:p>
    <w:p w14:paraId="6105378A">
      <w:pPr>
        <w:spacing w:line="580" w:lineRule="exact"/>
        <w:ind w:firstLine="640"/>
        <w:jc w:val="both"/>
      </w:pPr>
      <w:r>
        <w:rPr>
          <w:rFonts w:ascii="仿宋_GB2312" w:hAnsi="仿宋_GB2312" w:eastAsia="仿宋_GB2312"/>
          <w:b w:val="0"/>
          <w:sz w:val="32"/>
        </w:rPr>
        <w:t>授予中小企业合同金额17.71万元，占政府采购支出总额的100.00%，其中：授予小微企业合同金额17.71万元，占政府采购支出总额的100.00%。</w:t>
      </w:r>
    </w:p>
    <w:p w14:paraId="3778C540">
      <w:pPr>
        <w:spacing w:line="640" w:lineRule="exact"/>
        <w:ind w:firstLine="640"/>
        <w:jc w:val="both"/>
        <w:outlineLvl w:val="3"/>
      </w:pPr>
      <w:r>
        <w:rPr>
          <w:rFonts w:ascii="楷体_GB2312" w:hAnsi="楷体_GB2312" w:eastAsia="楷体_GB2312"/>
          <w:b/>
          <w:sz w:val="32"/>
        </w:rPr>
        <w:t>（三）国有资产占用情况说明</w:t>
      </w:r>
    </w:p>
    <w:p w14:paraId="23D36FCD">
      <w:pPr>
        <w:spacing w:line="580" w:lineRule="exact"/>
        <w:ind w:firstLine="640"/>
        <w:jc w:val="both"/>
      </w:pPr>
      <w:r>
        <w:rPr>
          <w:rFonts w:ascii="仿宋_GB2312" w:hAnsi="仿宋_GB2312" w:eastAsia="仿宋_GB2312"/>
          <w:b w:val="0"/>
          <w:sz w:val="32"/>
        </w:rPr>
        <w:t>截至2024年12月31日，房屋3,832.07平方米，价值385.60万元。车辆11辆，价值279.13万元，其中：副部（省）级及以上领导用车0辆、主要负责人用车0辆、机要通信用车0辆、应急保障用车0辆、执法执勤用车0辆、特种专业技术用车0辆、离退休干部服务用车0辆、其他用车11辆，其他用车主要是：一般公务用车。单价100万元（含）以上设备（不含车辆）0台（套）。</w:t>
      </w:r>
    </w:p>
    <w:p w14:paraId="0DD89055">
      <w:pPr>
        <w:spacing w:line="640" w:lineRule="exact"/>
        <w:ind w:firstLine="640"/>
        <w:jc w:val="both"/>
        <w:outlineLvl w:val="2"/>
      </w:pPr>
      <w:r>
        <w:rPr>
          <w:rFonts w:ascii="黑体" w:hAnsi="黑体" w:eastAsia="黑体"/>
          <w:sz w:val="32"/>
        </w:rPr>
        <w:t>十一、预算绩效的情况说明</w:t>
      </w:r>
    </w:p>
    <w:p w14:paraId="642FB154">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根据预算绩效管理要求，本单位2024年度预算绩效管理形成整体支出绩效自评表1个，全年预算总额928.02万元，实际执行总额928.02万元；预算绩效评价项目</w:t>
      </w:r>
      <w:r>
        <w:rPr>
          <w:rFonts w:hint="eastAsia" w:ascii="仿宋_GB2312" w:hAnsi="仿宋_GB2312" w:eastAsia="仿宋_GB2312"/>
          <w:b w:val="0"/>
          <w:sz w:val="32"/>
          <w:lang w:val="en-US" w:eastAsia="zh-CN"/>
        </w:rPr>
        <w:t>3</w:t>
      </w:r>
      <w:r>
        <w:rPr>
          <w:rFonts w:ascii="仿宋_GB2312" w:hAnsi="仿宋_GB2312" w:eastAsia="仿宋_GB2312"/>
          <w:b w:val="0"/>
          <w:sz w:val="32"/>
        </w:rPr>
        <w:t>个，全年预算数37.48万元，全年执行数37.48万元。预算绩效管理取得的成效：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预算绩效项目自评表</w:t>
      </w:r>
      <w:r>
        <w:rPr>
          <w:rFonts w:hint="eastAsia" w:ascii="仿宋_GB2312" w:hAnsi="仿宋_GB2312" w:eastAsia="仿宋_GB2312"/>
          <w:b w:val="0"/>
          <w:sz w:val="32"/>
          <w:lang w:val="en-US" w:eastAsia="zh-CN"/>
        </w:rPr>
        <w:t>不予公开</w:t>
      </w:r>
      <w:r>
        <w:rPr>
          <w:rFonts w:ascii="仿宋_GB2312" w:hAnsi="仿宋_GB2312" w:eastAsia="仿宋_GB2312"/>
          <w:b w:val="0"/>
          <w:sz w:val="32"/>
        </w:rPr>
        <w:t>。发</w:t>
      </w:r>
      <w:bookmarkStart w:id="0" w:name="_GoBack"/>
      <w:bookmarkEnd w:id="0"/>
      <w:r>
        <w:rPr>
          <w:rFonts w:ascii="仿宋_GB2312" w:hAnsi="仿宋_GB2312" w:eastAsia="仿宋_GB2312"/>
          <w:b w:val="0"/>
          <w:sz w:val="32"/>
        </w:rPr>
        <w:t>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预算绩效项目自评表</w:t>
      </w:r>
      <w:r>
        <w:rPr>
          <w:rFonts w:hint="eastAsia" w:ascii="仿宋_GB2312" w:hAnsi="仿宋_GB2312" w:eastAsia="仿宋_GB2312"/>
          <w:b w:val="0"/>
          <w:sz w:val="32"/>
          <w:lang w:val="en-US" w:eastAsia="zh-CN"/>
        </w:rPr>
        <w:t>不予公开</w:t>
      </w:r>
      <w:r>
        <w:rPr>
          <w:rFonts w:ascii="仿宋_GB2312" w:hAnsi="仿宋_GB2312" w:eastAsia="仿宋_GB2312"/>
          <w:b w:val="0"/>
          <w:sz w:val="32"/>
        </w:rPr>
        <w:t>。下一步改进措施：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预算绩效项目自评表</w:t>
      </w:r>
      <w:r>
        <w:rPr>
          <w:rFonts w:hint="eastAsia" w:ascii="仿宋_GB2312" w:hAnsi="仿宋_GB2312" w:eastAsia="仿宋_GB2312"/>
          <w:b w:val="0"/>
          <w:sz w:val="32"/>
          <w:lang w:val="en-US" w:eastAsia="zh-CN"/>
        </w:rPr>
        <w:t>不予公开</w:t>
      </w:r>
      <w:r>
        <w:rPr>
          <w:rFonts w:ascii="仿宋_GB2312" w:hAnsi="仿宋_GB2312" w:eastAsia="仿宋_GB2312"/>
          <w:b w:val="0"/>
          <w:sz w:val="32"/>
        </w:rPr>
        <w:t>。具体附整体支出绩效自评表。</w:t>
      </w:r>
    </w:p>
    <w:p w14:paraId="314E6D37">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40B6312">
        <w:tblPrEx>
          <w:tblCellMar>
            <w:top w:w="0" w:type="dxa"/>
            <w:left w:w="108" w:type="dxa"/>
            <w:bottom w:w="0" w:type="dxa"/>
            <w:right w:w="108" w:type="dxa"/>
          </w:tblCellMar>
        </w:tblPrEx>
        <w:tc>
          <w:tcPr>
            <w:tcW w:w="8847" w:type="dxa"/>
            <w:gridSpan w:val="9"/>
            <w:vAlign w:val="center"/>
          </w:tcPr>
          <w:p w14:paraId="338F0BEF">
            <w:pPr>
              <w:jc w:val="center"/>
            </w:pPr>
            <w:r>
              <w:rPr>
                <w:rFonts w:ascii="宋体" w:hAnsi="宋体" w:eastAsia="宋体"/>
                <w:sz w:val="24"/>
              </w:rPr>
              <w:t>单位整体支出绩效自评表</w:t>
            </w:r>
          </w:p>
        </w:tc>
      </w:tr>
      <w:tr w14:paraId="724DB7CD">
        <w:tblPrEx>
          <w:tblCellMar>
            <w:top w:w="0" w:type="dxa"/>
            <w:left w:w="108" w:type="dxa"/>
            <w:bottom w:w="0" w:type="dxa"/>
            <w:right w:w="108" w:type="dxa"/>
          </w:tblCellMar>
        </w:tblPrEx>
        <w:tc>
          <w:tcPr>
            <w:tcW w:w="8847" w:type="dxa"/>
            <w:gridSpan w:val="9"/>
            <w:vAlign w:val="center"/>
          </w:tcPr>
          <w:p w14:paraId="63CFF071">
            <w:pPr>
              <w:jc w:val="center"/>
            </w:pPr>
            <w:r>
              <w:rPr>
                <w:rFonts w:ascii="宋体" w:hAnsi="宋体" w:eastAsia="宋体"/>
                <w:sz w:val="24"/>
              </w:rPr>
              <w:t>（2024年度）</w:t>
            </w:r>
          </w:p>
        </w:tc>
      </w:tr>
      <w:tr w14:paraId="5C25D4E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4AAF7D">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A681020">
            <w:pPr>
              <w:jc w:val="center"/>
            </w:pPr>
            <w:r>
              <w:rPr>
                <w:rFonts w:ascii="宋体" w:hAnsi="宋体" w:eastAsia="宋体"/>
                <w:sz w:val="16"/>
              </w:rPr>
              <w:t>中共岳普湖县委员会办公室</w:t>
            </w:r>
          </w:p>
        </w:tc>
      </w:tr>
      <w:tr w14:paraId="3027260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679B22">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C3DBDE">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ED2B53">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FAEB2F">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6256CA">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EE8907">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9B746A">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993F4">
            <w:pPr>
              <w:jc w:val="center"/>
            </w:pPr>
            <w:r>
              <w:rPr>
                <w:rFonts w:ascii="宋体" w:hAnsi="宋体" w:eastAsia="宋体"/>
                <w:sz w:val="16"/>
              </w:rPr>
              <w:t>得分</w:t>
            </w:r>
          </w:p>
        </w:tc>
      </w:tr>
      <w:tr w14:paraId="41379D3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0E938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7DA567">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71A758">
            <w:pPr>
              <w:jc w:val="center"/>
            </w:pPr>
            <w:r>
              <w:rPr>
                <w:rFonts w:ascii="宋体" w:hAnsi="宋体" w:eastAsia="宋体"/>
                <w:sz w:val="16"/>
              </w:rPr>
              <w:t>938.10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A4859C">
            <w:pPr>
              <w:jc w:val="center"/>
            </w:pPr>
            <w:r>
              <w:rPr>
                <w:rFonts w:ascii="宋体" w:hAnsi="宋体" w:eastAsia="宋体"/>
                <w:sz w:val="16"/>
              </w:rPr>
              <w:t>928.02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D9C907">
            <w:pPr>
              <w:jc w:val="center"/>
            </w:pPr>
            <w:r>
              <w:rPr>
                <w:rFonts w:ascii="宋体" w:hAnsi="宋体" w:eastAsia="宋体"/>
                <w:sz w:val="16"/>
              </w:rPr>
              <w:t>928.02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8A7FC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F10CC2">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260AB5">
            <w:pPr>
              <w:jc w:val="center"/>
            </w:pPr>
            <w:r>
              <w:rPr>
                <w:rFonts w:ascii="宋体" w:hAnsi="宋体" w:eastAsia="宋体"/>
                <w:sz w:val="16"/>
              </w:rPr>
              <w:t>10</w:t>
            </w:r>
          </w:p>
        </w:tc>
      </w:tr>
      <w:tr w14:paraId="02DA3F0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C5CE4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0F45A6">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039825">
            <w:pPr>
              <w:jc w:val="center"/>
            </w:pPr>
            <w:r>
              <w:rPr>
                <w:rFonts w:ascii="宋体" w:hAnsi="宋体" w:eastAsia="宋体"/>
                <w:sz w:val="16"/>
              </w:rPr>
              <w:t>4.20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10EBE4">
            <w:pPr>
              <w:jc w:val="center"/>
            </w:pPr>
            <w:r>
              <w:rPr>
                <w:rFonts w:ascii="宋体" w:hAnsi="宋体" w:eastAsia="宋体"/>
                <w:sz w:val="16"/>
              </w:rPr>
              <w:t>20.54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CD3887">
            <w:pPr>
              <w:jc w:val="center"/>
            </w:pPr>
            <w:r>
              <w:rPr>
                <w:rFonts w:ascii="宋体" w:hAnsi="宋体" w:eastAsia="宋体"/>
                <w:sz w:val="16"/>
              </w:rPr>
              <w:t>20.54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93DBB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3598D0">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653528">
            <w:pPr>
              <w:jc w:val="center"/>
            </w:pPr>
            <w:r>
              <w:rPr>
                <w:rFonts w:ascii="宋体" w:hAnsi="宋体" w:eastAsia="宋体"/>
                <w:sz w:val="16"/>
              </w:rPr>
              <w:t>—</w:t>
            </w:r>
          </w:p>
        </w:tc>
      </w:tr>
      <w:tr w14:paraId="79ECF9A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F140C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BA8134">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10DE86">
            <w:pPr>
              <w:jc w:val="center"/>
            </w:pPr>
            <w:r>
              <w:rPr>
                <w:rFonts w:ascii="宋体" w:hAnsi="宋体" w:eastAsia="宋体"/>
                <w:sz w:val="16"/>
              </w:rPr>
              <w:t>933.90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2D653E">
            <w:pPr>
              <w:jc w:val="center"/>
            </w:pPr>
            <w:r>
              <w:rPr>
                <w:rFonts w:ascii="宋体" w:hAnsi="宋体" w:eastAsia="宋体"/>
                <w:sz w:val="16"/>
              </w:rPr>
              <w:t>907.48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DD71E4">
            <w:pPr>
              <w:jc w:val="center"/>
            </w:pPr>
            <w:r>
              <w:rPr>
                <w:rFonts w:ascii="宋体" w:hAnsi="宋体" w:eastAsia="宋体"/>
                <w:sz w:val="16"/>
              </w:rPr>
              <w:t>907.48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BA8AB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183EA4">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654158">
            <w:pPr>
              <w:jc w:val="center"/>
            </w:pPr>
            <w:r>
              <w:rPr>
                <w:rFonts w:ascii="宋体" w:hAnsi="宋体" w:eastAsia="宋体"/>
                <w:sz w:val="16"/>
              </w:rPr>
              <w:t>—</w:t>
            </w:r>
          </w:p>
        </w:tc>
      </w:tr>
      <w:tr w14:paraId="2FE2FD2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949C8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D6777C">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45AC0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7D57A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A2960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2CAB1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4799FF">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932ABD">
            <w:pPr>
              <w:jc w:val="center"/>
            </w:pPr>
            <w:r>
              <w:rPr>
                <w:rFonts w:ascii="宋体" w:hAnsi="宋体" w:eastAsia="宋体"/>
                <w:sz w:val="16"/>
              </w:rPr>
              <w:t>—</w:t>
            </w:r>
          </w:p>
        </w:tc>
      </w:tr>
      <w:tr w14:paraId="38BCC75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7510D4">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BFE39D7">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84CFE77">
            <w:pPr>
              <w:jc w:val="center"/>
            </w:pPr>
            <w:r>
              <w:rPr>
                <w:rFonts w:ascii="宋体" w:hAnsi="宋体" w:eastAsia="宋体"/>
                <w:sz w:val="16"/>
              </w:rPr>
              <w:t>实际完成情况</w:t>
            </w:r>
          </w:p>
        </w:tc>
      </w:tr>
      <w:tr w14:paraId="71B42F1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62D149"/>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3166105">
            <w:pPr>
              <w:jc w:val="both"/>
            </w:pPr>
            <w:r>
              <w:rPr>
                <w:rFonts w:ascii="宋体" w:hAnsi="宋体" w:eastAsia="宋体"/>
                <w:sz w:val="16"/>
              </w:rPr>
              <w:t>保障全县督导检查工作390次、形成督查报告14个。提升档案法治建设规范性，保障会务和政务服务工作。充分发挥</w:t>
            </w:r>
            <w:r>
              <w:rPr>
                <w:rFonts w:hint="eastAsia" w:ascii="宋体" w:hAnsi="宋体"/>
                <w:sz w:val="16"/>
                <w:lang w:eastAsia="zh-CN"/>
              </w:rPr>
              <w:t>总揽全局、协调各方</w:t>
            </w:r>
            <w:r>
              <w:rPr>
                <w:rFonts w:ascii="宋体" w:hAnsi="宋体" w:eastAsia="宋体"/>
                <w:sz w:val="16"/>
              </w:rPr>
              <w:t>的领导核心作用。</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7FA7856">
            <w:pPr>
              <w:jc w:val="both"/>
            </w:pPr>
            <w:r>
              <w:rPr>
                <w:rFonts w:ascii="宋体" w:hAnsi="宋体" w:eastAsia="宋体"/>
                <w:sz w:val="16"/>
              </w:rPr>
              <w:t>完成了397次全县督导检查任务，并撰写了14份详尽的督查报告。致力于发挥机构职能，注重汲取经验教训，持续优化工作流程与方法，以提升工作效率和品质。在档案法治建设领域，强化对档案法律法规的宣传与培训工作，显著提升了干部职工的档案意识及法治意识。在会务与政务服务方面，注重细节，坚持严谨细致的工作态度，确保各项活动的顺利开展。同时，积极发挥领导核心作用，加强与各部门的沟通与协调，形成工作合力，共同推进各项工作的顺利进行。</w:t>
            </w:r>
          </w:p>
        </w:tc>
      </w:tr>
      <w:tr w14:paraId="308B3C2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9FF9C5">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2A2B70">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FA6538">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DCA255">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D694F4">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65B2F4">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436E18">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87AA50">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C1E812">
            <w:pPr>
              <w:jc w:val="center"/>
            </w:pPr>
            <w:r>
              <w:rPr>
                <w:rFonts w:ascii="宋体" w:hAnsi="宋体" w:eastAsia="宋体"/>
                <w:sz w:val="16"/>
              </w:rPr>
              <w:t>得分</w:t>
            </w:r>
          </w:p>
        </w:tc>
      </w:tr>
      <w:tr w14:paraId="4D05777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F8734D">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412883">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E9567F">
            <w:pPr>
              <w:jc w:val="center"/>
            </w:pPr>
            <w:r>
              <w:rPr>
                <w:rFonts w:ascii="宋体" w:hAnsi="宋体" w:eastAsia="宋体"/>
                <w:sz w:val="16"/>
              </w:rPr>
              <w:t>督导检查次数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A1B43F">
            <w:pPr>
              <w:jc w:val="center"/>
            </w:pPr>
            <w:r>
              <w:rPr>
                <w:rFonts w:ascii="宋体" w:hAnsi="宋体" w:eastAsia="宋体"/>
                <w:sz w:val="16"/>
              </w:rPr>
              <w:t>&gt;=390次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294A6E">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46C37E">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960563">
            <w:pPr>
              <w:jc w:val="center"/>
            </w:pPr>
            <w:r>
              <w:rPr>
                <w:rFonts w:ascii="宋体" w:hAnsi="宋体" w:eastAsia="宋体"/>
                <w:sz w:val="16"/>
              </w:rPr>
              <w:t>397次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84F3A9">
            <w:pPr>
              <w:jc w:val="center"/>
            </w:pPr>
            <w:r>
              <w:rPr>
                <w:rFonts w:ascii="宋体" w:hAnsi="宋体" w:eastAsia="宋体"/>
                <w:sz w:val="16"/>
              </w:rPr>
              <w:t>101.79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3A8BE6">
            <w:pPr>
              <w:jc w:val="center"/>
            </w:pPr>
            <w:r>
              <w:rPr>
                <w:rFonts w:ascii="宋体" w:hAnsi="宋体" w:eastAsia="宋体"/>
                <w:sz w:val="16"/>
              </w:rPr>
              <w:t>18</w:t>
            </w:r>
          </w:p>
        </w:tc>
      </w:tr>
      <w:tr w14:paraId="5CB62CA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08ECD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D10AD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B61706">
            <w:pPr>
              <w:jc w:val="center"/>
            </w:pPr>
            <w:r>
              <w:rPr>
                <w:rFonts w:ascii="宋体" w:hAnsi="宋体" w:eastAsia="宋体"/>
                <w:sz w:val="16"/>
              </w:rPr>
              <w:t>形成督查报告数量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9CC344">
            <w:pPr>
              <w:jc w:val="center"/>
            </w:pPr>
            <w:r>
              <w:rPr>
                <w:rFonts w:ascii="宋体" w:hAnsi="宋体" w:eastAsia="宋体"/>
                <w:sz w:val="16"/>
              </w:rPr>
              <w:t>&gt;=14个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190832">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82B0A9">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34E173">
            <w:pPr>
              <w:jc w:val="center"/>
            </w:pPr>
            <w:r>
              <w:rPr>
                <w:rFonts w:ascii="宋体" w:hAnsi="宋体" w:eastAsia="宋体"/>
                <w:sz w:val="16"/>
              </w:rPr>
              <w:t>14个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8BA4C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F9AB83">
            <w:pPr>
              <w:jc w:val="center"/>
            </w:pPr>
            <w:r>
              <w:rPr>
                <w:rFonts w:ascii="宋体" w:hAnsi="宋体" w:eastAsia="宋体"/>
                <w:sz w:val="16"/>
              </w:rPr>
              <w:t>18</w:t>
            </w:r>
          </w:p>
        </w:tc>
      </w:tr>
      <w:tr w14:paraId="29D69D9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5A14F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31D248">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31E3D5">
            <w:pPr>
              <w:jc w:val="center"/>
            </w:pPr>
            <w:r>
              <w:rPr>
                <w:rFonts w:ascii="宋体" w:hAnsi="宋体" w:eastAsia="宋体"/>
                <w:sz w:val="16"/>
              </w:rPr>
              <w:t>优化机关事务管理覆盖面</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A54F4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68D882">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42742F">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7CB5E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0422A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0EB644">
            <w:pPr>
              <w:jc w:val="center"/>
            </w:pPr>
            <w:r>
              <w:rPr>
                <w:rFonts w:ascii="宋体" w:hAnsi="宋体" w:eastAsia="宋体"/>
                <w:sz w:val="16"/>
              </w:rPr>
              <w:t>18</w:t>
            </w:r>
          </w:p>
        </w:tc>
      </w:tr>
      <w:tr w14:paraId="3521EF9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D0681C"/>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3697AE">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6B5152">
            <w:pPr>
              <w:jc w:val="center"/>
            </w:pPr>
            <w:r>
              <w:rPr>
                <w:rFonts w:ascii="宋体" w:hAnsi="宋体" w:eastAsia="宋体"/>
                <w:sz w:val="16"/>
              </w:rPr>
              <w:t>督查任务完成及时率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7524B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67D616">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8D6C6D">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D40E9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05A0F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98D131">
            <w:pPr>
              <w:jc w:val="center"/>
            </w:pPr>
            <w:r>
              <w:rPr>
                <w:rFonts w:ascii="宋体" w:hAnsi="宋体" w:eastAsia="宋体"/>
                <w:sz w:val="16"/>
              </w:rPr>
              <w:t>18</w:t>
            </w:r>
          </w:p>
        </w:tc>
      </w:tr>
      <w:tr w14:paraId="6B155B5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A2F35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1A018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C895BE">
            <w:pPr>
              <w:jc w:val="center"/>
            </w:pPr>
            <w:r>
              <w:rPr>
                <w:rFonts w:ascii="宋体" w:hAnsi="宋体" w:eastAsia="宋体"/>
                <w:sz w:val="16"/>
              </w:rPr>
              <w:t>提升档案法治建设规范性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785BE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620B7D">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3E4AF1">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04D39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F8C8A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0C2100">
            <w:pPr>
              <w:jc w:val="center"/>
            </w:pPr>
            <w:r>
              <w:rPr>
                <w:rFonts w:ascii="宋体" w:hAnsi="宋体" w:eastAsia="宋体"/>
                <w:sz w:val="16"/>
              </w:rPr>
              <w:t>18</w:t>
            </w:r>
          </w:p>
        </w:tc>
      </w:tr>
    </w:tbl>
    <w:p w14:paraId="47D4640F">
      <w:r>
        <w:br w:type="page"/>
      </w:r>
    </w:p>
    <w:p w14:paraId="13A4C53B">
      <w:pPr>
        <w:spacing w:line="640" w:lineRule="exact"/>
        <w:ind w:firstLine="640"/>
        <w:jc w:val="both"/>
        <w:outlineLvl w:val="2"/>
      </w:pPr>
      <w:r>
        <w:rPr>
          <w:rFonts w:ascii="黑体" w:hAnsi="黑体" w:eastAsia="黑体"/>
          <w:sz w:val="32"/>
        </w:rPr>
        <w:t>十二、其他需说明的事项</w:t>
      </w:r>
    </w:p>
    <w:p w14:paraId="3B7AF7A3">
      <w:pPr>
        <w:spacing w:line="580" w:lineRule="exact"/>
        <w:ind w:firstLine="640"/>
        <w:jc w:val="both"/>
      </w:pPr>
      <w:r>
        <w:rPr>
          <w:rFonts w:ascii="仿宋_GB2312" w:hAnsi="仿宋_GB2312" w:eastAsia="仿宋_GB2312"/>
          <w:b w:val="0"/>
          <w:sz w:val="32"/>
        </w:rPr>
        <w:t>本年本单位SM项目3个，全年预算数37.48万元，全年执行数37.48万元。</w:t>
      </w:r>
    </w:p>
    <w:p w14:paraId="6E0B1018">
      <w:r>
        <w:br w:type="page"/>
      </w:r>
    </w:p>
    <w:p w14:paraId="7EECDAB2">
      <w:pPr>
        <w:spacing w:line="240" w:lineRule="auto"/>
        <w:jc w:val="center"/>
        <w:outlineLvl w:val="1"/>
      </w:pPr>
      <w:r>
        <w:rPr>
          <w:rFonts w:ascii="黑体" w:hAnsi="黑体" w:eastAsia="黑体"/>
          <w:sz w:val="32"/>
        </w:rPr>
        <w:t>第三部分 专业名词解释</w:t>
      </w:r>
    </w:p>
    <w:p w14:paraId="191300E8">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A0DB66E">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88B52E2">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DBFFF8B">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94595A2">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FF1159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9610251">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04A7BC2">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A6A3EC4">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337135C">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0F8A5DE">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8E9B0C9">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FE5AFF5">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71CF795">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B25B079">
      <w:r>
        <w:br w:type="page"/>
      </w:r>
    </w:p>
    <w:p w14:paraId="74919AB6">
      <w:pPr>
        <w:spacing w:line="240" w:lineRule="auto"/>
        <w:jc w:val="center"/>
        <w:outlineLvl w:val="1"/>
      </w:pPr>
      <w:r>
        <w:rPr>
          <w:rFonts w:ascii="黑体" w:hAnsi="黑体" w:eastAsia="黑体"/>
          <w:sz w:val="32"/>
        </w:rPr>
        <w:t>第四部分 部门决算报表（见附表）</w:t>
      </w:r>
    </w:p>
    <w:p w14:paraId="6CC79744">
      <w:pPr>
        <w:spacing w:line="240" w:lineRule="auto"/>
        <w:ind w:firstLine="640"/>
        <w:jc w:val="both"/>
      </w:pPr>
      <w:r>
        <w:rPr>
          <w:rFonts w:ascii="仿宋_GB2312" w:hAnsi="仿宋_GB2312" w:eastAsia="仿宋_GB2312"/>
          <w:b w:val="0"/>
          <w:sz w:val="32"/>
        </w:rPr>
        <w:t>一、《收入支出决算总表》</w:t>
      </w:r>
    </w:p>
    <w:p w14:paraId="215D8550">
      <w:pPr>
        <w:spacing w:line="240" w:lineRule="auto"/>
        <w:ind w:firstLine="640"/>
        <w:jc w:val="both"/>
      </w:pPr>
      <w:r>
        <w:rPr>
          <w:rFonts w:ascii="仿宋_GB2312" w:hAnsi="仿宋_GB2312" w:eastAsia="仿宋_GB2312"/>
          <w:b w:val="0"/>
          <w:sz w:val="32"/>
        </w:rPr>
        <w:t>二、《收入决算表》</w:t>
      </w:r>
    </w:p>
    <w:p w14:paraId="0B48DC95">
      <w:pPr>
        <w:spacing w:line="240" w:lineRule="auto"/>
        <w:ind w:firstLine="640"/>
        <w:jc w:val="both"/>
      </w:pPr>
      <w:r>
        <w:rPr>
          <w:rFonts w:ascii="仿宋_GB2312" w:hAnsi="仿宋_GB2312" w:eastAsia="仿宋_GB2312"/>
          <w:b w:val="0"/>
          <w:sz w:val="32"/>
        </w:rPr>
        <w:t>三、《支出决算表》</w:t>
      </w:r>
    </w:p>
    <w:p w14:paraId="0871B90A">
      <w:pPr>
        <w:spacing w:line="240" w:lineRule="auto"/>
        <w:ind w:firstLine="640"/>
        <w:jc w:val="both"/>
      </w:pPr>
      <w:r>
        <w:rPr>
          <w:rFonts w:ascii="仿宋_GB2312" w:hAnsi="仿宋_GB2312" w:eastAsia="仿宋_GB2312"/>
          <w:b w:val="0"/>
          <w:sz w:val="32"/>
        </w:rPr>
        <w:t>四、《财政拨款收入支出决算总表》</w:t>
      </w:r>
    </w:p>
    <w:p w14:paraId="3BFF5201">
      <w:pPr>
        <w:spacing w:line="240" w:lineRule="auto"/>
        <w:ind w:firstLine="640"/>
        <w:jc w:val="both"/>
      </w:pPr>
      <w:r>
        <w:rPr>
          <w:rFonts w:ascii="仿宋_GB2312" w:hAnsi="仿宋_GB2312" w:eastAsia="仿宋_GB2312"/>
          <w:b w:val="0"/>
          <w:sz w:val="32"/>
        </w:rPr>
        <w:t>五、《一般公共预算财政拨款支出决算表》</w:t>
      </w:r>
    </w:p>
    <w:p w14:paraId="4A1B950F">
      <w:pPr>
        <w:spacing w:line="240" w:lineRule="auto"/>
        <w:ind w:firstLine="640"/>
        <w:jc w:val="both"/>
      </w:pPr>
      <w:r>
        <w:rPr>
          <w:rFonts w:ascii="仿宋_GB2312" w:hAnsi="仿宋_GB2312" w:eastAsia="仿宋_GB2312"/>
          <w:b w:val="0"/>
          <w:sz w:val="32"/>
        </w:rPr>
        <w:t>六、《一般公共预算财政拨款基本支出决算表》</w:t>
      </w:r>
    </w:p>
    <w:p w14:paraId="51700EBF">
      <w:pPr>
        <w:spacing w:line="240" w:lineRule="auto"/>
        <w:ind w:firstLine="640"/>
        <w:jc w:val="both"/>
      </w:pPr>
      <w:r>
        <w:rPr>
          <w:rFonts w:ascii="仿宋_GB2312" w:hAnsi="仿宋_GB2312" w:eastAsia="仿宋_GB2312"/>
          <w:b w:val="0"/>
          <w:sz w:val="32"/>
        </w:rPr>
        <w:t>七、《政府性基金预算财政拨款收入支出决算表》</w:t>
      </w:r>
    </w:p>
    <w:p w14:paraId="25BF66B9">
      <w:pPr>
        <w:spacing w:line="240" w:lineRule="auto"/>
        <w:ind w:firstLine="640"/>
        <w:jc w:val="both"/>
      </w:pPr>
      <w:r>
        <w:rPr>
          <w:rFonts w:ascii="仿宋_GB2312" w:hAnsi="仿宋_GB2312" w:eastAsia="仿宋_GB2312"/>
          <w:b w:val="0"/>
          <w:sz w:val="32"/>
        </w:rPr>
        <w:t>八、《国有资本经营预算财政拨款收入支出决算表》</w:t>
      </w:r>
    </w:p>
    <w:p w14:paraId="216F1309">
      <w:pPr>
        <w:spacing w:line="240" w:lineRule="auto"/>
        <w:ind w:firstLine="640"/>
        <w:jc w:val="both"/>
      </w:pPr>
      <w:r>
        <w:rPr>
          <w:rFonts w:ascii="仿宋_GB2312" w:hAnsi="仿宋_GB2312" w:eastAsia="仿宋_GB2312"/>
          <w:b w:val="0"/>
          <w:sz w:val="32"/>
        </w:rPr>
        <w:t>九、《财政拨款“三公”经费支出决算表》</w:t>
      </w:r>
    </w:p>
    <w:p w14:paraId="2A7BE39C">
      <w:pPr>
        <w:spacing w:line="240" w:lineRule="auto"/>
        <w:ind w:firstLine="640"/>
        <w:jc w:val="both"/>
      </w:pPr>
    </w:p>
    <w:p w14:paraId="7ACBC6DA">
      <w:pPr>
        <w:spacing w:line="240" w:lineRule="auto"/>
        <w:ind w:firstLine="640"/>
        <w:jc w:val="both"/>
      </w:pPr>
    </w:p>
    <w:p w14:paraId="341BF3B3">
      <w:pPr>
        <w:spacing w:line="240" w:lineRule="auto"/>
        <w:ind w:firstLine="640"/>
        <w:jc w:val="both"/>
      </w:pPr>
    </w:p>
    <w:p w14:paraId="5B13B84D">
      <w:pPr>
        <w:spacing w:line="240" w:lineRule="auto"/>
        <w:ind w:firstLine="640"/>
        <w:jc w:val="both"/>
      </w:pPr>
    </w:p>
    <w:p w14:paraId="748E3319">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31F4592-F05E-4069-86FA-F5322877F91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C192EFB1-1A70-413E-8CD9-18EA58CE8A31}"/>
  </w:font>
  <w:font w:name="仿宋_GB2312">
    <w:panose1 w:val="02010609030101010101"/>
    <w:charset w:val="86"/>
    <w:family w:val="modern"/>
    <w:pitch w:val="default"/>
    <w:sig w:usb0="00000001" w:usb1="080E0000" w:usb2="00000000" w:usb3="00000000" w:csb0="00040000" w:csb1="00000000"/>
    <w:embedRegular r:id="rId3" w:fontKey="{91E2F73A-0AA5-4CE1-957C-1D0EDDB5D633}"/>
  </w:font>
  <w:font w:name="楷体_GB2312">
    <w:panose1 w:val="02010609030101010101"/>
    <w:charset w:val="86"/>
    <w:family w:val="auto"/>
    <w:pitch w:val="default"/>
    <w:sig w:usb0="00000001" w:usb1="080E0000" w:usb2="00000000" w:usb3="00000000" w:csb0="00040000" w:csb1="00000000"/>
    <w:embedRegular r:id="rId4" w:fontKey="{A3C751CB-B025-461F-8DEF-1EF08F60BB2B}"/>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34573"/>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C8E30CB"/>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3929</Words>
  <Characters>4486</Characters>
  <Lines>0</Lines>
  <Paragraphs>0</Paragraphs>
  <TotalTime>5</TotalTime>
  <ScaleCrop>false</ScaleCrop>
  <LinksUpToDate>false</LinksUpToDate>
  <CharactersWithSpaces>4494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2025-09-12T10:21:21Z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eyJoZGlkIjoiMGIxZTI3ODM4ZmVjOGE5NDFiYmE3OTRiMjQ5OTEyNzIiLCJ1c2VySWQiOiIzNzI2MDMzNTYifQ==</vt:lpwstr>
  </property>
</Properties>
</file>