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0A2926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中共岳普湖县委员会宣传部2024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1343F4A">
      <w:r>
        <w:br w:type="page"/>
      </w:r>
    </w:p>
    <w:p w14:paraId="7EA4E1EC">
      <w:pPr>
        <w:spacing w:line="640" w:lineRule="exact"/>
        <w:jc w:val="center"/>
        <w:outlineLvl w:val="1"/>
      </w:pPr>
      <w:r>
        <w:rPr>
          <w:rFonts w:ascii="黑体" w:hAnsi="黑体" w:eastAsia="黑体"/>
          <w:sz w:val="32"/>
        </w:rPr>
        <w:t>第一部分 单位概况</w:t>
      </w:r>
    </w:p>
    <w:p w14:paraId="7333D79B">
      <w:pPr>
        <w:spacing w:line="640" w:lineRule="exact"/>
        <w:ind w:firstLine="640"/>
        <w:jc w:val="both"/>
        <w:outlineLvl w:val="2"/>
      </w:pPr>
      <w:r>
        <w:rPr>
          <w:rFonts w:ascii="黑体" w:hAnsi="黑体" w:eastAsia="黑体"/>
          <w:sz w:val="32"/>
        </w:rPr>
        <w:t>一、主要职能</w:t>
      </w:r>
    </w:p>
    <w:p w14:paraId="4E8F6B44">
      <w:pPr>
        <w:spacing w:line="580" w:lineRule="exact"/>
        <w:ind w:firstLine="640"/>
        <w:jc w:val="both"/>
      </w:pPr>
      <w:r>
        <w:rPr>
          <w:rFonts w:ascii="仿宋_GB2312" w:hAnsi="仿宋_GB2312" w:eastAsia="仿宋_GB2312"/>
          <w:sz w:val="32"/>
        </w:rPr>
        <w:t>(1)拟定全县宣传思想工作总体发展规划，按照县委统一部署，协调宣传文化系统各部门之间的工作，负责全县宣传思想工作的指导和监督检查，负责规划组织领导全县思想政治工作，会同有关部门研究和改进群众思想教育工作，及时向县委反映重要情况，提出建议。</w:t>
      </w:r>
    </w:p>
    <w:p w14:paraId="26A26ADA">
      <w:pPr>
        <w:spacing w:line="580" w:lineRule="exact"/>
        <w:ind w:firstLine="640"/>
        <w:jc w:val="both"/>
      </w:pPr>
      <w:r>
        <w:rPr>
          <w:rFonts w:ascii="仿宋_GB2312" w:hAnsi="仿宋_GB2312" w:eastAsia="仿宋_GB2312"/>
          <w:sz w:val="32"/>
        </w:rPr>
        <w:t>(2)统筹协调党的意识形态工作，贯彻落实县委关于意识形态工作的决策部署。统筹分析研判和引导</w:t>
      </w:r>
      <w:r>
        <w:rPr>
          <w:rFonts w:hint="eastAsia" w:ascii="仿宋_GB2312" w:hAnsi="仿宋_GB2312" w:eastAsia="仿宋_GB2312"/>
          <w:sz w:val="32"/>
          <w:lang w:eastAsia="zh-CN"/>
        </w:rPr>
        <w:t>社会舆论</w:t>
      </w:r>
      <w:r>
        <w:rPr>
          <w:rFonts w:ascii="仿宋_GB2312" w:hAnsi="仿宋_GB2312" w:eastAsia="仿宋_GB2312"/>
          <w:sz w:val="32"/>
        </w:rPr>
        <w:t>，指导协调全县各新闻单位工作，负责宣传舆情和内容的分析监管。</w:t>
      </w:r>
    </w:p>
    <w:p w14:paraId="7C455117">
      <w:pPr>
        <w:spacing w:line="580" w:lineRule="exact"/>
        <w:ind w:firstLine="640"/>
        <w:jc w:val="both"/>
      </w:pPr>
      <w:r>
        <w:rPr>
          <w:rFonts w:ascii="仿宋_GB2312" w:hAnsi="仿宋_GB2312" w:eastAsia="仿宋_GB2312"/>
          <w:sz w:val="32"/>
        </w:rPr>
        <w:t>(3)统筹指导协调全县互联网宣传和信息内容管理工作。统筹协调数字新媒体的建设和管理相关工作。</w:t>
      </w:r>
    </w:p>
    <w:p w14:paraId="38D38ADC">
      <w:pPr>
        <w:spacing w:line="580" w:lineRule="exact"/>
        <w:ind w:firstLine="640"/>
        <w:jc w:val="both"/>
      </w:pPr>
      <w:r>
        <w:rPr>
          <w:rFonts w:ascii="仿宋_GB2312" w:hAnsi="仿宋_GB2312" w:eastAsia="仿宋_GB2312"/>
          <w:sz w:val="32"/>
        </w:rPr>
        <w:t>(4)负责新闻出版业的管理政策督促落实，管理新闻出版行政事务，组织协调有关行政审批工作，统筹规划和指导协调新闻出版事业、产业发展，监督管理印刷业，管理著作权，组织指导协调全县“扫黄打非”工作。</w:t>
      </w:r>
    </w:p>
    <w:p w14:paraId="4F783988">
      <w:pPr>
        <w:spacing w:line="580" w:lineRule="exact"/>
        <w:ind w:firstLine="640"/>
        <w:jc w:val="both"/>
      </w:pPr>
      <w:r>
        <w:rPr>
          <w:rFonts w:ascii="仿宋_GB2312" w:hAnsi="仿宋_GB2312" w:eastAsia="仿宋_GB2312"/>
          <w:sz w:val="32"/>
        </w:rPr>
        <w:t>(5)负责组织实施全县精神文明建设规划、协调、指导创建工作，负责规划和统筹协调全县未成年人思想道德建设工作。</w:t>
      </w:r>
    </w:p>
    <w:p w14:paraId="595A198F">
      <w:pPr>
        <w:spacing w:line="580" w:lineRule="exact"/>
        <w:ind w:firstLine="640"/>
        <w:jc w:val="both"/>
      </w:pPr>
      <w:r>
        <w:rPr>
          <w:rFonts w:ascii="仿宋_GB2312" w:hAnsi="仿宋_GB2312" w:eastAsia="仿宋_GB2312"/>
          <w:sz w:val="32"/>
        </w:rPr>
        <w:t>(6)统筹协调对外宣传工作，指导协调有关部门研究拟定对外宣传总体规划。会同有关部门组织涉疆方面的对外宣传和舆论斗争工作，做好境内外来访记者采访事务方面的工作。</w:t>
      </w:r>
    </w:p>
    <w:p w14:paraId="61D414C6">
      <w:pPr>
        <w:spacing w:line="640" w:lineRule="exact"/>
        <w:ind w:firstLine="640"/>
        <w:jc w:val="both"/>
        <w:outlineLvl w:val="2"/>
      </w:pPr>
      <w:r>
        <w:rPr>
          <w:rFonts w:ascii="黑体" w:hAnsi="黑体" w:eastAsia="黑体"/>
          <w:sz w:val="32"/>
        </w:rPr>
        <w:t>二、机构设置及人员情况</w:t>
      </w:r>
    </w:p>
    <w:p w14:paraId="24A3F194">
      <w:pPr>
        <w:spacing w:line="580" w:lineRule="exact"/>
        <w:ind w:firstLine="640"/>
        <w:jc w:val="both"/>
      </w:pPr>
      <w:r>
        <w:rPr>
          <w:rFonts w:ascii="仿宋_GB2312" w:hAnsi="仿宋_GB2312" w:eastAsia="仿宋_GB2312"/>
          <w:sz w:val="32"/>
        </w:rPr>
        <w:t>中共岳普湖县委员会宣传部2024年度，实有人数22人，其中：在职人员19人，增加2人；离休人员0人，增加0人；退休人员3人,增加0人。</w:t>
      </w:r>
    </w:p>
    <w:p w14:paraId="2D8B698C">
      <w:pPr>
        <w:spacing w:line="580" w:lineRule="exact"/>
        <w:ind w:firstLine="640"/>
        <w:jc w:val="both"/>
      </w:pPr>
      <w:r>
        <w:rPr>
          <w:rFonts w:ascii="仿宋_GB2312" w:hAnsi="仿宋_GB2312" w:eastAsia="仿宋_GB2312"/>
          <w:sz w:val="32"/>
        </w:rPr>
        <w:t>中共岳普湖县委员会宣传部无下属预算单位，下设4个科室，分别是：办公室、理论文教股、宣传新闻股、文明建设股。</w:t>
      </w:r>
    </w:p>
    <w:p w14:paraId="51999A79">
      <w:r>
        <w:br w:type="page"/>
      </w:r>
    </w:p>
    <w:p w14:paraId="342268AA">
      <w:pPr>
        <w:spacing w:line="240" w:lineRule="auto"/>
        <w:jc w:val="center"/>
        <w:outlineLvl w:val="1"/>
      </w:pPr>
      <w:r>
        <w:rPr>
          <w:rFonts w:ascii="黑体" w:hAnsi="黑体" w:eastAsia="黑体"/>
          <w:sz w:val="32"/>
        </w:rPr>
        <w:t>第二部分 部门决算情况说明</w:t>
      </w:r>
    </w:p>
    <w:p w14:paraId="1959BB24">
      <w:pPr>
        <w:spacing w:line="640" w:lineRule="exact"/>
        <w:ind w:firstLine="640"/>
        <w:jc w:val="both"/>
        <w:outlineLvl w:val="2"/>
      </w:pPr>
      <w:r>
        <w:rPr>
          <w:rFonts w:ascii="黑体" w:hAnsi="黑体" w:eastAsia="黑体"/>
          <w:sz w:val="32"/>
        </w:rPr>
        <w:t>一、收入支出决算总体情况说明</w:t>
      </w:r>
    </w:p>
    <w:p w14:paraId="2E9EC72B">
      <w:pPr>
        <w:spacing w:line="580" w:lineRule="exact"/>
        <w:ind w:firstLine="640"/>
        <w:jc w:val="both"/>
      </w:pPr>
      <w:r>
        <w:rPr>
          <w:rFonts w:ascii="仿宋_GB2312" w:hAnsi="仿宋_GB2312" w:eastAsia="仿宋_GB2312"/>
          <w:b/>
          <w:sz w:val="32"/>
        </w:rPr>
        <w:t>2024年度收入总计1,493.42万元，</w:t>
      </w:r>
      <w:r>
        <w:rPr>
          <w:rFonts w:ascii="仿宋_GB2312" w:hAnsi="仿宋_GB2312" w:eastAsia="仿宋_GB2312"/>
          <w:b w:val="0"/>
          <w:sz w:val="32"/>
        </w:rPr>
        <w:t>其中：本年收入合计1,493.42万元，使用非财政拨款结余（含专用结余）0.00万元，年初结转和结余0.00万元。</w:t>
      </w:r>
    </w:p>
    <w:p w14:paraId="42ED7F09">
      <w:pPr>
        <w:spacing w:line="580" w:lineRule="exact"/>
        <w:ind w:firstLine="640"/>
        <w:jc w:val="both"/>
      </w:pPr>
      <w:r>
        <w:rPr>
          <w:rFonts w:ascii="仿宋_GB2312" w:hAnsi="仿宋_GB2312" w:eastAsia="仿宋_GB2312"/>
          <w:b/>
          <w:sz w:val="32"/>
        </w:rPr>
        <w:t>2024年度支出总计1,493.42万元，</w:t>
      </w:r>
      <w:r>
        <w:rPr>
          <w:rFonts w:ascii="仿宋_GB2312" w:hAnsi="仿宋_GB2312" w:eastAsia="仿宋_GB2312"/>
          <w:b w:val="0"/>
          <w:sz w:val="32"/>
        </w:rPr>
        <w:t>其中：本年支出合计1,493.42万元，结余分配0.00万元，年末结转和结余0.00万元。</w:t>
      </w:r>
    </w:p>
    <w:p w14:paraId="1AF09778">
      <w:pPr>
        <w:spacing w:line="580" w:lineRule="exact"/>
        <w:ind w:firstLine="640"/>
        <w:jc w:val="both"/>
      </w:pPr>
      <w:r>
        <w:rPr>
          <w:rFonts w:ascii="仿宋_GB2312" w:hAnsi="仿宋_GB2312" w:eastAsia="仿宋_GB2312"/>
          <w:b w:val="0"/>
          <w:sz w:val="32"/>
        </w:rPr>
        <w:t>收入支出总体与上年相比，增加900.31万元，增长151.79%，主要原因是：本年在职人员增加，人员工资调薪，人员经费增加，本年增加软件正版化经费、新时代文明实践中心建设项目等经费，增加援疆项目山东援疆文化浸润项目，导致经费较上年增加。</w:t>
      </w:r>
    </w:p>
    <w:p w14:paraId="2FA6705A">
      <w:pPr>
        <w:spacing w:line="640" w:lineRule="exact"/>
        <w:ind w:firstLine="640"/>
        <w:jc w:val="both"/>
        <w:outlineLvl w:val="2"/>
      </w:pPr>
      <w:r>
        <w:rPr>
          <w:rFonts w:ascii="黑体" w:hAnsi="黑体" w:eastAsia="黑体"/>
          <w:sz w:val="32"/>
        </w:rPr>
        <w:t>二、收入决算情况说明</w:t>
      </w:r>
    </w:p>
    <w:p w14:paraId="57774718">
      <w:pPr>
        <w:spacing w:line="580" w:lineRule="exact"/>
        <w:ind w:firstLine="640"/>
        <w:jc w:val="both"/>
      </w:pPr>
      <w:r>
        <w:rPr>
          <w:rFonts w:ascii="仿宋_GB2312" w:hAnsi="仿宋_GB2312" w:eastAsia="仿宋_GB2312"/>
          <w:b/>
          <w:sz w:val="32"/>
        </w:rPr>
        <w:t>本年收入1,493.42万元，</w:t>
      </w:r>
      <w:r>
        <w:rPr>
          <w:rFonts w:ascii="仿宋_GB2312" w:hAnsi="仿宋_GB2312" w:eastAsia="仿宋_GB2312"/>
          <w:b w:val="0"/>
          <w:sz w:val="32"/>
        </w:rPr>
        <w:t>其中：财政拨款收入431.01万元，占28.86%；上级补助收入0.00万元，占0.00%；事业收入0.00万元，占0.00%；经营收入0.00万元，占0.00%；附属单位上缴收入0.00万元，占0.00%；其他收入1,062.41万元，占71.14%。</w:t>
      </w:r>
    </w:p>
    <w:p w14:paraId="766A88E8">
      <w:pPr>
        <w:spacing w:line="640" w:lineRule="exact"/>
        <w:ind w:firstLine="640"/>
        <w:jc w:val="both"/>
        <w:outlineLvl w:val="2"/>
      </w:pPr>
      <w:r>
        <w:rPr>
          <w:rFonts w:ascii="黑体" w:hAnsi="黑体" w:eastAsia="黑体"/>
          <w:sz w:val="32"/>
        </w:rPr>
        <w:t>三、支出决算情况说明</w:t>
      </w:r>
    </w:p>
    <w:p w14:paraId="04721A97">
      <w:pPr>
        <w:spacing w:line="580" w:lineRule="exact"/>
        <w:ind w:firstLine="640"/>
        <w:jc w:val="both"/>
      </w:pPr>
      <w:r>
        <w:rPr>
          <w:rFonts w:ascii="仿宋_GB2312" w:hAnsi="仿宋_GB2312" w:eastAsia="仿宋_GB2312"/>
          <w:b/>
          <w:sz w:val="32"/>
        </w:rPr>
        <w:t>本年支出1,493.42万元，</w:t>
      </w:r>
      <w:r>
        <w:rPr>
          <w:rFonts w:ascii="仿宋_GB2312" w:hAnsi="仿宋_GB2312" w:eastAsia="仿宋_GB2312"/>
          <w:b w:val="0"/>
          <w:sz w:val="32"/>
        </w:rPr>
        <w:t>其中：基本支出303.83万元，占20.34%；项目支出1,189.59万元，占79.66%；上缴上级支出0.00万元，占0.00%；经营支出0.00万元，占0.00%；对附属单位补助支出0.00万元，占0.00%。</w:t>
      </w:r>
    </w:p>
    <w:p w14:paraId="2A5E5CA1">
      <w:pPr>
        <w:spacing w:line="640" w:lineRule="exact"/>
        <w:ind w:firstLine="640"/>
        <w:jc w:val="both"/>
        <w:outlineLvl w:val="2"/>
      </w:pPr>
      <w:r>
        <w:rPr>
          <w:rFonts w:ascii="黑体" w:hAnsi="黑体" w:eastAsia="黑体"/>
          <w:sz w:val="32"/>
        </w:rPr>
        <w:t>四、财政拨款收入支出决算总体情况说明</w:t>
      </w:r>
    </w:p>
    <w:p w14:paraId="7F6C7CA7">
      <w:pPr>
        <w:spacing w:line="580" w:lineRule="exact"/>
        <w:ind w:firstLine="640"/>
        <w:jc w:val="both"/>
      </w:pPr>
      <w:r>
        <w:rPr>
          <w:rFonts w:ascii="仿宋_GB2312" w:hAnsi="仿宋_GB2312" w:eastAsia="仿宋_GB2312"/>
          <w:b/>
          <w:sz w:val="32"/>
        </w:rPr>
        <w:t>2024年度财政拨款收入总计431.01万元，</w:t>
      </w:r>
      <w:r>
        <w:rPr>
          <w:rFonts w:ascii="仿宋_GB2312" w:hAnsi="仿宋_GB2312" w:eastAsia="仿宋_GB2312"/>
          <w:b w:val="0"/>
          <w:sz w:val="32"/>
        </w:rPr>
        <w:t>其中：年初财政拨款结转和结余0.00万元，本年财政拨款收入431.01万元。</w:t>
      </w:r>
      <w:r>
        <w:rPr>
          <w:rFonts w:ascii="仿宋_GB2312" w:hAnsi="仿宋_GB2312" w:eastAsia="仿宋_GB2312"/>
          <w:b/>
          <w:sz w:val="32"/>
        </w:rPr>
        <w:t>财政拨款支出总计431.01万元，</w:t>
      </w:r>
      <w:r>
        <w:rPr>
          <w:rFonts w:ascii="仿宋_GB2312" w:hAnsi="仿宋_GB2312" w:eastAsia="仿宋_GB2312"/>
          <w:b w:val="0"/>
          <w:sz w:val="32"/>
        </w:rPr>
        <w:t>其中：年末财政拨款结转和结余0.00万元，本年财政拨款支出431.01万元。</w:t>
      </w:r>
    </w:p>
    <w:p w14:paraId="63E015F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增加86.59万元，增长25.14%，主要原因是：本年在职人员增加，人员工资调薪，人员经费增加，本年增加软件正版化经费、新时代文明实践中心建设项目等经费，导致经费较上年增加。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317.35万元，决算数431.01万元，预决算差异率35.82%，主要原因是：本年在职人员增加，人员工资调薪，人员经费增加，年中追加人员经费，年中追加软件正版化经费、新时代文明实践中心建设项目等经费，导致预决算差异。</w:t>
      </w:r>
    </w:p>
    <w:p w14:paraId="4CD2D17F">
      <w:pPr>
        <w:spacing w:line="640" w:lineRule="exact"/>
        <w:ind w:firstLine="640"/>
        <w:jc w:val="both"/>
        <w:outlineLvl w:val="2"/>
      </w:pPr>
      <w:r>
        <w:rPr>
          <w:rFonts w:ascii="黑体" w:hAnsi="黑体" w:eastAsia="黑体"/>
          <w:sz w:val="32"/>
        </w:rPr>
        <w:t>五、一般公共预算财政拨款支出决算情况说明</w:t>
      </w:r>
    </w:p>
    <w:p w14:paraId="2306EA7B">
      <w:pPr>
        <w:spacing w:line="640" w:lineRule="exact"/>
        <w:ind w:firstLine="640"/>
        <w:jc w:val="both"/>
        <w:outlineLvl w:val="3"/>
      </w:pPr>
      <w:r>
        <w:rPr>
          <w:rFonts w:ascii="楷体_GB2312" w:hAnsi="楷体_GB2312" w:eastAsia="楷体_GB2312"/>
          <w:b/>
          <w:sz w:val="32"/>
        </w:rPr>
        <w:t>（一）一般公共预算财政拨款支出决算总体情况</w:t>
      </w:r>
    </w:p>
    <w:p w14:paraId="6798799C">
      <w:pPr>
        <w:spacing w:line="580" w:lineRule="exact"/>
        <w:ind w:firstLine="640"/>
        <w:jc w:val="both"/>
      </w:pPr>
      <w:r>
        <w:rPr>
          <w:rFonts w:ascii="仿宋_GB2312" w:hAnsi="仿宋_GB2312" w:eastAsia="仿宋_GB2312"/>
          <w:b/>
          <w:sz w:val="32"/>
        </w:rPr>
        <w:t>2024年度一般公共预算财政拨款支出431.01万元，</w:t>
      </w:r>
      <w:r>
        <w:rPr>
          <w:rFonts w:ascii="仿宋_GB2312" w:hAnsi="仿宋_GB2312" w:eastAsia="仿宋_GB2312"/>
          <w:b w:val="0"/>
          <w:sz w:val="32"/>
        </w:rPr>
        <w:t>占本年支出合计的28.86%。</w:t>
      </w:r>
      <w:r>
        <w:rPr>
          <w:rFonts w:ascii="仿宋_GB2312" w:hAnsi="仿宋_GB2312" w:eastAsia="仿宋_GB2312"/>
          <w:b/>
          <w:sz w:val="32"/>
        </w:rPr>
        <w:t>与上年相比，</w:t>
      </w:r>
      <w:r>
        <w:rPr>
          <w:rFonts w:ascii="仿宋_GB2312" w:hAnsi="仿宋_GB2312" w:eastAsia="仿宋_GB2312"/>
          <w:b w:val="0"/>
          <w:sz w:val="32"/>
        </w:rPr>
        <w:t>增加86.59万元，增长25.14%，主要原因是：本年在职人员增加，人员工资调薪，人员经费增加，本年增加软件正版化经费、新时代文明实践中心建设项目等经费，导致经费较上年增加。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317.35万元，决算数431.01万元，预决算差异率35.82%，主要原因是：本年在职人员增加，人员工资调薪，人员经费增加，年中追加人员经费，年中追加软件正版化经费、新时代文明实践中心建设项目等经费，导致预决算差异。</w:t>
      </w:r>
    </w:p>
    <w:p w14:paraId="2895DC7F">
      <w:pPr>
        <w:spacing w:line="640" w:lineRule="exact"/>
        <w:ind w:firstLine="640"/>
        <w:jc w:val="both"/>
        <w:outlineLvl w:val="3"/>
      </w:pPr>
      <w:r>
        <w:rPr>
          <w:rFonts w:ascii="楷体_GB2312" w:hAnsi="楷体_GB2312" w:eastAsia="楷体_GB2312"/>
          <w:b/>
          <w:sz w:val="32"/>
        </w:rPr>
        <w:t>（二）一般公共预算财政拨款支出决算结构情况</w:t>
      </w:r>
    </w:p>
    <w:p w14:paraId="465CFCF0">
      <w:pPr>
        <w:spacing w:line="580" w:lineRule="exact"/>
        <w:ind w:firstLine="640"/>
        <w:jc w:val="both"/>
      </w:pPr>
      <w:r>
        <w:rPr>
          <w:rFonts w:ascii="仿宋_GB2312" w:hAnsi="仿宋_GB2312" w:eastAsia="仿宋_GB2312"/>
          <w:b w:val="0"/>
          <w:sz w:val="32"/>
        </w:rPr>
        <w:t>1.一般公共服务支出(类)235.61万元,占54.66%。</w:t>
      </w:r>
    </w:p>
    <w:p w14:paraId="70FB58EC">
      <w:pPr>
        <w:spacing w:line="580" w:lineRule="exact"/>
        <w:ind w:firstLine="640"/>
        <w:jc w:val="both"/>
      </w:pPr>
      <w:r>
        <w:rPr>
          <w:rFonts w:ascii="仿宋_GB2312" w:hAnsi="仿宋_GB2312" w:eastAsia="仿宋_GB2312"/>
          <w:b w:val="0"/>
          <w:sz w:val="32"/>
        </w:rPr>
        <w:t>2.科学技术支出(类)60.00万元,占13.92%。</w:t>
      </w:r>
    </w:p>
    <w:p w14:paraId="184C5EF7">
      <w:pPr>
        <w:spacing w:line="580" w:lineRule="exact"/>
        <w:ind w:firstLine="640"/>
        <w:jc w:val="both"/>
      </w:pPr>
      <w:r>
        <w:rPr>
          <w:rFonts w:ascii="仿宋_GB2312" w:hAnsi="仿宋_GB2312" w:eastAsia="仿宋_GB2312"/>
          <w:b w:val="0"/>
          <w:sz w:val="32"/>
        </w:rPr>
        <w:t>3.文化旅游体育与传媒支出(类)67.18万元,占15.59%。</w:t>
      </w:r>
    </w:p>
    <w:p w14:paraId="7E72D95D">
      <w:pPr>
        <w:spacing w:line="580" w:lineRule="exact"/>
        <w:ind w:firstLine="640"/>
        <w:jc w:val="both"/>
      </w:pPr>
      <w:r>
        <w:rPr>
          <w:rFonts w:ascii="仿宋_GB2312" w:hAnsi="仿宋_GB2312" w:eastAsia="仿宋_GB2312"/>
          <w:b w:val="0"/>
          <w:sz w:val="32"/>
        </w:rPr>
        <w:t>4.社会保障和就业支出(类)32.07万元,占7.44%。</w:t>
      </w:r>
    </w:p>
    <w:p w14:paraId="53EE9E44">
      <w:pPr>
        <w:spacing w:line="580" w:lineRule="exact"/>
        <w:ind w:firstLine="640"/>
        <w:jc w:val="both"/>
      </w:pPr>
      <w:r>
        <w:rPr>
          <w:rFonts w:ascii="仿宋_GB2312" w:hAnsi="仿宋_GB2312" w:eastAsia="仿宋_GB2312"/>
          <w:b w:val="0"/>
          <w:sz w:val="32"/>
        </w:rPr>
        <w:t>5.卫生健康支出(类)13.31万元,占3.09%。</w:t>
      </w:r>
    </w:p>
    <w:p w14:paraId="65E93520">
      <w:pPr>
        <w:spacing w:line="580" w:lineRule="exact"/>
        <w:ind w:firstLine="640"/>
        <w:jc w:val="both"/>
      </w:pPr>
      <w:r>
        <w:rPr>
          <w:rFonts w:ascii="仿宋_GB2312" w:hAnsi="仿宋_GB2312" w:eastAsia="仿宋_GB2312"/>
          <w:b w:val="0"/>
          <w:sz w:val="32"/>
        </w:rPr>
        <w:t>6.住房保障支出(类)22.85万元,占5.30%。</w:t>
      </w:r>
    </w:p>
    <w:p w14:paraId="73D91DB0">
      <w:pPr>
        <w:spacing w:line="640" w:lineRule="exact"/>
        <w:ind w:firstLine="640"/>
        <w:jc w:val="both"/>
        <w:outlineLvl w:val="3"/>
      </w:pPr>
      <w:r>
        <w:rPr>
          <w:rFonts w:ascii="楷体_GB2312" w:hAnsi="楷体_GB2312" w:eastAsia="楷体_GB2312"/>
          <w:b/>
          <w:sz w:val="32"/>
        </w:rPr>
        <w:t>（三）一般公共预算财政拨款支出决算具体情况</w:t>
      </w:r>
    </w:p>
    <w:p w14:paraId="14D79A27">
      <w:pPr>
        <w:spacing w:line="580" w:lineRule="exact"/>
        <w:ind w:firstLine="640"/>
        <w:jc w:val="both"/>
      </w:pPr>
      <w:r>
        <w:rPr>
          <w:rFonts w:ascii="仿宋_GB2312" w:hAnsi="仿宋_GB2312" w:eastAsia="仿宋_GB2312"/>
          <w:b w:val="0"/>
          <w:sz w:val="32"/>
        </w:rPr>
        <w:t>1.一般公共服务支出(类)宣传事务(款)行政运行(项):支出决算数为235.61万元，比上年决算增加30.43万元，增长14.83%,主要原因是：本年在职人员增加，人员工资调薪，工资等相关人员经费增加。</w:t>
      </w:r>
    </w:p>
    <w:p w14:paraId="36778E2A">
      <w:pPr>
        <w:spacing w:line="580" w:lineRule="exact"/>
        <w:ind w:firstLine="640"/>
        <w:jc w:val="both"/>
      </w:pPr>
      <w:r>
        <w:rPr>
          <w:rFonts w:ascii="仿宋_GB2312" w:hAnsi="仿宋_GB2312" w:eastAsia="仿宋_GB2312"/>
          <w:b w:val="0"/>
          <w:sz w:val="32"/>
        </w:rPr>
        <w:t>2.科学技术支出(类)技术研究与开发(款)其他技术研究与开发支出(项):支出决算数为60.00万元，比上年决算增加60.00万元，增长100.00%,主要原因是：本年增加软件正版化经费。</w:t>
      </w:r>
    </w:p>
    <w:p w14:paraId="0FA45D03">
      <w:pPr>
        <w:spacing w:line="580" w:lineRule="exact"/>
        <w:ind w:firstLine="640"/>
        <w:jc w:val="both"/>
      </w:pPr>
      <w:r>
        <w:rPr>
          <w:rFonts w:ascii="仿宋_GB2312" w:hAnsi="仿宋_GB2312" w:eastAsia="仿宋_GB2312"/>
          <w:b w:val="0"/>
          <w:sz w:val="32"/>
        </w:rPr>
        <w:t>3.文化旅游体育与传媒支出(类)其他文化旅游体育与传媒支出(款)其他文化旅游体育与传媒支出(项):支出决算数为67.18万元，比上年决算增加9.85万元，增长17.18%,主要原因是：本年新增新时代文明实践中心建设项目。</w:t>
      </w:r>
    </w:p>
    <w:p w14:paraId="4071FADE">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4.社会保障和就业支出(类)行政事业单位养老支出(款)行政单位离退休(项):支出决算数为3.72万元，比上年决算增加1.32万元，增长55.00%,主要原因是：本年增加退休人员年度考核奖，退休费支出增加。</w:t>
      </w:r>
    </w:p>
    <w:p w14:paraId="10DEB47C">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28.34万元，比上年决算增加3.62万元，增长14.64%,主要原因是：本年在职人员增加2人，在职人员工资基数调增，养老缴费基数上涨，相应支出增加。</w:t>
      </w:r>
    </w:p>
    <w:p w14:paraId="360B447C">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12.24万元，下降100.00%,主要原因是：本年无新增退休人员，职业年金缴费较上年减少。</w:t>
      </w:r>
    </w:p>
    <w:p w14:paraId="4F1F0F58">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7.卫生健康支出(类)公共卫生(款)突发公共卫生事件应急处理(项):支出决算数为0.00万元，比上年决算减少10.56万元，下降100.00%,主要原因是：本年减少中央YQ防控财力补助资金宣传经费。</w:t>
      </w:r>
    </w:p>
    <w:p w14:paraId="287C60BB">
      <w:pPr>
        <w:spacing w:line="580" w:lineRule="exact"/>
        <w:ind w:firstLine="640"/>
        <w:jc w:val="both"/>
      </w:pPr>
      <w:r>
        <w:rPr>
          <w:rFonts w:ascii="仿宋_GB2312" w:hAnsi="仿宋_GB2312" w:eastAsia="仿宋_GB2312"/>
          <w:b w:val="0"/>
          <w:sz w:val="32"/>
        </w:rPr>
        <w:t>8.卫生健康支出(类)行政事业单位医疗(款)行政单位医疗(项):支出决算数为12.05万元，比上年决算增加0.74万元，增长6.54%,主要原因是：本年在职人员增加2人，在职人员工资基数调增，医疗缴费基数上涨，相应支出增加。</w:t>
      </w:r>
    </w:p>
    <w:p w14:paraId="665D814F">
      <w:pPr>
        <w:spacing w:line="580" w:lineRule="exact"/>
        <w:ind w:firstLine="640"/>
        <w:jc w:val="both"/>
      </w:pPr>
      <w:r>
        <w:rPr>
          <w:rFonts w:ascii="仿宋_GB2312" w:hAnsi="仿宋_GB2312" w:eastAsia="仿宋_GB2312"/>
          <w:b w:val="0"/>
          <w:sz w:val="32"/>
        </w:rPr>
        <w:t>9.卫生健康支出(类)行政事业单位医疗(款)公务员医疗补助(项):支出决算数为1.26万元，比上年决算减少0.21万元，下降14.29%,主要原因是：本年在职人员调入调出，人员职级不同，缴费基数不同，导致公务员医疗补助较上年减少。</w:t>
      </w:r>
    </w:p>
    <w:p w14:paraId="38600F11">
      <w:pPr>
        <w:spacing w:line="580" w:lineRule="exact"/>
        <w:ind w:firstLine="640"/>
        <w:jc w:val="both"/>
      </w:pPr>
      <w:r>
        <w:rPr>
          <w:rFonts w:ascii="仿宋_GB2312" w:hAnsi="仿宋_GB2312" w:eastAsia="仿宋_GB2312"/>
          <w:b w:val="0"/>
          <w:sz w:val="32"/>
        </w:rPr>
        <w:t>10.住房保障支出(类)住房改革支出(款)住房公积金(项):支出决算数为22.85万元，比上年决算增加3.62万元，增长18.82%,主要原因是：本年在职人员增加2人，在职人员工资基数调增，公积金缴费基数上涨，相应支出增加。</w:t>
      </w:r>
    </w:p>
    <w:p w14:paraId="03AB28EE">
      <w:pPr>
        <w:spacing w:line="640" w:lineRule="exact"/>
        <w:ind w:firstLine="640"/>
        <w:jc w:val="both"/>
        <w:outlineLvl w:val="2"/>
      </w:pPr>
      <w:r>
        <w:rPr>
          <w:rFonts w:ascii="黑体" w:hAnsi="黑体" w:eastAsia="黑体"/>
          <w:sz w:val="32"/>
        </w:rPr>
        <w:t>六、一般公共预算财政拨款基本支出决算情况说明</w:t>
      </w:r>
    </w:p>
    <w:p w14:paraId="1C69CA03">
      <w:pPr>
        <w:spacing w:line="580" w:lineRule="exact"/>
        <w:ind w:firstLine="640"/>
        <w:jc w:val="both"/>
      </w:pPr>
      <w:r>
        <w:rPr>
          <w:rFonts w:ascii="仿宋_GB2312" w:hAnsi="仿宋_GB2312" w:eastAsia="仿宋_GB2312"/>
          <w:b w:val="0"/>
          <w:sz w:val="32"/>
        </w:rPr>
        <w:t>2024年度一般公共预算财政拨款基本支出303.83万元，其中：</w:t>
      </w:r>
      <w:r>
        <w:rPr>
          <w:rFonts w:ascii="仿宋_GB2312" w:hAnsi="仿宋_GB2312" w:eastAsia="仿宋_GB2312"/>
          <w:b/>
          <w:sz w:val="32"/>
        </w:rPr>
        <w:t>人员经费286.35万元，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w:t>
      </w:r>
    </w:p>
    <w:p w14:paraId="4847FAEC">
      <w:pPr>
        <w:spacing w:line="580" w:lineRule="exact"/>
        <w:ind w:firstLine="640"/>
        <w:jc w:val="both"/>
      </w:pPr>
      <w:r>
        <w:rPr>
          <w:rFonts w:ascii="仿宋_GB2312" w:hAnsi="仿宋_GB2312" w:eastAsia="仿宋_GB2312"/>
          <w:b/>
          <w:sz w:val="32"/>
        </w:rPr>
        <w:t>公用经费17.48万元，</w:t>
      </w:r>
      <w:r>
        <w:rPr>
          <w:rFonts w:ascii="仿宋_GB2312" w:hAnsi="仿宋_GB2312" w:eastAsia="仿宋_GB2312"/>
          <w:b w:val="0"/>
          <w:sz w:val="32"/>
        </w:rPr>
        <w:t>包括：办公费、邮电费、物业管理费、差旅费、培训费、劳务费、公务用车运行维护费、其他交通费用、其他商品和服务支出。</w:t>
      </w:r>
    </w:p>
    <w:p w14:paraId="6B3ED8DE">
      <w:pPr>
        <w:spacing w:line="640" w:lineRule="exact"/>
        <w:ind w:firstLine="640"/>
        <w:jc w:val="both"/>
        <w:outlineLvl w:val="2"/>
      </w:pPr>
      <w:r>
        <w:rPr>
          <w:rFonts w:ascii="黑体" w:hAnsi="黑体" w:eastAsia="黑体"/>
          <w:sz w:val="32"/>
        </w:rPr>
        <w:t>七、政府性基金预算财政拨款收入支出决算情况说明</w:t>
      </w:r>
    </w:p>
    <w:p w14:paraId="4A5DCF6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C5C7968">
      <w:pPr>
        <w:spacing w:line="640" w:lineRule="exact"/>
        <w:ind w:firstLine="640"/>
        <w:jc w:val="both"/>
        <w:outlineLvl w:val="2"/>
      </w:pPr>
      <w:r>
        <w:rPr>
          <w:rFonts w:ascii="黑体" w:hAnsi="黑体" w:eastAsia="黑体"/>
          <w:sz w:val="32"/>
        </w:rPr>
        <w:t>八、国有资本经营预算财政拨款收入支出决算情况说明</w:t>
      </w:r>
    </w:p>
    <w:p w14:paraId="2F73F1C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0B92C9E">
      <w:pPr>
        <w:spacing w:line="640" w:lineRule="exact"/>
        <w:ind w:firstLine="640"/>
        <w:jc w:val="both"/>
        <w:outlineLvl w:val="2"/>
      </w:pPr>
      <w:r>
        <w:rPr>
          <w:rFonts w:ascii="黑体" w:hAnsi="黑体" w:eastAsia="黑体"/>
          <w:sz w:val="32"/>
        </w:rPr>
        <w:t>九、财政拨款“三公”经费支出决算情况说明</w:t>
      </w:r>
    </w:p>
    <w:p w14:paraId="1A5D3A7D">
      <w:pPr>
        <w:spacing w:line="580" w:lineRule="exact"/>
        <w:ind w:firstLine="640"/>
        <w:jc w:val="both"/>
      </w:pPr>
      <w:r>
        <w:rPr>
          <w:rFonts w:ascii="仿宋_GB2312" w:hAnsi="仿宋_GB2312" w:eastAsia="仿宋_GB2312"/>
          <w:b/>
          <w:sz w:val="32"/>
        </w:rPr>
        <w:t>2024年度财政拨款“三公”经费支出7.47万元，</w:t>
      </w:r>
      <w:r>
        <w:rPr>
          <w:rFonts w:ascii="仿宋_GB2312" w:hAnsi="仿宋_GB2312" w:eastAsia="仿宋_GB2312"/>
          <w:b w:val="0"/>
          <w:sz w:val="32"/>
        </w:rPr>
        <w:t>比上年增加2.48万元，增长49.70%，主要原因是：本年因业务需求，用车次数增加，燃油费增加，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7.47万元，占100.00%，比上年增加2.48万元，增长49.70%，主要原因是：本年因业务需求，用车次数增加，燃油费增加，公务用车日渐老化，维修维护成本增加，导致公务用车运行维护费较上年增加。公务接待费支出0.00万元，占0.00%，比上年增加0.00万元，增长0.00%，主要原因是：2023年与2024年均未安排公务接待费支出。</w:t>
      </w:r>
    </w:p>
    <w:p w14:paraId="415A5661">
      <w:pPr>
        <w:spacing w:line="580" w:lineRule="exact"/>
        <w:ind w:firstLine="640"/>
        <w:jc w:val="both"/>
      </w:pPr>
      <w:r>
        <w:rPr>
          <w:rFonts w:ascii="仿宋_GB2312" w:hAnsi="仿宋_GB2312" w:eastAsia="仿宋_GB2312"/>
          <w:b/>
          <w:sz w:val="32"/>
        </w:rPr>
        <w:t>具体情况如下：</w:t>
      </w:r>
    </w:p>
    <w:p w14:paraId="2ACD869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E0744F7">
      <w:pPr>
        <w:spacing w:line="580" w:lineRule="exact"/>
        <w:ind w:firstLine="640"/>
        <w:jc w:val="both"/>
      </w:pPr>
      <w:r>
        <w:rPr>
          <w:rFonts w:ascii="仿宋_GB2312" w:hAnsi="仿宋_GB2312" w:eastAsia="仿宋_GB2312"/>
          <w:b w:val="0"/>
          <w:sz w:val="32"/>
        </w:rPr>
        <w:t>公务用车购置及运行维护费7.47万元，其中：公务用车购置费0.00万元，公务用车运行维护费7.47万元。公务用车运行维护费开支内容包括</w:t>
      </w:r>
      <w:r>
        <w:rPr>
          <w:rFonts w:hint="eastAsia" w:ascii="仿宋_GB2312" w:hAnsi="仿宋_GB2312" w:eastAsia="仿宋_GB2312"/>
          <w:b w:val="0"/>
          <w:sz w:val="32"/>
          <w:lang w:val="en-US" w:eastAsia="zh-CN"/>
        </w:rPr>
        <w:t>燃油费、维修费、过路费、保险费等</w:t>
      </w:r>
      <w:r>
        <w:rPr>
          <w:rFonts w:ascii="仿宋_GB2312" w:hAnsi="仿宋_GB2312" w:eastAsia="仿宋_GB2312"/>
          <w:b w:val="0"/>
          <w:sz w:val="32"/>
        </w:rPr>
        <w:t>。公务用车购置数0辆，公务用车保有量3辆。国有资产占用情况中固定资产车辆3辆，与公务用车保有量差异原因是：本单位固定资产车辆与公务用车保有量一致无差异。</w:t>
      </w:r>
    </w:p>
    <w:p w14:paraId="31FA063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CCD47B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7.47万元，决算数7.47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7.47万元，决算数7.47万元，预决算差异率0.00%，主要原因是：严格按照预算执行，预决算无差异。公务接待费全年预算数0.00万元，决算数0.00万元，预决算差异率0.00%，主要原因是：本单位无公务接待费。</w:t>
      </w:r>
    </w:p>
    <w:p w14:paraId="7C208A92">
      <w:pPr>
        <w:spacing w:line="640" w:lineRule="exact"/>
        <w:ind w:firstLine="640"/>
        <w:jc w:val="both"/>
        <w:outlineLvl w:val="2"/>
      </w:pPr>
      <w:r>
        <w:rPr>
          <w:rFonts w:ascii="黑体" w:hAnsi="黑体" w:eastAsia="黑体"/>
          <w:sz w:val="32"/>
        </w:rPr>
        <w:t>十、其他重要事项的情况说明</w:t>
      </w:r>
    </w:p>
    <w:p w14:paraId="4564B593">
      <w:pPr>
        <w:spacing w:line="640" w:lineRule="exact"/>
        <w:ind w:firstLine="640"/>
        <w:jc w:val="both"/>
        <w:outlineLvl w:val="3"/>
      </w:pPr>
      <w:r>
        <w:rPr>
          <w:rFonts w:ascii="楷体_GB2312" w:hAnsi="楷体_GB2312" w:eastAsia="楷体_GB2312"/>
          <w:b/>
          <w:sz w:val="32"/>
        </w:rPr>
        <w:t>（一）机关运行经费及公用经费支出情况</w:t>
      </w:r>
    </w:p>
    <w:p w14:paraId="6EEF49AE">
      <w:pPr>
        <w:spacing w:line="580" w:lineRule="exact"/>
        <w:ind w:firstLine="640"/>
        <w:jc w:val="both"/>
      </w:pPr>
      <w:r>
        <w:rPr>
          <w:rFonts w:ascii="仿宋_GB2312" w:hAnsi="仿宋_GB2312" w:eastAsia="仿宋_GB2312"/>
          <w:b w:val="0"/>
          <w:sz w:val="32"/>
        </w:rPr>
        <w:t>2024年度中共岳普湖县委员会宣传部（行政单位和参照公务员法管理事业单位）机关运行经费支出17.48万元，比上年增加11.60万元，增长197.28%，主要原因是：</w:t>
      </w:r>
      <w:bookmarkStart w:id="0" w:name="_GoBack"/>
      <w:r>
        <w:rPr>
          <w:rFonts w:ascii="仿宋_GB2312" w:hAnsi="仿宋_GB2312" w:eastAsia="仿宋_GB2312"/>
          <w:b w:val="0"/>
          <w:sz w:val="32"/>
        </w:rPr>
        <w:t>本年在职人员增加，导致公用经费增加。</w:t>
      </w:r>
    </w:p>
    <w:bookmarkEnd w:id="0"/>
    <w:p w14:paraId="0124AD05">
      <w:pPr>
        <w:spacing w:line="640" w:lineRule="exact"/>
        <w:ind w:firstLine="640"/>
        <w:jc w:val="both"/>
        <w:outlineLvl w:val="3"/>
      </w:pPr>
      <w:r>
        <w:rPr>
          <w:rFonts w:ascii="楷体_GB2312" w:hAnsi="楷体_GB2312" w:eastAsia="楷体_GB2312"/>
          <w:b/>
          <w:sz w:val="32"/>
        </w:rPr>
        <w:t>（二）政府采购情况</w:t>
      </w:r>
    </w:p>
    <w:p w14:paraId="2AC7300E">
      <w:pPr>
        <w:spacing w:line="580" w:lineRule="exact"/>
        <w:ind w:firstLine="640"/>
        <w:jc w:val="both"/>
      </w:pPr>
      <w:r>
        <w:rPr>
          <w:rFonts w:ascii="仿宋_GB2312" w:hAnsi="仿宋_GB2312" w:eastAsia="仿宋_GB2312"/>
          <w:b w:val="0"/>
          <w:sz w:val="32"/>
        </w:rPr>
        <w:t>2024年度政府采购支出总额769.15万元，其中：政府采购货物支出0.00万元、政府采购工程支出72.90万元、政府采购服务支出696.25万元。</w:t>
      </w:r>
    </w:p>
    <w:p w14:paraId="26817EFF">
      <w:pPr>
        <w:spacing w:line="580" w:lineRule="exact"/>
        <w:ind w:firstLine="640"/>
        <w:jc w:val="both"/>
      </w:pPr>
      <w:r>
        <w:rPr>
          <w:rFonts w:ascii="仿宋_GB2312" w:hAnsi="仿宋_GB2312" w:eastAsia="仿宋_GB2312"/>
          <w:b w:val="0"/>
          <w:sz w:val="32"/>
        </w:rPr>
        <w:t>授予中小企业合同金额769.15万元，占政府采购支出总额的100.00%，其中：授予小微企业合同金额695.27万元，占政府采购支出总额的90.39%。</w:t>
      </w:r>
    </w:p>
    <w:p w14:paraId="0C79799C">
      <w:pPr>
        <w:spacing w:line="640" w:lineRule="exact"/>
        <w:ind w:firstLine="640"/>
        <w:jc w:val="both"/>
        <w:outlineLvl w:val="3"/>
      </w:pPr>
      <w:r>
        <w:rPr>
          <w:rFonts w:ascii="楷体_GB2312" w:hAnsi="楷体_GB2312" w:eastAsia="楷体_GB2312"/>
          <w:b/>
          <w:sz w:val="32"/>
        </w:rPr>
        <w:t>（三）国有资产占用情况说明</w:t>
      </w:r>
    </w:p>
    <w:p w14:paraId="4DA44033">
      <w:pPr>
        <w:spacing w:line="580" w:lineRule="exact"/>
        <w:ind w:firstLine="640"/>
        <w:jc w:val="both"/>
      </w:pPr>
      <w:r>
        <w:rPr>
          <w:rFonts w:ascii="仿宋_GB2312" w:hAnsi="仿宋_GB2312" w:eastAsia="仿宋_GB2312"/>
          <w:b w:val="0"/>
          <w:sz w:val="32"/>
        </w:rPr>
        <w:t>截至2024年12月31日，房屋0.00平方米，价值0.00万元。车辆3辆，价值34.20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679B14FB">
      <w:pPr>
        <w:spacing w:line="640" w:lineRule="exact"/>
        <w:ind w:firstLine="640"/>
        <w:jc w:val="both"/>
        <w:outlineLvl w:val="2"/>
      </w:pPr>
      <w:r>
        <w:rPr>
          <w:rFonts w:ascii="黑体" w:hAnsi="黑体" w:eastAsia="黑体"/>
          <w:sz w:val="32"/>
        </w:rPr>
        <w:t>十一、预算绩效的情况说明</w:t>
      </w:r>
    </w:p>
    <w:p w14:paraId="14A92AF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根据预算绩效管理要求，本单位2024年度预算绩效管理形成整体支出绩效自评表1个，全年预算总额1,493.42万元，实际执行总额1,493.42万元；预算绩效评价项目</w:t>
      </w:r>
      <w:r>
        <w:rPr>
          <w:rFonts w:hint="eastAsia" w:ascii="仿宋_GB2312" w:hAnsi="仿宋_GB2312" w:eastAsia="仿宋_GB2312"/>
          <w:b w:val="0"/>
          <w:sz w:val="32"/>
          <w:lang w:val="en-US" w:eastAsia="zh-CN"/>
        </w:rPr>
        <w:t>3</w:t>
      </w:r>
      <w:r>
        <w:rPr>
          <w:rFonts w:ascii="仿宋_GB2312" w:hAnsi="仿宋_GB2312" w:eastAsia="仿宋_GB2312"/>
          <w:b w:val="0"/>
          <w:sz w:val="32"/>
        </w:rPr>
        <w:t>个，全年预算数1,12</w:t>
      </w:r>
      <w:r>
        <w:rPr>
          <w:rFonts w:hint="eastAsia" w:ascii="仿宋_GB2312" w:hAnsi="仿宋_GB2312" w:eastAsia="仿宋_GB2312"/>
          <w:b w:val="0"/>
          <w:sz w:val="32"/>
          <w:lang w:val="en-US" w:eastAsia="zh-CN"/>
        </w:rPr>
        <w:t>7</w:t>
      </w:r>
      <w:r>
        <w:rPr>
          <w:rFonts w:ascii="仿宋_GB2312" w:hAnsi="仿宋_GB2312" w:eastAsia="仿宋_GB2312"/>
          <w:b w:val="0"/>
          <w:sz w:val="32"/>
        </w:rPr>
        <w:t>.41万元，全年执行数1,12</w:t>
      </w:r>
      <w:r>
        <w:rPr>
          <w:rFonts w:hint="eastAsia" w:ascii="仿宋_GB2312" w:hAnsi="仿宋_GB2312" w:eastAsia="仿宋_GB2312"/>
          <w:b w:val="0"/>
          <w:sz w:val="32"/>
          <w:lang w:val="en-US" w:eastAsia="zh-CN"/>
        </w:rPr>
        <w:t>7</w:t>
      </w:r>
      <w:r>
        <w:rPr>
          <w:rFonts w:ascii="仿宋_GB2312" w:hAnsi="仿宋_GB2312" w:eastAsia="仿宋_GB2312"/>
          <w:b w:val="0"/>
          <w:sz w:val="32"/>
        </w:rPr>
        <w:t>.41万元。预算绩效管理取得的成效：一是单位领导高度重视，分管领导具体负责，专门成立项目绩效评价工作组，负责项目工作的指挥、协调，明确工作职责。充分发挥其职能作用。二是防范风险管理。建立完善的项目风险管理机制，对项目实施过程中出现的问题进行预测和评估，并提前制定应对措施，以降低项目风险。三是确认欠款情况。首先详细了解欠款金额、欠款时间等具体情况，并核对相关合同、协议等文件，确保欠款信息的准确性。发现的问题及原因：一是人员配备不足：过于重视项目短期行为，人员配备方面存在不足。导致项目管理过程中出现疏漏和错误。二是缺乏有效的还款计划：无法有序地推进还款工作，也无法与债权人进行有效的沟通。下一步改进措施：一是灵活调配资源，以弥补人力资源的不足。强化团队协作，优化团队结构，提高团队效率。二是制定合理的还款计划：根据还款能力制定合理的还款计划。计划具有可行性和可持续性，确保按时还款。具体附整体支出绩效自评表，项目支出绩效自评表和评价报告。</w:t>
      </w:r>
    </w:p>
    <w:p w14:paraId="50105AEB">
      <w:r>
        <w:br w:type="page"/>
      </w:r>
    </w:p>
    <w:tbl>
      <w:tblPr>
        <w:tblStyle w:val="9"/>
        <w:tblW w:w="0" w:type="auto"/>
        <w:tblInd w:w="0" w:type="dxa"/>
        <w:tblLayout w:type="fixed"/>
        <w:tblCellMar>
          <w:top w:w="0" w:type="dxa"/>
          <w:left w:w="108" w:type="dxa"/>
          <w:bottom w:w="0" w:type="dxa"/>
          <w:right w:w="108" w:type="dxa"/>
        </w:tblCellMar>
      </w:tblPr>
      <w:tblGrid>
        <w:gridCol w:w="983"/>
        <w:gridCol w:w="983"/>
        <w:gridCol w:w="1151"/>
        <w:gridCol w:w="975"/>
        <w:gridCol w:w="1005"/>
        <w:gridCol w:w="801"/>
        <w:gridCol w:w="983"/>
        <w:gridCol w:w="983"/>
        <w:gridCol w:w="983"/>
      </w:tblGrid>
      <w:tr w14:paraId="6C381023">
        <w:tblPrEx>
          <w:tblCellMar>
            <w:top w:w="0" w:type="dxa"/>
            <w:left w:w="108" w:type="dxa"/>
            <w:bottom w:w="0" w:type="dxa"/>
            <w:right w:w="108" w:type="dxa"/>
          </w:tblCellMar>
        </w:tblPrEx>
        <w:tc>
          <w:tcPr>
            <w:tcW w:w="8847" w:type="dxa"/>
            <w:gridSpan w:val="9"/>
            <w:vAlign w:val="center"/>
          </w:tcPr>
          <w:p w14:paraId="03648B7D">
            <w:pPr>
              <w:jc w:val="center"/>
            </w:pPr>
            <w:r>
              <w:rPr>
                <w:rFonts w:ascii="宋体" w:hAnsi="宋体" w:eastAsia="宋体"/>
                <w:sz w:val="24"/>
              </w:rPr>
              <w:t>单位整体支出绩效自评表</w:t>
            </w:r>
          </w:p>
        </w:tc>
      </w:tr>
      <w:tr w14:paraId="386F2E1B">
        <w:tblPrEx>
          <w:tblCellMar>
            <w:top w:w="0" w:type="dxa"/>
            <w:left w:w="108" w:type="dxa"/>
            <w:bottom w:w="0" w:type="dxa"/>
            <w:right w:w="108" w:type="dxa"/>
          </w:tblCellMar>
        </w:tblPrEx>
        <w:tc>
          <w:tcPr>
            <w:tcW w:w="8847" w:type="dxa"/>
            <w:gridSpan w:val="9"/>
            <w:vAlign w:val="center"/>
          </w:tcPr>
          <w:p w14:paraId="714F5DCE">
            <w:pPr>
              <w:jc w:val="center"/>
            </w:pPr>
            <w:r>
              <w:rPr>
                <w:rFonts w:ascii="宋体" w:hAnsi="宋体" w:eastAsia="宋体"/>
                <w:sz w:val="24"/>
              </w:rPr>
              <w:t>（2024年度）</w:t>
            </w:r>
          </w:p>
        </w:tc>
      </w:tr>
      <w:tr w14:paraId="1B0E607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170B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A1CC87E">
            <w:pPr>
              <w:jc w:val="center"/>
            </w:pPr>
            <w:r>
              <w:rPr>
                <w:rFonts w:ascii="宋体" w:hAnsi="宋体" w:eastAsia="宋体"/>
                <w:sz w:val="16"/>
              </w:rPr>
              <w:t>中共岳普湖县委员会宣传部</w:t>
            </w:r>
          </w:p>
        </w:tc>
      </w:tr>
      <w:tr w14:paraId="1473CE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B854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96479">
            <w:pPr>
              <w:jc w:val="center"/>
            </w:pPr>
            <w:r>
              <w:rPr>
                <w:rFonts w:ascii="宋体" w:hAnsi="宋体" w:eastAsia="宋体"/>
                <w:sz w:val="16"/>
              </w:rPr>
              <w:t>资金来源</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676B11C9">
            <w:pPr>
              <w:jc w:val="center"/>
            </w:pPr>
            <w:r>
              <w:rPr>
                <w:rFonts w:ascii="宋体" w:hAnsi="宋体" w:eastAsia="宋体"/>
                <w:sz w:val="16"/>
              </w:rPr>
              <w:t>年初预算数</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0C0D465B">
            <w:pPr>
              <w:jc w:val="center"/>
            </w:pPr>
            <w:r>
              <w:rPr>
                <w:rFonts w:ascii="宋体" w:hAnsi="宋体" w:eastAsia="宋体"/>
                <w:sz w:val="16"/>
              </w:rPr>
              <w:t>预算数（调整后）</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58F685D9">
            <w:pPr>
              <w:jc w:val="center"/>
            </w:pPr>
            <w:r>
              <w:rPr>
                <w:rFonts w:ascii="宋体" w:hAnsi="宋体" w:eastAsia="宋体"/>
                <w:sz w:val="16"/>
              </w:rPr>
              <w:t>执行数</w:t>
            </w:r>
          </w:p>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375AB7E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6892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47B97">
            <w:pPr>
              <w:jc w:val="center"/>
            </w:pPr>
            <w:r>
              <w:rPr>
                <w:rFonts w:ascii="宋体" w:hAnsi="宋体" w:eastAsia="宋体"/>
                <w:sz w:val="16"/>
              </w:rPr>
              <w:t>得分</w:t>
            </w:r>
          </w:p>
        </w:tc>
      </w:tr>
      <w:tr w14:paraId="0C7421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CB2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93CCB">
            <w:pPr>
              <w:jc w:val="center"/>
            </w:pPr>
            <w:r>
              <w:rPr>
                <w:rFonts w:ascii="宋体" w:hAnsi="宋体" w:eastAsia="宋体"/>
                <w:sz w:val="16"/>
              </w:rPr>
              <w:t>年度总资金：</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7B7DFAEF">
            <w:pPr>
              <w:jc w:val="center"/>
            </w:pPr>
            <w:r>
              <w:rPr>
                <w:rFonts w:ascii="宋体" w:hAnsi="宋体" w:eastAsia="宋体"/>
                <w:sz w:val="16"/>
              </w:rPr>
              <w:t>317.35</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4FB1B53C">
            <w:pPr>
              <w:jc w:val="center"/>
            </w:pPr>
            <w:r>
              <w:rPr>
                <w:rFonts w:ascii="宋体" w:hAnsi="宋体" w:eastAsia="宋体"/>
                <w:sz w:val="16"/>
              </w:rPr>
              <w:t>1,493.42</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5EF2F809">
            <w:pPr>
              <w:jc w:val="center"/>
            </w:pPr>
            <w:r>
              <w:rPr>
                <w:rFonts w:ascii="宋体" w:hAnsi="宋体" w:eastAsia="宋体"/>
                <w:sz w:val="16"/>
              </w:rPr>
              <w:t>1,493.42</w:t>
            </w:r>
          </w:p>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29B5D9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72F6E">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E553A">
            <w:pPr>
              <w:jc w:val="center"/>
            </w:pPr>
            <w:r>
              <w:rPr>
                <w:rFonts w:ascii="宋体" w:hAnsi="宋体" w:eastAsia="宋体"/>
                <w:sz w:val="16"/>
              </w:rPr>
              <w:t>10</w:t>
            </w:r>
          </w:p>
        </w:tc>
      </w:tr>
      <w:tr w14:paraId="52A008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8755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BD2CB">
            <w:pPr>
              <w:jc w:val="center"/>
            </w:pPr>
            <w:r>
              <w:rPr>
                <w:rFonts w:ascii="宋体" w:hAnsi="宋体" w:eastAsia="宋体"/>
                <w:sz w:val="16"/>
              </w:rPr>
              <w:t>上级资金：</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4173FE87">
            <w:pPr>
              <w:jc w:val="center"/>
            </w:pPr>
            <w:r>
              <w:rPr>
                <w:rFonts w:ascii="宋体" w:hAnsi="宋体" w:eastAsia="宋体"/>
                <w:sz w:val="16"/>
              </w:rPr>
              <w:t>27.87</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3B85558F">
            <w:pPr>
              <w:jc w:val="center"/>
            </w:pPr>
            <w:r>
              <w:rPr>
                <w:rFonts w:ascii="宋体" w:hAnsi="宋体" w:eastAsia="宋体"/>
                <w:sz w:val="16"/>
              </w:rPr>
              <w:t>76.47</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15CC19C4">
            <w:pPr>
              <w:jc w:val="center"/>
            </w:pPr>
            <w:r>
              <w:rPr>
                <w:rFonts w:ascii="宋体" w:hAnsi="宋体" w:eastAsia="宋体"/>
                <w:sz w:val="16"/>
              </w:rPr>
              <w:t>76.47</w:t>
            </w:r>
          </w:p>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0CAE2C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37CF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CE60F">
            <w:pPr>
              <w:jc w:val="center"/>
            </w:pPr>
            <w:r>
              <w:rPr>
                <w:rFonts w:ascii="宋体" w:hAnsi="宋体" w:eastAsia="宋体"/>
                <w:sz w:val="16"/>
              </w:rPr>
              <w:t>—</w:t>
            </w:r>
          </w:p>
        </w:tc>
      </w:tr>
      <w:tr w14:paraId="50E0B4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6B4B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7770F">
            <w:pPr>
              <w:jc w:val="center"/>
            </w:pPr>
            <w:r>
              <w:rPr>
                <w:rFonts w:ascii="宋体" w:hAnsi="宋体" w:eastAsia="宋体"/>
                <w:sz w:val="16"/>
              </w:rPr>
              <w:t>本级资金：</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2CCA8958">
            <w:pPr>
              <w:jc w:val="center"/>
            </w:pPr>
            <w:r>
              <w:rPr>
                <w:rFonts w:ascii="宋体" w:hAnsi="宋体" w:eastAsia="宋体"/>
                <w:sz w:val="16"/>
              </w:rPr>
              <w:t>289.48</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18DB7394">
            <w:pPr>
              <w:jc w:val="center"/>
            </w:pPr>
            <w:r>
              <w:rPr>
                <w:rFonts w:ascii="宋体" w:hAnsi="宋体" w:eastAsia="宋体"/>
                <w:sz w:val="16"/>
              </w:rPr>
              <w:t>354.54</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329EB501">
            <w:pPr>
              <w:jc w:val="center"/>
            </w:pPr>
            <w:r>
              <w:rPr>
                <w:rFonts w:ascii="宋体" w:hAnsi="宋体" w:eastAsia="宋体"/>
                <w:sz w:val="16"/>
              </w:rPr>
              <w:t>354.54</w:t>
            </w:r>
          </w:p>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1AAC2B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084F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0DA25">
            <w:pPr>
              <w:jc w:val="center"/>
            </w:pPr>
            <w:r>
              <w:rPr>
                <w:rFonts w:ascii="宋体" w:hAnsi="宋体" w:eastAsia="宋体"/>
                <w:sz w:val="16"/>
              </w:rPr>
              <w:t>—</w:t>
            </w:r>
          </w:p>
        </w:tc>
      </w:tr>
      <w:tr w14:paraId="3ABDE0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080B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FA682">
            <w:pPr>
              <w:jc w:val="center"/>
            </w:pPr>
            <w:r>
              <w:rPr>
                <w:rFonts w:ascii="宋体" w:hAnsi="宋体" w:eastAsia="宋体"/>
                <w:sz w:val="16"/>
              </w:rPr>
              <w:t>其他资金：</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03011D8D">
            <w:pPr>
              <w:jc w:val="center"/>
            </w:pPr>
            <w:r>
              <w:rPr>
                <w:rFonts w:ascii="宋体" w:hAnsi="宋体" w:eastAsia="宋体"/>
                <w:sz w:val="16"/>
              </w:rPr>
              <w:t>0.00</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2B1B3BF8">
            <w:pPr>
              <w:jc w:val="center"/>
            </w:pPr>
            <w:r>
              <w:rPr>
                <w:rFonts w:ascii="宋体" w:hAnsi="宋体" w:eastAsia="宋体"/>
                <w:sz w:val="16"/>
              </w:rPr>
              <w:t>1,062.41</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1616192B">
            <w:pPr>
              <w:jc w:val="center"/>
            </w:pPr>
            <w:r>
              <w:rPr>
                <w:rFonts w:ascii="宋体" w:hAnsi="宋体" w:eastAsia="宋体"/>
                <w:sz w:val="16"/>
              </w:rPr>
              <w:t>1,062.41</w:t>
            </w:r>
          </w:p>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351C62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3AFB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B32B3">
            <w:pPr>
              <w:jc w:val="center"/>
            </w:pPr>
            <w:r>
              <w:rPr>
                <w:rFonts w:ascii="宋体" w:hAnsi="宋体" w:eastAsia="宋体"/>
                <w:sz w:val="16"/>
              </w:rPr>
              <w:t>—</w:t>
            </w:r>
          </w:p>
        </w:tc>
      </w:tr>
      <w:tr w14:paraId="249B9FA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B4E8F">
            <w:pPr>
              <w:jc w:val="center"/>
            </w:pPr>
            <w:r>
              <w:rPr>
                <w:rFonts w:ascii="宋体" w:hAnsi="宋体" w:eastAsia="宋体"/>
                <w:sz w:val="16"/>
              </w:rPr>
              <w:t>年度总体目标</w:t>
            </w:r>
          </w:p>
        </w:tc>
        <w:tc>
          <w:tcPr>
            <w:tcW w:w="310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5BB5FE">
            <w:pPr>
              <w:jc w:val="center"/>
            </w:pPr>
            <w:r>
              <w:rPr>
                <w:rFonts w:ascii="宋体" w:hAnsi="宋体" w:eastAsia="宋体"/>
                <w:sz w:val="16"/>
              </w:rPr>
              <w:t>预期目标</w:t>
            </w:r>
          </w:p>
        </w:tc>
        <w:tc>
          <w:tcPr>
            <w:tcW w:w="475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507A85">
            <w:pPr>
              <w:jc w:val="center"/>
            </w:pPr>
            <w:r>
              <w:rPr>
                <w:rFonts w:ascii="宋体" w:hAnsi="宋体" w:eastAsia="宋体"/>
                <w:sz w:val="16"/>
              </w:rPr>
              <w:t>实际完成情况</w:t>
            </w:r>
          </w:p>
        </w:tc>
      </w:tr>
      <w:tr w14:paraId="1E73A0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0F2AEB"/>
        </w:tc>
        <w:tc>
          <w:tcPr>
            <w:tcW w:w="310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0674E7">
            <w:pPr>
              <w:jc w:val="both"/>
            </w:pPr>
            <w:r>
              <w:rPr>
                <w:rFonts w:ascii="宋体" w:hAnsi="宋体" w:eastAsia="宋体"/>
                <w:sz w:val="16"/>
              </w:rPr>
              <w:t>全年下乡文艺巡回演出135场。通过在主流媒体学习强国，发布外宣稿件1050条。全面深入推进文化润疆工程，持续扩大媒体宣传，强化先进典型推荐评选。规范宣传文化阵地运行，占领乡村文化主阵地。</w:t>
            </w:r>
          </w:p>
        </w:tc>
        <w:tc>
          <w:tcPr>
            <w:tcW w:w="475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A48E51">
            <w:pPr>
              <w:jc w:val="both"/>
            </w:pPr>
            <w:r>
              <w:rPr>
                <w:rFonts w:ascii="宋体" w:hAnsi="宋体" w:eastAsia="宋体"/>
                <w:sz w:val="16"/>
              </w:rPr>
              <w:t>完成了137场次的全年下乡文艺巡回演出，覆盖了广大乡村地区，为当地居民带去了丰富多彩的文化生活。也促进了城乡文化的交流与融合。同时，在主流媒体学习强国平台上，发布了外宣稿件共计1060条，广泛传播文化成果和下乡演出的精彩瞬间，让更多的人了解和关注文化活动。充分发挥单位的履职效能，全面深入推进了文化润疆工程，通过各种形式的文化活动和宣传，持续扩大媒体宣传的覆盖面和影响力，强化先进典型的推荐和评选工作，让更多优秀的文化工作者和他们的事迹得到广泛的认可和赞誉。规范宣传文化阵地的运行，确保文化活动的有序开展，占领了乡村文化主阵地，为乡村文化的繁荣发展奠定坚实的基础。</w:t>
            </w:r>
          </w:p>
        </w:tc>
      </w:tr>
      <w:tr w14:paraId="12A34E0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5226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B47E9">
            <w:pPr>
              <w:jc w:val="center"/>
            </w:pPr>
            <w:r>
              <w:rPr>
                <w:rFonts w:ascii="宋体" w:hAnsi="宋体" w:eastAsia="宋体"/>
                <w:sz w:val="16"/>
              </w:rPr>
              <w:t>二级指标</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456DF9EF">
            <w:pPr>
              <w:jc w:val="center"/>
            </w:pPr>
            <w:r>
              <w:rPr>
                <w:rFonts w:ascii="宋体" w:hAnsi="宋体" w:eastAsia="宋体"/>
                <w:sz w:val="16"/>
              </w:rPr>
              <w:t>三级指标</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2EAD67FD">
            <w:pPr>
              <w:jc w:val="center"/>
            </w:pPr>
            <w:r>
              <w:rPr>
                <w:rFonts w:ascii="宋体" w:hAnsi="宋体" w:eastAsia="宋体"/>
                <w:sz w:val="16"/>
              </w:rPr>
              <w:t>指标值</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2A002787">
            <w:pPr>
              <w:jc w:val="center"/>
            </w:pPr>
            <w:r>
              <w:rPr>
                <w:rFonts w:ascii="宋体" w:hAnsi="宋体" w:eastAsia="宋体"/>
                <w:sz w:val="16"/>
              </w:rPr>
              <w:t>指标值设定依据</w:t>
            </w:r>
          </w:p>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023AC15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70DC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F440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78C5D">
            <w:pPr>
              <w:jc w:val="center"/>
            </w:pPr>
            <w:r>
              <w:rPr>
                <w:rFonts w:ascii="宋体" w:hAnsi="宋体" w:eastAsia="宋体"/>
                <w:sz w:val="16"/>
              </w:rPr>
              <w:t>得分</w:t>
            </w:r>
          </w:p>
        </w:tc>
      </w:tr>
      <w:tr w14:paraId="360FD0E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A222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4F6B0">
            <w:pPr>
              <w:jc w:val="center"/>
            </w:pPr>
            <w:r>
              <w:rPr>
                <w:rFonts w:ascii="宋体" w:hAnsi="宋体" w:eastAsia="宋体"/>
                <w:sz w:val="16"/>
              </w:rPr>
              <w:t>数量指标</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3EA23FCF">
            <w:pPr>
              <w:jc w:val="center"/>
            </w:pPr>
            <w:r>
              <w:rPr>
                <w:rFonts w:ascii="宋体" w:hAnsi="宋体" w:eastAsia="宋体"/>
                <w:sz w:val="16"/>
              </w:rPr>
              <w:t>下乡文艺巡回演出场次</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7165D11A">
            <w:pPr>
              <w:jc w:val="center"/>
            </w:pPr>
            <w:r>
              <w:rPr>
                <w:rFonts w:ascii="宋体" w:hAnsi="宋体" w:eastAsia="宋体"/>
                <w:sz w:val="16"/>
              </w:rPr>
              <w:t>&gt;=135场</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142FD265">
            <w:pPr>
              <w:jc w:val="center"/>
            </w:pPr>
            <w:r>
              <w:rPr>
                <w:rFonts w:ascii="宋体" w:hAnsi="宋体" w:eastAsia="宋体"/>
                <w:sz w:val="16"/>
              </w:rPr>
              <w:t>工作计划</w:t>
            </w:r>
          </w:p>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2CFCAB3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408F9">
            <w:pPr>
              <w:jc w:val="center"/>
            </w:pPr>
            <w:r>
              <w:rPr>
                <w:rFonts w:ascii="宋体" w:hAnsi="宋体" w:eastAsia="宋体"/>
                <w:sz w:val="16"/>
              </w:rPr>
              <w:t>137场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2A315">
            <w:pPr>
              <w:jc w:val="center"/>
            </w:pPr>
            <w:r>
              <w:rPr>
                <w:rFonts w:ascii="宋体" w:hAnsi="宋体" w:eastAsia="宋体"/>
                <w:sz w:val="16"/>
              </w:rPr>
              <w:t>101.48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A85C0">
            <w:pPr>
              <w:jc w:val="center"/>
            </w:pPr>
            <w:r>
              <w:rPr>
                <w:rFonts w:ascii="宋体" w:hAnsi="宋体" w:eastAsia="宋体"/>
                <w:sz w:val="16"/>
              </w:rPr>
              <w:t>18</w:t>
            </w:r>
          </w:p>
        </w:tc>
      </w:tr>
      <w:tr w14:paraId="78BA01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897E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C78304"/>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4D2F2172">
            <w:pPr>
              <w:jc w:val="center"/>
            </w:pPr>
            <w:r>
              <w:rPr>
                <w:rFonts w:ascii="宋体" w:hAnsi="宋体" w:eastAsia="宋体"/>
                <w:sz w:val="16"/>
              </w:rPr>
              <w:t>各类主流媒体学习强国外宣发布稿件</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44F238CB">
            <w:pPr>
              <w:jc w:val="center"/>
            </w:pPr>
            <w:r>
              <w:rPr>
                <w:rFonts w:ascii="宋体" w:hAnsi="宋体" w:eastAsia="宋体"/>
                <w:sz w:val="16"/>
              </w:rPr>
              <w:t>&gt;=1050条</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6A6CC4A7">
            <w:pPr>
              <w:jc w:val="center"/>
            </w:pPr>
            <w:r>
              <w:rPr>
                <w:rFonts w:ascii="宋体" w:hAnsi="宋体" w:eastAsia="宋体"/>
                <w:sz w:val="16"/>
              </w:rPr>
              <w:t>工作计划</w:t>
            </w:r>
          </w:p>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7C91D11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7DE26">
            <w:pPr>
              <w:jc w:val="center"/>
            </w:pPr>
            <w:r>
              <w:rPr>
                <w:rFonts w:ascii="宋体" w:hAnsi="宋体" w:eastAsia="宋体"/>
                <w:sz w:val="16"/>
              </w:rPr>
              <w:t>1060条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BB4A3">
            <w:pPr>
              <w:jc w:val="center"/>
            </w:pPr>
            <w:r>
              <w:rPr>
                <w:rFonts w:ascii="宋体" w:hAnsi="宋体" w:eastAsia="宋体"/>
                <w:sz w:val="16"/>
              </w:rPr>
              <w:t>100.95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32D5A">
            <w:pPr>
              <w:jc w:val="center"/>
            </w:pPr>
            <w:r>
              <w:rPr>
                <w:rFonts w:ascii="宋体" w:hAnsi="宋体" w:eastAsia="宋体"/>
                <w:sz w:val="16"/>
              </w:rPr>
              <w:t>18</w:t>
            </w:r>
          </w:p>
        </w:tc>
      </w:tr>
      <w:tr w14:paraId="13D8B4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A20D6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E26A6">
            <w:pPr>
              <w:jc w:val="center"/>
            </w:pPr>
            <w:r>
              <w:rPr>
                <w:rFonts w:ascii="宋体" w:hAnsi="宋体" w:eastAsia="宋体"/>
                <w:sz w:val="16"/>
              </w:rPr>
              <w:t>质量指标</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218A9726">
            <w:pPr>
              <w:jc w:val="center"/>
            </w:pPr>
            <w:r>
              <w:rPr>
                <w:rFonts w:ascii="宋体" w:hAnsi="宋体" w:eastAsia="宋体"/>
                <w:sz w:val="16"/>
              </w:rPr>
              <w:t>推进文化润疆工程完成率</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53CD1A06">
            <w:pPr>
              <w:jc w:val="center"/>
            </w:pPr>
            <w:r>
              <w:rPr>
                <w:rFonts w:ascii="宋体" w:hAnsi="宋体" w:eastAsia="宋体"/>
                <w:sz w:val="16"/>
              </w:rPr>
              <w:t>=100%</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15EE012A">
            <w:pPr>
              <w:jc w:val="center"/>
            </w:pPr>
            <w:r>
              <w:rPr>
                <w:rFonts w:ascii="宋体" w:hAnsi="宋体" w:eastAsia="宋体"/>
                <w:sz w:val="16"/>
              </w:rPr>
              <w:t>工作计划</w:t>
            </w:r>
          </w:p>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1CF1FCE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4B6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FA6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0A8FE">
            <w:pPr>
              <w:jc w:val="center"/>
            </w:pPr>
            <w:r>
              <w:rPr>
                <w:rFonts w:ascii="宋体" w:hAnsi="宋体" w:eastAsia="宋体"/>
                <w:sz w:val="16"/>
              </w:rPr>
              <w:t>18</w:t>
            </w:r>
          </w:p>
        </w:tc>
      </w:tr>
      <w:tr w14:paraId="262E18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185D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A49CBD"/>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0A68D80E">
            <w:pPr>
              <w:jc w:val="center"/>
            </w:pPr>
            <w:r>
              <w:rPr>
                <w:rFonts w:ascii="宋体" w:hAnsi="宋体" w:eastAsia="宋体"/>
                <w:sz w:val="16"/>
              </w:rPr>
              <w:t>扩大媒体宣传知晓率</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1CCBD527">
            <w:pPr>
              <w:jc w:val="center"/>
            </w:pPr>
            <w:r>
              <w:rPr>
                <w:rFonts w:ascii="宋体" w:hAnsi="宋体" w:eastAsia="宋体"/>
                <w:sz w:val="16"/>
              </w:rPr>
              <w:t>=100%</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3EEC5DCF">
            <w:pPr>
              <w:jc w:val="center"/>
            </w:pPr>
            <w:r>
              <w:rPr>
                <w:rFonts w:ascii="宋体" w:hAnsi="宋体" w:eastAsia="宋体"/>
                <w:sz w:val="16"/>
              </w:rPr>
              <w:t>工作计划</w:t>
            </w:r>
          </w:p>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538F7FD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BCB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309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75309">
            <w:pPr>
              <w:jc w:val="center"/>
            </w:pPr>
            <w:r>
              <w:rPr>
                <w:rFonts w:ascii="宋体" w:hAnsi="宋体" w:eastAsia="宋体"/>
                <w:sz w:val="16"/>
              </w:rPr>
              <w:t>18</w:t>
            </w:r>
          </w:p>
        </w:tc>
      </w:tr>
      <w:tr w14:paraId="2D946E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48D9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80070">
            <w:pPr>
              <w:jc w:val="center"/>
            </w:pPr>
            <w:r>
              <w:rPr>
                <w:rFonts w:ascii="宋体" w:hAnsi="宋体" w:eastAsia="宋体"/>
                <w:sz w:val="16"/>
              </w:rPr>
              <w:t>时效指标</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5AEA4778">
            <w:pPr>
              <w:jc w:val="center"/>
            </w:pPr>
            <w:r>
              <w:rPr>
                <w:rFonts w:ascii="宋体" w:hAnsi="宋体" w:eastAsia="宋体"/>
                <w:sz w:val="16"/>
              </w:rPr>
              <w:t>强化先进典型推荐评选完成及时率</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159A20BC">
            <w:pPr>
              <w:jc w:val="center"/>
            </w:pPr>
            <w:r>
              <w:rPr>
                <w:rFonts w:ascii="宋体" w:hAnsi="宋体" w:eastAsia="宋体"/>
                <w:sz w:val="16"/>
              </w:rPr>
              <w:t>=100%</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74FAF1BA">
            <w:pPr>
              <w:jc w:val="center"/>
            </w:pPr>
            <w:r>
              <w:rPr>
                <w:rFonts w:ascii="宋体" w:hAnsi="宋体" w:eastAsia="宋体"/>
                <w:sz w:val="16"/>
              </w:rPr>
              <w:t>工作计划</w:t>
            </w:r>
          </w:p>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1E697C2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969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995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93815">
            <w:pPr>
              <w:jc w:val="center"/>
            </w:pPr>
            <w:r>
              <w:rPr>
                <w:rFonts w:ascii="宋体" w:hAnsi="宋体" w:eastAsia="宋体"/>
                <w:sz w:val="16"/>
              </w:rPr>
              <w:t>18</w:t>
            </w:r>
          </w:p>
        </w:tc>
      </w:tr>
    </w:tbl>
    <w:p w14:paraId="7E0D4738">
      <w:r>
        <w:br w:type="page"/>
      </w:r>
    </w:p>
    <w:tbl>
      <w:tblPr>
        <w:tblStyle w:val="9"/>
        <w:tblW w:w="0" w:type="auto"/>
        <w:tblInd w:w="0" w:type="dxa"/>
        <w:tblLayout w:type="autofit"/>
        <w:tblCellMar>
          <w:top w:w="0" w:type="dxa"/>
          <w:left w:w="108" w:type="dxa"/>
          <w:bottom w:w="0" w:type="dxa"/>
          <w:right w:w="108" w:type="dxa"/>
        </w:tblCellMar>
      </w:tblPr>
      <w:tblGrid>
        <w:gridCol w:w="619"/>
        <w:gridCol w:w="599"/>
        <w:gridCol w:w="599"/>
        <w:gridCol w:w="599"/>
        <w:gridCol w:w="936"/>
        <w:gridCol w:w="607"/>
        <w:gridCol w:w="604"/>
        <w:gridCol w:w="611"/>
        <w:gridCol w:w="600"/>
        <w:gridCol w:w="599"/>
        <w:gridCol w:w="680"/>
        <w:gridCol w:w="176"/>
        <w:gridCol w:w="632"/>
        <w:gridCol w:w="1199"/>
      </w:tblGrid>
      <w:tr w14:paraId="23BE3CA0">
        <w:tblPrEx>
          <w:tblCellMar>
            <w:top w:w="0" w:type="dxa"/>
            <w:left w:w="108" w:type="dxa"/>
            <w:bottom w:w="0" w:type="dxa"/>
            <w:right w:w="108" w:type="dxa"/>
          </w:tblCellMar>
        </w:tblPrEx>
        <w:tc>
          <w:tcPr>
            <w:tcW w:w="9060" w:type="dxa"/>
            <w:gridSpan w:val="14"/>
            <w:vAlign w:val="center"/>
          </w:tcPr>
          <w:p w14:paraId="7024C547">
            <w:pPr>
              <w:jc w:val="center"/>
            </w:pPr>
            <w:r>
              <w:rPr>
                <w:rFonts w:ascii="宋体" w:hAnsi="宋体" w:eastAsia="宋体"/>
                <w:sz w:val="24"/>
              </w:rPr>
              <w:t>项目支出绩效自评表</w:t>
            </w:r>
          </w:p>
        </w:tc>
      </w:tr>
      <w:tr w14:paraId="29EDA405">
        <w:tblPrEx>
          <w:tblCellMar>
            <w:top w:w="0" w:type="dxa"/>
            <w:left w:w="108" w:type="dxa"/>
            <w:bottom w:w="0" w:type="dxa"/>
            <w:right w:w="108" w:type="dxa"/>
          </w:tblCellMar>
        </w:tblPrEx>
        <w:tc>
          <w:tcPr>
            <w:tcW w:w="9060" w:type="dxa"/>
            <w:gridSpan w:val="14"/>
            <w:vAlign w:val="center"/>
          </w:tcPr>
          <w:p w14:paraId="65DE9EB2">
            <w:pPr>
              <w:jc w:val="center"/>
            </w:pPr>
            <w:r>
              <w:rPr>
                <w:rFonts w:ascii="宋体" w:hAnsi="宋体" w:eastAsia="宋体"/>
                <w:sz w:val="24"/>
              </w:rPr>
              <w:t>(2024年度)</w:t>
            </w:r>
          </w:p>
        </w:tc>
      </w:tr>
      <w:tr w14:paraId="2711A31B">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DD5D99F">
            <w:pPr>
              <w:jc w:val="center"/>
            </w:pPr>
            <w:r>
              <w:rPr>
                <w:rFonts w:ascii="宋体" w:hAnsi="宋体" w:eastAsia="宋体"/>
                <w:sz w:val="16"/>
              </w:rPr>
              <w:t>项目名称</w:t>
            </w:r>
          </w:p>
        </w:tc>
        <w:tc>
          <w:tcPr>
            <w:tcW w:w="844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0EE5CF">
            <w:pPr>
              <w:jc w:val="center"/>
            </w:pPr>
            <w:r>
              <w:rPr>
                <w:rFonts w:ascii="宋体" w:hAnsi="宋体" w:eastAsia="宋体"/>
                <w:sz w:val="16"/>
              </w:rPr>
              <w:t>岳普湖县文化浸润项目</w:t>
            </w:r>
          </w:p>
        </w:tc>
      </w:tr>
      <w:tr w14:paraId="31DC8AD0">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2E2D37C">
            <w:pPr>
              <w:jc w:val="center"/>
            </w:pPr>
            <w:r>
              <w:rPr>
                <w:rFonts w:ascii="宋体" w:hAnsi="宋体" w:eastAsia="宋体"/>
                <w:sz w:val="16"/>
              </w:rPr>
              <w:t>主管部门</w:t>
            </w:r>
          </w:p>
        </w:tc>
        <w:tc>
          <w:tcPr>
            <w:tcW w:w="455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6A0B83">
            <w:pPr>
              <w:jc w:val="center"/>
            </w:pPr>
            <w:r>
              <w:rPr>
                <w:rFonts w:ascii="宋体" w:hAnsi="宋体" w:eastAsia="宋体"/>
                <w:sz w:val="16"/>
              </w:rPr>
              <w:t>中共岳普湖县委员会宣传部</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82A9EFF">
            <w:pPr>
              <w:jc w:val="center"/>
            </w:pPr>
            <w:r>
              <w:rPr>
                <w:rFonts w:ascii="宋体" w:hAnsi="宋体" w:eastAsia="宋体"/>
                <w:sz w:val="16"/>
              </w:rPr>
              <w:t>实施单位</w:t>
            </w:r>
          </w:p>
        </w:tc>
        <w:tc>
          <w:tcPr>
            <w:tcW w:w="328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B67320">
            <w:pPr>
              <w:jc w:val="center"/>
            </w:pPr>
            <w:r>
              <w:rPr>
                <w:rFonts w:ascii="宋体" w:hAnsi="宋体" w:eastAsia="宋体"/>
                <w:sz w:val="16"/>
              </w:rPr>
              <w:t>中共岳普湖县委员会宣传部</w:t>
            </w:r>
          </w:p>
        </w:tc>
      </w:tr>
      <w:tr w14:paraId="24CDD7FC">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F3426">
            <w:pPr>
              <w:jc w:val="center"/>
            </w:pPr>
            <w:r>
              <w:rPr>
                <w:rFonts w:ascii="宋体" w:hAnsi="宋体" w:eastAsia="宋体"/>
                <w:sz w:val="16"/>
              </w:rPr>
              <w:t>项目资金 （万元）</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1972B">
            <w:pPr>
              <w:jc w:val="center"/>
            </w:pPr>
          </w:p>
        </w:tc>
        <w:tc>
          <w:tcPr>
            <w:tcW w:w="15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A12DA">
            <w:pPr>
              <w:jc w:val="center"/>
            </w:pPr>
            <w:r>
              <w:rPr>
                <w:rFonts w:ascii="宋体" w:hAnsi="宋体" w:eastAsia="宋体"/>
                <w:sz w:val="16"/>
              </w:rPr>
              <w:t>年初预算数</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99F1C">
            <w:pPr>
              <w:jc w:val="center"/>
            </w:pPr>
            <w:r>
              <w:rPr>
                <w:rFonts w:ascii="宋体" w:hAnsi="宋体" w:eastAsia="宋体"/>
                <w:sz w:val="16"/>
              </w:rPr>
              <w:t>全年预算数</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902ED">
            <w:pPr>
              <w:jc w:val="center"/>
            </w:pPr>
            <w:r>
              <w:rPr>
                <w:rFonts w:ascii="宋体" w:hAnsi="宋体" w:eastAsia="宋体"/>
                <w:sz w:val="16"/>
              </w:rPr>
              <w:t>全年执行数</w:t>
            </w:r>
          </w:p>
        </w:tc>
        <w:tc>
          <w:tcPr>
            <w:tcW w:w="12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3B07A">
            <w:pPr>
              <w:jc w:val="center"/>
            </w:pPr>
            <w:r>
              <w:rPr>
                <w:rFonts w:ascii="宋体" w:hAnsi="宋体" w:eastAsia="宋体"/>
                <w:sz w:val="16"/>
              </w:rPr>
              <w:t>分值</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11BC5">
            <w:pPr>
              <w:jc w:val="center"/>
            </w:pPr>
            <w:r>
              <w:rPr>
                <w:rFonts w:ascii="宋体" w:hAnsi="宋体" w:eastAsia="宋体"/>
                <w:sz w:val="16"/>
              </w:rPr>
              <w:t>执行率</w:t>
            </w:r>
          </w:p>
        </w:tc>
        <w:tc>
          <w:tcPr>
            <w:tcW w:w="1199" w:type="dxa"/>
            <w:tcBorders>
              <w:top w:val="single" w:color="auto" w:sz="10" w:space="0"/>
              <w:left w:val="single" w:color="auto" w:sz="10" w:space="0"/>
              <w:bottom w:val="single" w:color="auto" w:sz="10" w:space="0"/>
              <w:right w:val="single" w:color="auto" w:sz="10" w:space="0"/>
              <w:insideV w:val="single" w:sz="10" w:space="0"/>
            </w:tcBorders>
            <w:vAlign w:val="center"/>
          </w:tcPr>
          <w:p w14:paraId="5A92CFFD">
            <w:pPr>
              <w:jc w:val="center"/>
            </w:pPr>
            <w:r>
              <w:rPr>
                <w:rFonts w:ascii="宋体" w:hAnsi="宋体" w:eastAsia="宋体"/>
                <w:sz w:val="16"/>
              </w:rPr>
              <w:t>得分</w:t>
            </w:r>
          </w:p>
        </w:tc>
      </w:tr>
      <w:tr w14:paraId="30CEC07A">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2D90FC87"/>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246D9">
            <w:pPr>
              <w:jc w:val="center"/>
            </w:pPr>
            <w:r>
              <w:rPr>
                <w:rFonts w:ascii="宋体" w:hAnsi="宋体" w:eastAsia="宋体"/>
                <w:sz w:val="16"/>
              </w:rPr>
              <w:t>年度资金总额</w:t>
            </w:r>
          </w:p>
        </w:tc>
        <w:tc>
          <w:tcPr>
            <w:tcW w:w="15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F6725">
            <w:pPr>
              <w:jc w:val="center"/>
            </w:pPr>
            <w:r>
              <w:rPr>
                <w:rFonts w:ascii="宋体" w:hAnsi="宋体" w:eastAsia="宋体"/>
                <w:sz w:val="16"/>
              </w:rPr>
              <w:t>1,062.41</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899A3">
            <w:pPr>
              <w:jc w:val="center"/>
            </w:pPr>
            <w:r>
              <w:rPr>
                <w:rFonts w:ascii="宋体" w:hAnsi="宋体" w:eastAsia="宋体"/>
                <w:sz w:val="16"/>
              </w:rPr>
              <w:t>1,062.41</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515E4">
            <w:pPr>
              <w:jc w:val="center"/>
            </w:pPr>
            <w:r>
              <w:rPr>
                <w:rFonts w:ascii="宋体" w:hAnsi="宋体" w:eastAsia="宋体"/>
                <w:sz w:val="16"/>
              </w:rPr>
              <w:t>1,062.41</w:t>
            </w:r>
          </w:p>
        </w:tc>
        <w:tc>
          <w:tcPr>
            <w:tcW w:w="12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6C671">
            <w:pPr>
              <w:jc w:val="center"/>
            </w:pPr>
            <w:r>
              <w:rPr>
                <w:rFonts w:ascii="宋体" w:hAnsi="宋体" w:eastAsia="宋体"/>
                <w:sz w:val="16"/>
              </w:rPr>
              <w:t>10</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2F201">
            <w:pPr>
              <w:jc w:val="center"/>
            </w:pPr>
            <w:r>
              <w:rPr>
                <w:rFonts w:ascii="宋体" w:hAnsi="宋体" w:eastAsia="宋体"/>
                <w:sz w:val="16"/>
              </w:rPr>
              <w:t>100.00%</w:t>
            </w:r>
          </w:p>
        </w:tc>
        <w:tc>
          <w:tcPr>
            <w:tcW w:w="1199" w:type="dxa"/>
            <w:tcBorders>
              <w:top w:val="single" w:color="auto" w:sz="10" w:space="0"/>
              <w:left w:val="single" w:color="auto" w:sz="10" w:space="0"/>
              <w:bottom w:val="single" w:color="auto" w:sz="10" w:space="0"/>
              <w:right w:val="single" w:color="auto" w:sz="10" w:space="0"/>
              <w:insideV w:val="single" w:sz="10" w:space="0"/>
            </w:tcBorders>
            <w:vAlign w:val="center"/>
          </w:tcPr>
          <w:p w14:paraId="27E087FD">
            <w:pPr>
              <w:jc w:val="center"/>
            </w:pPr>
            <w:r>
              <w:rPr>
                <w:rFonts w:ascii="宋体" w:hAnsi="宋体" w:eastAsia="宋体"/>
                <w:sz w:val="16"/>
              </w:rPr>
              <w:t>10.00分</w:t>
            </w:r>
          </w:p>
        </w:tc>
      </w:tr>
      <w:tr w14:paraId="29D810B9">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6BEA095C"/>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47450">
            <w:pPr>
              <w:jc w:val="center"/>
            </w:pPr>
            <w:r>
              <w:rPr>
                <w:rFonts w:ascii="宋体" w:hAnsi="宋体" w:eastAsia="宋体"/>
                <w:sz w:val="16"/>
              </w:rPr>
              <w:t>其中：当年财政拨款</w:t>
            </w:r>
          </w:p>
        </w:tc>
        <w:tc>
          <w:tcPr>
            <w:tcW w:w="15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7D678">
            <w:pPr>
              <w:jc w:val="center"/>
            </w:pPr>
            <w:r>
              <w:rPr>
                <w:rFonts w:ascii="宋体" w:hAnsi="宋体" w:eastAsia="宋体"/>
                <w:sz w:val="16"/>
              </w:rPr>
              <w:t>0.00</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3F04C">
            <w:pPr>
              <w:jc w:val="center"/>
            </w:pPr>
            <w:r>
              <w:rPr>
                <w:rFonts w:ascii="宋体" w:hAnsi="宋体" w:eastAsia="宋体"/>
                <w:sz w:val="16"/>
              </w:rPr>
              <w:t>0.00</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5DFDE">
            <w:pPr>
              <w:jc w:val="center"/>
            </w:pPr>
            <w:r>
              <w:rPr>
                <w:rFonts w:ascii="宋体" w:hAnsi="宋体" w:eastAsia="宋体"/>
                <w:sz w:val="16"/>
              </w:rPr>
              <w:t>0.00</w:t>
            </w:r>
          </w:p>
        </w:tc>
        <w:tc>
          <w:tcPr>
            <w:tcW w:w="12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B0183">
            <w:pPr>
              <w:jc w:val="center"/>
            </w:pPr>
            <w:r>
              <w:rPr>
                <w:rFonts w:ascii="宋体" w:hAnsi="宋体" w:eastAsia="宋体"/>
                <w:sz w:val="16"/>
              </w:rPr>
              <w:t>—</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4DCD9">
            <w:pPr>
              <w:jc w:val="center"/>
            </w:pPr>
          </w:p>
        </w:tc>
        <w:tc>
          <w:tcPr>
            <w:tcW w:w="1199" w:type="dxa"/>
            <w:tcBorders>
              <w:top w:val="single" w:color="auto" w:sz="10" w:space="0"/>
              <w:left w:val="single" w:color="auto" w:sz="10" w:space="0"/>
              <w:bottom w:val="single" w:color="auto" w:sz="10" w:space="0"/>
              <w:right w:val="single" w:color="auto" w:sz="10" w:space="0"/>
              <w:insideV w:val="single" w:sz="10" w:space="0"/>
            </w:tcBorders>
            <w:vAlign w:val="center"/>
          </w:tcPr>
          <w:p w14:paraId="4245B21F">
            <w:pPr>
              <w:jc w:val="center"/>
            </w:pPr>
            <w:r>
              <w:rPr>
                <w:rFonts w:ascii="宋体" w:hAnsi="宋体" w:eastAsia="宋体"/>
                <w:sz w:val="16"/>
              </w:rPr>
              <w:t>—</w:t>
            </w:r>
          </w:p>
        </w:tc>
      </w:tr>
      <w:tr w14:paraId="4595BB6C">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512A28EE"/>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C1DBC">
            <w:pPr>
              <w:jc w:val="center"/>
            </w:pPr>
            <w:r>
              <w:rPr>
                <w:rFonts w:ascii="宋体" w:hAnsi="宋体" w:eastAsia="宋体"/>
                <w:sz w:val="16"/>
              </w:rPr>
              <w:t xml:space="preserve">  其他资金</w:t>
            </w:r>
          </w:p>
        </w:tc>
        <w:tc>
          <w:tcPr>
            <w:tcW w:w="15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6AEC3">
            <w:pPr>
              <w:jc w:val="center"/>
            </w:pPr>
            <w:r>
              <w:rPr>
                <w:rFonts w:ascii="宋体" w:hAnsi="宋体" w:eastAsia="宋体"/>
                <w:sz w:val="16"/>
              </w:rPr>
              <w:t>1,062.41</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1F3D5">
            <w:pPr>
              <w:jc w:val="center"/>
            </w:pPr>
            <w:r>
              <w:rPr>
                <w:rFonts w:ascii="宋体" w:hAnsi="宋体" w:eastAsia="宋体"/>
                <w:sz w:val="16"/>
              </w:rPr>
              <w:t>1,062.41</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2A4D4">
            <w:pPr>
              <w:jc w:val="center"/>
            </w:pPr>
            <w:r>
              <w:rPr>
                <w:rFonts w:ascii="宋体" w:hAnsi="宋体" w:eastAsia="宋体"/>
                <w:sz w:val="16"/>
              </w:rPr>
              <w:t>1,062.41</w:t>
            </w:r>
          </w:p>
        </w:tc>
        <w:tc>
          <w:tcPr>
            <w:tcW w:w="12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5B445">
            <w:pPr>
              <w:jc w:val="center"/>
            </w:pPr>
            <w:r>
              <w:rPr>
                <w:rFonts w:ascii="宋体" w:hAnsi="宋体" w:eastAsia="宋体"/>
                <w:sz w:val="16"/>
              </w:rPr>
              <w:t>—</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92E59">
            <w:pPr>
              <w:jc w:val="center"/>
            </w:pPr>
          </w:p>
        </w:tc>
        <w:tc>
          <w:tcPr>
            <w:tcW w:w="1199" w:type="dxa"/>
            <w:tcBorders>
              <w:top w:val="single" w:color="auto" w:sz="10" w:space="0"/>
              <w:left w:val="single" w:color="auto" w:sz="10" w:space="0"/>
              <w:bottom w:val="single" w:color="auto" w:sz="10" w:space="0"/>
              <w:right w:val="single" w:color="auto" w:sz="10" w:space="0"/>
              <w:insideV w:val="single" w:sz="10" w:space="0"/>
            </w:tcBorders>
            <w:vAlign w:val="center"/>
          </w:tcPr>
          <w:p w14:paraId="409AB384">
            <w:pPr>
              <w:jc w:val="center"/>
            </w:pPr>
            <w:r>
              <w:rPr>
                <w:rFonts w:ascii="宋体" w:hAnsi="宋体" w:eastAsia="宋体"/>
                <w:sz w:val="16"/>
              </w:rPr>
              <w:t>—</w:t>
            </w:r>
          </w:p>
        </w:tc>
      </w:tr>
      <w:tr w14:paraId="1DCCBF1D">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ADCF1">
            <w:pPr>
              <w:jc w:val="center"/>
            </w:pPr>
            <w:r>
              <w:rPr>
                <w:rFonts w:ascii="宋体" w:hAnsi="宋体" w:eastAsia="宋体"/>
                <w:sz w:val="16"/>
              </w:rPr>
              <w:t>三、目标完成情况</w:t>
            </w:r>
          </w:p>
        </w:tc>
        <w:tc>
          <w:tcPr>
            <w:tcW w:w="455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B3B767">
            <w:pPr>
              <w:jc w:val="center"/>
            </w:pPr>
            <w:r>
              <w:rPr>
                <w:rFonts w:ascii="宋体" w:hAnsi="宋体" w:eastAsia="宋体"/>
                <w:sz w:val="16"/>
              </w:rPr>
              <w:t>预期目标</w:t>
            </w:r>
          </w:p>
        </w:tc>
        <w:tc>
          <w:tcPr>
            <w:tcW w:w="388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11921A">
            <w:pPr>
              <w:jc w:val="center"/>
            </w:pPr>
            <w:r>
              <w:rPr>
                <w:rFonts w:ascii="宋体" w:hAnsi="宋体" w:eastAsia="宋体"/>
                <w:sz w:val="16"/>
              </w:rPr>
              <w:t>实际完成情况</w:t>
            </w:r>
          </w:p>
        </w:tc>
      </w:tr>
      <w:tr w14:paraId="7A5099F8">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557D5533"/>
        </w:tc>
        <w:tc>
          <w:tcPr>
            <w:tcW w:w="455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BF8AAB">
            <w:pPr>
              <w:jc w:val="both"/>
            </w:pPr>
            <w:r>
              <w:rPr>
                <w:rFonts w:ascii="宋体" w:hAnsi="宋体" w:eastAsia="宋体"/>
                <w:sz w:val="16"/>
              </w:rPr>
              <w:t>文化浸润经费保障1个单位数量，项目的实施通过文化活动、文化产品等多种形式体现，不同文化的碰撞为文化创新提供了契机，能够让各民族在文化交流中找到共同的情感纽带。</w:t>
            </w:r>
          </w:p>
        </w:tc>
        <w:tc>
          <w:tcPr>
            <w:tcW w:w="388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13319F">
            <w:pPr>
              <w:jc w:val="both"/>
            </w:pPr>
            <w:r>
              <w:rPr>
                <w:rFonts w:ascii="宋体" w:hAnsi="宋体" w:eastAsia="宋体"/>
                <w:sz w:val="16"/>
              </w:rPr>
              <w:t>现阶段已保障1个单位的文化浸润经费，预算执行率为100%。项目的实施通过文化活动、文化产品等多种形式体现，不同文化的碰撞为文化创新提供了契机，能够让各民族在文化交流中找到共同的情感纽带。</w:t>
            </w:r>
          </w:p>
        </w:tc>
      </w:tr>
      <w:tr w14:paraId="140438C1">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tcPr>
          <w:p w14:paraId="5D19CC45"/>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EA23B16">
            <w:pPr>
              <w:jc w:val="center"/>
            </w:pPr>
            <w:r>
              <w:rPr>
                <w:rFonts w:ascii="宋体" w:hAnsi="宋体" w:eastAsia="宋体"/>
                <w:sz w:val="16"/>
              </w:rPr>
              <w:t>一级指标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F7CFC70">
            <w:pPr>
              <w:jc w:val="center"/>
            </w:pPr>
            <w:r>
              <w:rPr>
                <w:rFonts w:ascii="宋体" w:hAnsi="宋体" w:eastAsia="宋体"/>
                <w:sz w:val="16"/>
              </w:rPr>
              <w:t>二级指标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CC9CD3F">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165B8BD">
            <w:pPr>
              <w:jc w:val="center"/>
            </w:pPr>
            <w:r>
              <w:rPr>
                <w:rFonts w:ascii="宋体" w:hAnsi="宋体" w:eastAsia="宋体"/>
                <w:sz w:val="16"/>
              </w:rPr>
              <w:t>年度指标值</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E369B0F">
            <w:pPr>
              <w:jc w:val="center"/>
            </w:pPr>
            <w:r>
              <w:rPr>
                <w:rFonts w:ascii="宋体" w:hAnsi="宋体" w:eastAsia="宋体"/>
                <w:sz w:val="16"/>
              </w:rPr>
              <w:t>指标值设定依据</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6AFC6DF">
            <w:pPr>
              <w:jc w:val="center"/>
            </w:pPr>
            <w:r>
              <w:rPr>
                <w:rFonts w:ascii="宋体" w:hAnsi="宋体" w:eastAsia="宋体"/>
                <w:sz w:val="16"/>
              </w:rPr>
              <w:t>上年完成情况</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E63789F">
            <w:pPr>
              <w:jc w:val="center"/>
            </w:pPr>
            <w:r>
              <w:rPr>
                <w:rFonts w:ascii="宋体" w:hAnsi="宋体" w:eastAsia="宋体"/>
                <w:sz w:val="16"/>
              </w:rPr>
              <w:t>权重</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62DC6D5">
            <w:pPr>
              <w:jc w:val="center"/>
            </w:pPr>
            <w:r>
              <w:rPr>
                <w:rFonts w:ascii="宋体" w:hAnsi="宋体" w:eastAsia="宋体"/>
                <w:sz w:val="16"/>
              </w:rPr>
              <w:t>赋分规则</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30857E2">
            <w:pPr>
              <w:jc w:val="center"/>
            </w:pPr>
            <w:r>
              <w:rPr>
                <w:rFonts w:ascii="宋体" w:hAnsi="宋体" w:eastAsia="宋体"/>
                <w:sz w:val="16"/>
              </w:rPr>
              <w:t>佐证资料</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54A3D2FC">
            <w:pPr>
              <w:jc w:val="center"/>
            </w:pPr>
            <w:r>
              <w:rPr>
                <w:rFonts w:ascii="宋体" w:hAnsi="宋体" w:eastAsia="宋体"/>
                <w:sz w:val="16"/>
              </w:rPr>
              <w:t>实际完成值</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32F51">
            <w:pPr>
              <w:jc w:val="center"/>
            </w:pPr>
            <w:r>
              <w:rPr>
                <w:rFonts w:ascii="宋体" w:hAnsi="宋体" w:eastAsia="宋体"/>
                <w:sz w:val="16"/>
              </w:rPr>
              <w:t>得分</w:t>
            </w:r>
          </w:p>
        </w:tc>
        <w:tc>
          <w:tcPr>
            <w:tcW w:w="1199" w:type="dxa"/>
            <w:tcBorders>
              <w:top w:val="single" w:color="auto" w:sz="10" w:space="0"/>
              <w:left w:val="single" w:color="auto" w:sz="10" w:space="0"/>
              <w:bottom w:val="single" w:color="auto" w:sz="10" w:space="0"/>
              <w:right w:val="single" w:color="auto" w:sz="10" w:space="0"/>
              <w:insideV w:val="single" w:sz="10" w:space="0"/>
            </w:tcBorders>
            <w:vAlign w:val="center"/>
          </w:tcPr>
          <w:p w14:paraId="7A204985">
            <w:pPr>
              <w:jc w:val="center"/>
            </w:pPr>
            <w:r>
              <w:rPr>
                <w:rFonts w:ascii="宋体" w:hAnsi="宋体" w:eastAsia="宋体"/>
                <w:sz w:val="16"/>
              </w:rPr>
              <w:t>偏差原因分析及改进措施</w:t>
            </w:r>
          </w:p>
        </w:tc>
      </w:tr>
      <w:tr w14:paraId="4D65CD35">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526CD">
            <w:pPr>
              <w:jc w:val="center"/>
            </w:pPr>
            <w:r>
              <w:rPr>
                <w:rFonts w:ascii="宋体" w:hAnsi="宋体" w:eastAsia="宋体"/>
                <w:sz w:val="16"/>
              </w:rPr>
              <w:t>年度绩效指标完成情况</w:t>
            </w: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514EB">
            <w:pPr>
              <w:jc w:val="center"/>
            </w:pPr>
            <w:r>
              <w:rPr>
                <w:rFonts w:ascii="宋体" w:hAnsi="宋体" w:eastAsia="宋体"/>
                <w:sz w:val="16"/>
              </w:rPr>
              <w:t>产出指标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85602E5">
            <w:pPr>
              <w:jc w:val="center"/>
            </w:pPr>
            <w:r>
              <w:rPr>
                <w:rFonts w:ascii="宋体" w:hAnsi="宋体" w:eastAsia="宋体"/>
                <w:sz w:val="16"/>
              </w:rPr>
              <w:t>数量指标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50F892B">
            <w:pPr>
              <w:jc w:val="center"/>
            </w:pPr>
            <w:r>
              <w:rPr>
                <w:rFonts w:ascii="宋体" w:hAnsi="宋体" w:eastAsia="宋体"/>
                <w:sz w:val="16"/>
              </w:rPr>
              <w:t>经费保障单位数量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1DECEEE">
            <w:pPr>
              <w:jc w:val="center"/>
            </w:pPr>
            <w:r>
              <w:rPr>
                <w:rFonts w:ascii="宋体" w:hAnsi="宋体" w:eastAsia="宋体"/>
                <w:sz w:val="16"/>
              </w:rPr>
              <w:t>&gt;=1个</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661EF53">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BD66B53">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A58CF3D">
            <w:pPr>
              <w:jc w:val="center"/>
            </w:pPr>
            <w:r>
              <w:rPr>
                <w:rFonts w:ascii="宋体" w:hAnsi="宋体" w:eastAsia="宋体"/>
                <w:sz w:val="16"/>
              </w:rPr>
              <w:t>8</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7254114">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8A190B9">
            <w:pPr>
              <w:jc w:val="center"/>
            </w:pPr>
            <w:r>
              <w:rPr>
                <w:rFonts w:ascii="宋体" w:hAnsi="宋体" w:eastAsia="宋体"/>
                <w:sz w:val="16"/>
              </w:rPr>
              <w:t>原始凭证</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0FCCE4B2">
            <w:pPr>
              <w:jc w:val="center"/>
            </w:pPr>
            <w:r>
              <w:rPr>
                <w:rFonts w:ascii="宋体" w:hAnsi="宋体" w:eastAsia="宋体"/>
                <w:sz w:val="16"/>
              </w:rPr>
              <w:t>=1个</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2FB93">
            <w:pPr>
              <w:jc w:val="center"/>
            </w:pPr>
            <w:r>
              <w:rPr>
                <w:rFonts w:ascii="宋体" w:hAnsi="宋体" w:eastAsia="宋体"/>
                <w:sz w:val="16"/>
              </w:rPr>
              <w:t>8</w:t>
            </w:r>
          </w:p>
        </w:tc>
        <w:tc>
          <w:tcPr>
            <w:tcW w:w="1199" w:type="dxa"/>
            <w:tcBorders>
              <w:top w:val="single" w:color="auto" w:sz="10" w:space="0"/>
              <w:left w:val="single" w:color="auto" w:sz="10" w:space="0"/>
              <w:bottom w:val="single" w:color="auto" w:sz="10" w:space="0"/>
              <w:right w:val="single" w:color="auto" w:sz="10" w:space="0"/>
              <w:insideV w:val="single" w:sz="10" w:space="0"/>
            </w:tcBorders>
            <w:vAlign w:val="center"/>
          </w:tcPr>
          <w:p w14:paraId="0E3C8914">
            <w:pPr>
              <w:jc w:val="center"/>
            </w:pPr>
          </w:p>
        </w:tc>
      </w:tr>
      <w:tr w14:paraId="59670B17">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27001E6B"/>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50DDB631"/>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7D2F7">
            <w:pPr>
              <w:jc w:val="center"/>
            </w:pPr>
            <w:r>
              <w:rPr>
                <w:rFonts w:ascii="宋体" w:hAnsi="宋体" w:eastAsia="宋体"/>
                <w:sz w:val="16"/>
              </w:rPr>
              <w:t>质量指标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350A8F5">
            <w:pPr>
              <w:jc w:val="center"/>
            </w:pPr>
            <w:r>
              <w:rPr>
                <w:rFonts w:ascii="宋体" w:hAnsi="宋体" w:eastAsia="宋体"/>
                <w:sz w:val="16"/>
              </w:rPr>
              <w:t>经费保障率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2468022">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9F9D4FE">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0066488">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3233060">
            <w:pPr>
              <w:jc w:val="center"/>
            </w:pPr>
            <w:r>
              <w:rPr>
                <w:rFonts w:ascii="宋体" w:hAnsi="宋体" w:eastAsia="宋体"/>
                <w:sz w:val="16"/>
              </w:rPr>
              <w:t>8</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D438E12">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3B14598">
            <w:pPr>
              <w:jc w:val="center"/>
            </w:pPr>
            <w:r>
              <w:rPr>
                <w:rFonts w:ascii="宋体" w:hAnsi="宋体" w:eastAsia="宋体"/>
                <w:sz w:val="16"/>
              </w:rPr>
              <w:t>原始凭证</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75629205">
            <w:pPr>
              <w:jc w:val="center"/>
            </w:pPr>
            <w:r>
              <w:rPr>
                <w:rFonts w:ascii="宋体" w:hAnsi="宋体" w:eastAsia="宋体"/>
                <w:sz w:val="16"/>
              </w:rPr>
              <w:t>=100%</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3244B">
            <w:pPr>
              <w:jc w:val="center"/>
            </w:pPr>
            <w:r>
              <w:rPr>
                <w:rFonts w:ascii="宋体" w:hAnsi="宋体" w:eastAsia="宋体"/>
                <w:sz w:val="16"/>
              </w:rPr>
              <w:t>8</w:t>
            </w:r>
          </w:p>
        </w:tc>
        <w:tc>
          <w:tcPr>
            <w:tcW w:w="1199" w:type="dxa"/>
            <w:tcBorders>
              <w:top w:val="single" w:color="auto" w:sz="10" w:space="0"/>
              <w:left w:val="single" w:color="auto" w:sz="10" w:space="0"/>
              <w:bottom w:val="single" w:color="auto" w:sz="10" w:space="0"/>
              <w:right w:val="single" w:color="auto" w:sz="10" w:space="0"/>
              <w:insideV w:val="single" w:sz="10" w:space="0"/>
            </w:tcBorders>
            <w:vAlign w:val="center"/>
          </w:tcPr>
          <w:p w14:paraId="7CCFA51C">
            <w:pPr>
              <w:jc w:val="center"/>
            </w:pPr>
          </w:p>
        </w:tc>
      </w:tr>
      <w:tr w14:paraId="0EE4E9A1">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47D67744"/>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1F4D6C4F"/>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2FCC85A1"/>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CF8A201">
            <w:pPr>
              <w:jc w:val="center"/>
            </w:pPr>
            <w:r>
              <w:rPr>
                <w:rFonts w:ascii="宋体" w:hAnsi="宋体" w:eastAsia="宋体"/>
                <w:sz w:val="16"/>
              </w:rPr>
              <w:t>经费使用合规率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8C1E513">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9DC272D">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C28597D">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8AD1975">
            <w:pPr>
              <w:jc w:val="center"/>
            </w:pPr>
            <w:r>
              <w:rPr>
                <w:rFonts w:ascii="宋体" w:hAnsi="宋体" w:eastAsia="宋体"/>
                <w:sz w:val="16"/>
              </w:rPr>
              <w:t>8</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0A48DD3">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2A5B1CE">
            <w:pPr>
              <w:jc w:val="center"/>
            </w:pPr>
            <w:r>
              <w:rPr>
                <w:rFonts w:ascii="宋体" w:hAnsi="宋体" w:eastAsia="宋体"/>
                <w:sz w:val="16"/>
              </w:rPr>
              <w:t>原始凭证</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0C11ED60">
            <w:pPr>
              <w:jc w:val="center"/>
            </w:pPr>
            <w:r>
              <w:rPr>
                <w:rFonts w:ascii="宋体" w:hAnsi="宋体" w:eastAsia="宋体"/>
                <w:sz w:val="16"/>
              </w:rPr>
              <w:t>=100%</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2F4CA">
            <w:pPr>
              <w:jc w:val="center"/>
            </w:pPr>
            <w:r>
              <w:rPr>
                <w:rFonts w:ascii="宋体" w:hAnsi="宋体" w:eastAsia="宋体"/>
                <w:sz w:val="16"/>
              </w:rPr>
              <w:t>8</w:t>
            </w:r>
          </w:p>
        </w:tc>
        <w:tc>
          <w:tcPr>
            <w:tcW w:w="1199" w:type="dxa"/>
            <w:tcBorders>
              <w:top w:val="single" w:color="auto" w:sz="10" w:space="0"/>
              <w:left w:val="single" w:color="auto" w:sz="10" w:space="0"/>
              <w:bottom w:val="single" w:color="auto" w:sz="10" w:space="0"/>
              <w:right w:val="single" w:color="auto" w:sz="10" w:space="0"/>
              <w:insideV w:val="single" w:sz="10" w:space="0"/>
            </w:tcBorders>
            <w:vAlign w:val="center"/>
          </w:tcPr>
          <w:p w14:paraId="305A9D0A">
            <w:pPr>
              <w:jc w:val="center"/>
            </w:pPr>
          </w:p>
        </w:tc>
      </w:tr>
      <w:tr w14:paraId="723F04E0">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11ABB34"/>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7770BF93"/>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D9D4B">
            <w:pPr>
              <w:jc w:val="center"/>
            </w:pPr>
            <w:r>
              <w:rPr>
                <w:rFonts w:ascii="宋体" w:hAnsi="宋体" w:eastAsia="宋体"/>
                <w:sz w:val="16"/>
              </w:rPr>
              <w:t>时效指标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2CC670A">
            <w:pPr>
              <w:jc w:val="center"/>
            </w:pPr>
            <w:r>
              <w:rPr>
                <w:rFonts w:ascii="宋体" w:hAnsi="宋体" w:eastAsia="宋体"/>
                <w:sz w:val="16"/>
              </w:rPr>
              <w:t>经费支付及时率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01ECC3D">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584C1C2">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494FEA2B">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9036C49">
            <w:pPr>
              <w:jc w:val="center"/>
            </w:pPr>
            <w:r>
              <w:rPr>
                <w:rFonts w:ascii="宋体" w:hAnsi="宋体" w:eastAsia="宋体"/>
                <w:sz w:val="16"/>
              </w:rPr>
              <w:t>8</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1ED2C85">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0B26BCE">
            <w:pPr>
              <w:jc w:val="center"/>
            </w:pPr>
            <w:r>
              <w:rPr>
                <w:rFonts w:ascii="宋体" w:hAnsi="宋体" w:eastAsia="宋体"/>
                <w:sz w:val="16"/>
              </w:rPr>
              <w:t>原始凭证</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21FF9E61">
            <w:pPr>
              <w:jc w:val="center"/>
            </w:pPr>
            <w:r>
              <w:rPr>
                <w:rFonts w:ascii="宋体" w:hAnsi="宋体" w:eastAsia="宋体"/>
                <w:sz w:val="16"/>
              </w:rPr>
              <w:t>=100%</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50397">
            <w:pPr>
              <w:jc w:val="center"/>
            </w:pPr>
            <w:r>
              <w:rPr>
                <w:rFonts w:ascii="宋体" w:hAnsi="宋体" w:eastAsia="宋体"/>
                <w:sz w:val="16"/>
              </w:rPr>
              <w:t>8</w:t>
            </w:r>
          </w:p>
        </w:tc>
        <w:tc>
          <w:tcPr>
            <w:tcW w:w="1199" w:type="dxa"/>
            <w:tcBorders>
              <w:top w:val="single" w:color="auto" w:sz="10" w:space="0"/>
              <w:left w:val="single" w:color="auto" w:sz="10" w:space="0"/>
              <w:bottom w:val="single" w:color="auto" w:sz="10" w:space="0"/>
              <w:right w:val="single" w:color="auto" w:sz="10" w:space="0"/>
              <w:insideV w:val="single" w:sz="10" w:space="0"/>
            </w:tcBorders>
            <w:vAlign w:val="center"/>
          </w:tcPr>
          <w:p w14:paraId="2F1F3735">
            <w:pPr>
              <w:jc w:val="center"/>
            </w:pPr>
          </w:p>
        </w:tc>
      </w:tr>
      <w:tr w14:paraId="6A862C73">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1E1B6FB3"/>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7375B9B7"/>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76D97119"/>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E54D400">
            <w:pPr>
              <w:jc w:val="center"/>
            </w:pPr>
            <w:r>
              <w:rPr>
                <w:rFonts w:ascii="宋体" w:hAnsi="宋体" w:eastAsia="宋体"/>
                <w:sz w:val="16"/>
              </w:rPr>
              <w:t>经费支付完成时间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5EF1B93">
            <w:pPr>
              <w:jc w:val="center"/>
            </w:pPr>
            <w:r>
              <w:rPr>
                <w:rFonts w:ascii="宋体" w:hAnsi="宋体" w:eastAsia="宋体"/>
                <w:sz w:val="16"/>
              </w:rPr>
              <w:t>=2024年12月31日前</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25FC0DB">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A424FDE">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D2BEF51">
            <w:pPr>
              <w:jc w:val="center"/>
            </w:pPr>
            <w:r>
              <w:rPr>
                <w:rFonts w:ascii="宋体" w:hAnsi="宋体" w:eastAsia="宋体"/>
                <w:sz w:val="16"/>
              </w:rPr>
              <w:t>8</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8F3CA9D">
            <w:pPr>
              <w:jc w:val="center"/>
            </w:pPr>
            <w:r>
              <w:rPr>
                <w:rFonts w:ascii="宋体" w:hAnsi="宋体" w:eastAsia="宋体"/>
                <w:sz w:val="16"/>
              </w:rPr>
              <w:t>直接赋分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3B4BC91">
            <w:pPr>
              <w:jc w:val="center"/>
            </w:pPr>
            <w:r>
              <w:rPr>
                <w:rFonts w:ascii="宋体" w:hAnsi="宋体" w:eastAsia="宋体"/>
                <w:sz w:val="16"/>
              </w:rPr>
              <w:t>原始凭证</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6D08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31B6">
            <w:pPr>
              <w:jc w:val="center"/>
            </w:pPr>
            <w:r>
              <w:rPr>
                <w:rFonts w:ascii="宋体" w:hAnsi="宋体" w:eastAsia="宋体"/>
                <w:sz w:val="16"/>
              </w:rPr>
              <w:t>8</w:t>
            </w:r>
          </w:p>
        </w:tc>
        <w:tc>
          <w:tcPr>
            <w:tcW w:w="1199" w:type="dxa"/>
            <w:tcBorders>
              <w:top w:val="single" w:color="auto" w:sz="10" w:space="0"/>
              <w:left w:val="single" w:color="auto" w:sz="10" w:space="0"/>
              <w:bottom w:val="single" w:color="auto" w:sz="10" w:space="0"/>
              <w:right w:val="single" w:color="auto" w:sz="10" w:space="0"/>
              <w:insideV w:val="single" w:sz="10" w:space="0"/>
            </w:tcBorders>
            <w:vAlign w:val="center"/>
          </w:tcPr>
          <w:p w14:paraId="7A9E830C">
            <w:pPr>
              <w:jc w:val="center"/>
            </w:pPr>
          </w:p>
        </w:tc>
      </w:tr>
      <w:tr w14:paraId="60ED6701">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2D3C1E64"/>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A4686E0">
            <w:pPr>
              <w:jc w:val="center"/>
            </w:pPr>
            <w:r>
              <w:rPr>
                <w:rFonts w:ascii="宋体" w:hAnsi="宋体" w:eastAsia="宋体"/>
                <w:sz w:val="16"/>
              </w:rPr>
              <w:t>成本指标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10896C7">
            <w:pPr>
              <w:jc w:val="center"/>
            </w:pPr>
            <w:r>
              <w:rPr>
                <w:rFonts w:ascii="宋体" w:hAnsi="宋体" w:eastAsia="宋体"/>
                <w:sz w:val="16"/>
              </w:rPr>
              <w:t>经济成本指标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80EFC18">
            <w:pPr>
              <w:jc w:val="center"/>
            </w:pPr>
            <w:r>
              <w:rPr>
                <w:rFonts w:ascii="宋体" w:hAnsi="宋体" w:eastAsia="宋体"/>
                <w:sz w:val="16"/>
              </w:rPr>
              <w:t>经费保障预算控制数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0C5DB96">
            <w:pPr>
              <w:jc w:val="center"/>
            </w:pPr>
            <w:r>
              <w:rPr>
                <w:rFonts w:ascii="宋体" w:hAnsi="宋体" w:eastAsia="宋体"/>
                <w:sz w:val="16"/>
              </w:rPr>
              <w:t>&lt;=1062.41万元/个</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6674BD3">
            <w:pPr>
              <w:jc w:val="center"/>
            </w:pPr>
            <w:r>
              <w:rPr>
                <w:rFonts w:ascii="宋体" w:hAnsi="宋体" w:eastAsia="宋体"/>
                <w:sz w:val="16"/>
              </w:rPr>
              <w:t>预算支出标准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22BBE2B">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E60D0FA">
            <w:pPr>
              <w:jc w:val="center"/>
            </w:pPr>
            <w:r>
              <w:rPr>
                <w:rFonts w:ascii="宋体" w:hAnsi="宋体" w:eastAsia="宋体"/>
                <w:sz w:val="16"/>
              </w:rPr>
              <w:t>20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ADDF9BA">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461E283">
            <w:pPr>
              <w:jc w:val="center"/>
            </w:pPr>
            <w:r>
              <w:rPr>
                <w:rFonts w:ascii="宋体" w:hAnsi="宋体" w:eastAsia="宋体"/>
                <w:sz w:val="16"/>
              </w:rPr>
              <w:t>原始凭证</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3B195">
            <w:pPr>
              <w:jc w:val="center"/>
            </w:pPr>
            <w:r>
              <w:rPr>
                <w:rFonts w:ascii="宋体" w:hAnsi="宋体" w:eastAsia="宋体"/>
                <w:sz w:val="16"/>
              </w:rPr>
              <w:t>=1062.41万元/个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EEEEB">
            <w:pPr>
              <w:jc w:val="center"/>
            </w:pPr>
            <w:r>
              <w:rPr>
                <w:rFonts w:ascii="宋体" w:hAnsi="宋体" w:eastAsia="宋体"/>
                <w:sz w:val="16"/>
              </w:rPr>
              <w:t>20</w:t>
            </w:r>
          </w:p>
        </w:tc>
        <w:tc>
          <w:tcPr>
            <w:tcW w:w="1199" w:type="dxa"/>
            <w:tcBorders>
              <w:top w:val="single" w:color="auto" w:sz="10" w:space="0"/>
              <w:left w:val="single" w:color="auto" w:sz="10" w:space="0"/>
              <w:bottom w:val="single" w:color="auto" w:sz="10" w:space="0"/>
              <w:right w:val="single" w:color="auto" w:sz="10" w:space="0"/>
              <w:insideV w:val="single" w:sz="10" w:space="0"/>
            </w:tcBorders>
            <w:vAlign w:val="center"/>
          </w:tcPr>
          <w:p w14:paraId="4EA7A2C1">
            <w:pPr>
              <w:jc w:val="center"/>
            </w:pPr>
          </w:p>
        </w:tc>
      </w:tr>
      <w:tr w14:paraId="4A84810B">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6EDE0B0C"/>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733C80D">
            <w:pPr>
              <w:jc w:val="center"/>
            </w:pPr>
            <w:r>
              <w:rPr>
                <w:rFonts w:ascii="宋体" w:hAnsi="宋体" w:eastAsia="宋体"/>
                <w:sz w:val="16"/>
              </w:rPr>
              <w:t>效益指标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29724BD">
            <w:pPr>
              <w:jc w:val="center"/>
            </w:pPr>
            <w:r>
              <w:rPr>
                <w:rFonts w:ascii="宋体" w:hAnsi="宋体" w:eastAsia="宋体"/>
                <w:sz w:val="16"/>
              </w:rPr>
              <w:t>社会效益指标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C573DC3">
            <w:pPr>
              <w:jc w:val="center"/>
            </w:pPr>
            <w:r>
              <w:rPr>
                <w:rFonts w:ascii="宋体" w:hAnsi="宋体" w:eastAsia="宋体"/>
                <w:sz w:val="16"/>
              </w:rPr>
              <w:t>为文化创新提供了契机</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723FE0C">
            <w:pPr>
              <w:jc w:val="center"/>
            </w:pPr>
            <w:r>
              <w:rPr>
                <w:rFonts w:ascii="宋体" w:hAnsi="宋体" w:eastAsia="宋体"/>
                <w:sz w:val="16"/>
              </w:rPr>
              <w:t>有效提供</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533781D">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BECF153">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48E319E">
            <w:pPr>
              <w:jc w:val="center"/>
            </w:pPr>
            <w:r>
              <w:rPr>
                <w:rFonts w:ascii="宋体" w:hAnsi="宋体" w:eastAsia="宋体"/>
                <w:sz w:val="16"/>
              </w:rPr>
              <w:t>30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A9C41B9">
            <w:pPr>
              <w:jc w:val="center"/>
            </w:pPr>
            <w:r>
              <w:rPr>
                <w:rFonts w:ascii="宋体" w:hAnsi="宋体" w:eastAsia="宋体"/>
                <w:sz w:val="16"/>
              </w:rPr>
              <w:t>按评判等级赋分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B30ED2D">
            <w:pPr>
              <w:jc w:val="center"/>
            </w:pPr>
            <w:r>
              <w:rPr>
                <w:rFonts w:ascii="宋体" w:hAnsi="宋体" w:eastAsia="宋体"/>
                <w:sz w:val="16"/>
              </w:rPr>
              <w:t>工作资料</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A500D">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CB68">
            <w:pPr>
              <w:jc w:val="center"/>
            </w:pPr>
            <w:r>
              <w:rPr>
                <w:rFonts w:ascii="宋体" w:hAnsi="宋体" w:eastAsia="宋体"/>
                <w:sz w:val="16"/>
              </w:rPr>
              <w:t>30</w:t>
            </w:r>
          </w:p>
        </w:tc>
        <w:tc>
          <w:tcPr>
            <w:tcW w:w="1199" w:type="dxa"/>
            <w:tcBorders>
              <w:top w:val="single" w:color="auto" w:sz="10" w:space="0"/>
              <w:left w:val="single" w:color="auto" w:sz="10" w:space="0"/>
              <w:bottom w:val="single" w:color="auto" w:sz="10" w:space="0"/>
              <w:right w:val="single" w:color="auto" w:sz="10" w:space="0"/>
              <w:insideV w:val="single" w:sz="10" w:space="0"/>
            </w:tcBorders>
            <w:vAlign w:val="center"/>
          </w:tcPr>
          <w:p w14:paraId="5D868CCE">
            <w:pPr>
              <w:jc w:val="center"/>
            </w:pPr>
          </w:p>
        </w:tc>
      </w:tr>
      <w:tr w14:paraId="19BC3615">
        <w:tblPrEx>
          <w:tblCellMar>
            <w:top w:w="0" w:type="dxa"/>
            <w:left w:w="108" w:type="dxa"/>
            <w:bottom w:w="0" w:type="dxa"/>
            <w:right w:w="108" w:type="dxa"/>
          </w:tblCellMar>
        </w:tblPrEx>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48281F">
            <w:pPr>
              <w:jc w:val="center"/>
            </w:pPr>
            <w:r>
              <w:rPr>
                <w:rFonts w:ascii="宋体" w:hAnsi="宋体" w:eastAsia="宋体"/>
                <w:sz w:val="16"/>
              </w:rPr>
              <w:t>总分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2C6239D">
            <w:pPr>
              <w:jc w:val="center"/>
            </w:pPr>
            <w:r>
              <w:rPr>
                <w:rFonts w:ascii="宋体" w:hAnsi="宋体" w:eastAsia="宋体"/>
                <w:sz w:val="16"/>
              </w:rPr>
              <w:t>100</w:t>
            </w:r>
          </w:p>
        </w:tc>
        <w:tc>
          <w:tcPr>
            <w:tcW w:w="2055" w:type="dxa"/>
            <w:gridSpan w:val="4"/>
            <w:tcBorders>
              <w:top w:val="single" w:color="auto" w:sz="10" w:space="0"/>
              <w:left w:val="single" w:color="auto" w:sz="10" w:space="0"/>
              <w:bottom w:val="single" w:color="auto" w:sz="10" w:space="0"/>
              <w:right w:val="single" w:color="auto" w:sz="10" w:space="0"/>
              <w:insideV w:val="single" w:sz="10" w:space="0"/>
            </w:tcBorders>
          </w:tcPr>
          <w:p w14:paraId="3A9E3E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F421">
            <w:pPr>
              <w:jc w:val="center"/>
            </w:pPr>
            <w:r>
              <w:rPr>
                <w:rFonts w:ascii="宋体" w:hAnsi="宋体" w:eastAsia="宋体"/>
                <w:sz w:val="16"/>
              </w:rPr>
              <w:t>100分</w:t>
            </w:r>
          </w:p>
        </w:tc>
        <w:tc>
          <w:tcPr>
            <w:tcW w:w="1199" w:type="dxa"/>
            <w:tcBorders>
              <w:top w:val="single" w:color="auto" w:sz="10" w:space="0"/>
              <w:left w:val="single" w:color="auto" w:sz="10" w:space="0"/>
              <w:bottom w:val="single" w:color="auto" w:sz="10" w:space="0"/>
              <w:right w:val="single" w:color="auto" w:sz="10" w:space="0"/>
              <w:insideV w:val="single" w:sz="10" w:space="0"/>
            </w:tcBorders>
          </w:tcPr>
          <w:p w14:paraId="1E91D671"/>
        </w:tc>
      </w:tr>
    </w:tbl>
    <w:p w14:paraId="354B23A5">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1264"/>
      </w:tblGrid>
      <w:tr w14:paraId="04194657">
        <w:tblPrEx>
          <w:tblCellMar>
            <w:top w:w="0" w:type="dxa"/>
            <w:left w:w="108" w:type="dxa"/>
            <w:bottom w:w="0" w:type="dxa"/>
            <w:right w:w="108" w:type="dxa"/>
          </w:tblCellMar>
        </w:tblPrEx>
        <w:tc>
          <w:tcPr>
            <w:tcW w:w="8912" w:type="dxa"/>
            <w:gridSpan w:val="13"/>
            <w:vAlign w:val="center"/>
          </w:tcPr>
          <w:p w14:paraId="0D346E66">
            <w:pPr>
              <w:jc w:val="center"/>
            </w:pPr>
            <w:r>
              <w:rPr>
                <w:rFonts w:ascii="宋体" w:hAnsi="宋体" w:eastAsia="宋体"/>
                <w:sz w:val="24"/>
              </w:rPr>
              <w:t>项目支出绩效自评表</w:t>
            </w:r>
          </w:p>
        </w:tc>
      </w:tr>
      <w:tr w14:paraId="3D27A6C5">
        <w:tblPrEx>
          <w:tblCellMar>
            <w:top w:w="0" w:type="dxa"/>
            <w:left w:w="108" w:type="dxa"/>
            <w:bottom w:w="0" w:type="dxa"/>
            <w:right w:w="108" w:type="dxa"/>
          </w:tblCellMar>
        </w:tblPrEx>
        <w:tc>
          <w:tcPr>
            <w:tcW w:w="8912" w:type="dxa"/>
            <w:gridSpan w:val="13"/>
            <w:vAlign w:val="center"/>
          </w:tcPr>
          <w:p w14:paraId="58D42DBE">
            <w:pPr>
              <w:jc w:val="center"/>
            </w:pPr>
            <w:r>
              <w:rPr>
                <w:rFonts w:ascii="宋体" w:hAnsi="宋体" w:eastAsia="宋体"/>
                <w:sz w:val="24"/>
              </w:rPr>
              <w:t>(2024年度)</w:t>
            </w:r>
          </w:p>
        </w:tc>
      </w:tr>
      <w:tr w14:paraId="4B3FB8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0F35">
            <w:pPr>
              <w:jc w:val="center"/>
            </w:pPr>
            <w:r>
              <w:rPr>
                <w:rFonts w:ascii="宋体" w:hAnsi="宋体" w:eastAsia="宋体"/>
                <w:sz w:val="16"/>
              </w:rPr>
              <w:t>项目名称</w:t>
            </w:r>
          </w:p>
        </w:tc>
        <w:tc>
          <w:tcPr>
            <w:tcW w:w="8280"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39B7CAB">
            <w:pPr>
              <w:jc w:val="center"/>
            </w:pPr>
            <w:r>
              <w:rPr>
                <w:rFonts w:ascii="宋体" w:hAnsi="宋体" w:eastAsia="宋体"/>
                <w:sz w:val="16"/>
              </w:rPr>
              <w:t>正版软件技术服务费项目</w:t>
            </w:r>
          </w:p>
        </w:tc>
      </w:tr>
      <w:tr w14:paraId="182F0A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A97FD">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BE8D0D">
            <w:pPr>
              <w:jc w:val="center"/>
            </w:pPr>
            <w:r>
              <w:rPr>
                <w:rFonts w:ascii="宋体" w:hAnsi="宋体" w:eastAsia="宋体"/>
                <w:sz w:val="16"/>
              </w:rPr>
              <w:t>中共岳普湖县委员会宣传部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CAF8">
            <w:pPr>
              <w:jc w:val="center"/>
            </w:pPr>
            <w:r>
              <w:rPr>
                <w:rFonts w:ascii="宋体" w:hAnsi="宋体" w:eastAsia="宋体"/>
                <w:sz w:val="16"/>
              </w:rPr>
              <w:t>实施单位</w:t>
            </w:r>
          </w:p>
        </w:tc>
        <w:tc>
          <w:tcPr>
            <w:tcW w:w="316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B92C9E">
            <w:pPr>
              <w:jc w:val="center"/>
            </w:pPr>
            <w:r>
              <w:rPr>
                <w:rFonts w:ascii="宋体" w:hAnsi="宋体" w:eastAsia="宋体"/>
                <w:sz w:val="16"/>
              </w:rPr>
              <w:t>中共岳普湖县委员会宣传部</w:t>
            </w:r>
          </w:p>
        </w:tc>
      </w:tr>
      <w:tr w14:paraId="29CC48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B95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478B3">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473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6A9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CE1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500B2">
            <w:pPr>
              <w:jc w:val="center"/>
            </w:pPr>
            <w:r>
              <w:rPr>
                <w:rFonts w:ascii="宋体" w:hAnsi="宋体" w:eastAsia="宋体"/>
                <w:sz w:val="16"/>
              </w:rPr>
              <w:t>分值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29D7">
            <w:pPr>
              <w:jc w:val="center"/>
            </w:pPr>
            <w:r>
              <w:rPr>
                <w:rFonts w:ascii="宋体" w:hAnsi="宋体" w:eastAsia="宋体"/>
                <w:sz w:val="16"/>
              </w:rPr>
              <w:t>执行率</w:t>
            </w:r>
          </w:p>
        </w:tc>
        <w:tc>
          <w:tcPr>
            <w:tcW w:w="1264" w:type="dxa"/>
            <w:tcBorders>
              <w:top w:val="single" w:color="auto" w:sz="10" w:space="0"/>
              <w:left w:val="single" w:color="auto" w:sz="10" w:space="0"/>
              <w:bottom w:val="single" w:color="auto" w:sz="10" w:space="0"/>
              <w:right w:val="single" w:color="auto" w:sz="10" w:space="0"/>
              <w:insideV w:val="single" w:sz="10" w:space="0"/>
            </w:tcBorders>
            <w:vAlign w:val="center"/>
          </w:tcPr>
          <w:p w14:paraId="31B4224E">
            <w:pPr>
              <w:jc w:val="center"/>
            </w:pPr>
            <w:r>
              <w:rPr>
                <w:rFonts w:ascii="宋体" w:hAnsi="宋体" w:eastAsia="宋体"/>
                <w:sz w:val="16"/>
              </w:rPr>
              <w:t>得分</w:t>
            </w:r>
          </w:p>
        </w:tc>
      </w:tr>
      <w:tr w14:paraId="5A62FE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344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A6895">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8A9C8">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5A021">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3DE8B">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64D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607A">
            <w:pPr>
              <w:jc w:val="center"/>
            </w:pPr>
            <w:r>
              <w:rPr>
                <w:rFonts w:ascii="宋体" w:hAnsi="宋体" w:eastAsia="宋体"/>
                <w:sz w:val="16"/>
              </w:rPr>
              <w:t>100.00%</w:t>
            </w:r>
          </w:p>
        </w:tc>
        <w:tc>
          <w:tcPr>
            <w:tcW w:w="1264" w:type="dxa"/>
            <w:tcBorders>
              <w:top w:val="single" w:color="auto" w:sz="10" w:space="0"/>
              <w:left w:val="single" w:color="auto" w:sz="10" w:space="0"/>
              <w:bottom w:val="single" w:color="auto" w:sz="10" w:space="0"/>
              <w:right w:val="single" w:color="auto" w:sz="10" w:space="0"/>
              <w:insideV w:val="single" w:sz="10" w:space="0"/>
            </w:tcBorders>
            <w:vAlign w:val="center"/>
          </w:tcPr>
          <w:p w14:paraId="7A73959A">
            <w:pPr>
              <w:jc w:val="center"/>
            </w:pPr>
            <w:r>
              <w:rPr>
                <w:rFonts w:ascii="宋体" w:hAnsi="宋体" w:eastAsia="宋体"/>
                <w:sz w:val="16"/>
              </w:rPr>
              <w:t>10.00分</w:t>
            </w:r>
          </w:p>
        </w:tc>
      </w:tr>
      <w:tr w14:paraId="279DAF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086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38B10">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7493C">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D0FB3">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4A8B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684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A6CE">
            <w:pPr>
              <w:jc w:val="center"/>
            </w:pPr>
          </w:p>
        </w:tc>
        <w:tc>
          <w:tcPr>
            <w:tcW w:w="1264" w:type="dxa"/>
            <w:tcBorders>
              <w:top w:val="single" w:color="auto" w:sz="10" w:space="0"/>
              <w:left w:val="single" w:color="auto" w:sz="10" w:space="0"/>
              <w:bottom w:val="single" w:color="auto" w:sz="10" w:space="0"/>
              <w:right w:val="single" w:color="auto" w:sz="10" w:space="0"/>
              <w:insideV w:val="single" w:sz="10" w:space="0"/>
            </w:tcBorders>
            <w:vAlign w:val="center"/>
          </w:tcPr>
          <w:p w14:paraId="43282C17">
            <w:pPr>
              <w:jc w:val="center"/>
            </w:pPr>
            <w:r>
              <w:rPr>
                <w:rFonts w:ascii="宋体" w:hAnsi="宋体" w:eastAsia="宋体"/>
                <w:sz w:val="16"/>
              </w:rPr>
              <w:t>—</w:t>
            </w:r>
          </w:p>
        </w:tc>
      </w:tr>
      <w:tr w14:paraId="2849A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869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B677E">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849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84E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450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5D6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977AF">
            <w:pPr>
              <w:jc w:val="center"/>
            </w:pPr>
          </w:p>
        </w:tc>
        <w:tc>
          <w:tcPr>
            <w:tcW w:w="1264" w:type="dxa"/>
            <w:tcBorders>
              <w:top w:val="single" w:color="auto" w:sz="10" w:space="0"/>
              <w:left w:val="single" w:color="auto" w:sz="10" w:space="0"/>
              <w:bottom w:val="single" w:color="auto" w:sz="10" w:space="0"/>
              <w:right w:val="single" w:color="auto" w:sz="10" w:space="0"/>
              <w:insideV w:val="single" w:sz="10" w:space="0"/>
            </w:tcBorders>
            <w:vAlign w:val="center"/>
          </w:tcPr>
          <w:p w14:paraId="1FE7BF74">
            <w:pPr>
              <w:jc w:val="center"/>
            </w:pPr>
            <w:r>
              <w:rPr>
                <w:rFonts w:ascii="宋体" w:hAnsi="宋体" w:eastAsia="宋体"/>
                <w:sz w:val="16"/>
              </w:rPr>
              <w:t>—</w:t>
            </w:r>
          </w:p>
        </w:tc>
      </w:tr>
      <w:tr w14:paraId="331D38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7385F">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ED377">
            <w:pPr>
              <w:jc w:val="center"/>
            </w:pPr>
            <w:r>
              <w:rPr>
                <w:rFonts w:ascii="宋体" w:hAnsi="宋体" w:eastAsia="宋体"/>
                <w:sz w:val="16"/>
              </w:rPr>
              <w:t>预期目标</w:t>
            </w:r>
          </w:p>
        </w:tc>
        <w:tc>
          <w:tcPr>
            <w:tcW w:w="379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80BF93">
            <w:pPr>
              <w:jc w:val="center"/>
            </w:pPr>
            <w:r>
              <w:rPr>
                <w:rFonts w:ascii="宋体" w:hAnsi="宋体" w:eastAsia="宋体"/>
                <w:sz w:val="16"/>
              </w:rPr>
              <w:t>实际完成情况</w:t>
            </w:r>
          </w:p>
        </w:tc>
      </w:tr>
      <w:tr w14:paraId="0CF07D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5B7DA"/>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EA23DA">
            <w:pPr>
              <w:jc w:val="both"/>
            </w:pPr>
            <w:r>
              <w:rPr>
                <w:rFonts w:ascii="宋体" w:hAnsi="宋体" w:eastAsia="宋体"/>
                <w:sz w:val="16"/>
              </w:rPr>
              <w:t>项目主要用于支付行政事业单位WPS正版软件3次（年）的技术服务费，项目的实施满足行政事业单位的日常办公需求，提升办公效率。</w:t>
            </w:r>
          </w:p>
        </w:tc>
        <w:tc>
          <w:tcPr>
            <w:tcW w:w="379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27646C">
            <w:pPr>
              <w:jc w:val="both"/>
            </w:pPr>
            <w:r>
              <w:rPr>
                <w:rFonts w:ascii="宋体" w:hAnsi="宋体" w:eastAsia="宋体"/>
                <w:sz w:val="16"/>
              </w:rPr>
              <w:t>现阶段已完成支付行政事业单位WPS正版软件3次（年）的技术服务费，预算执行率为100%。项目的实施有效满足行政事业单位的日常办公需求，提升办公效率。</w:t>
            </w:r>
          </w:p>
        </w:tc>
      </w:tr>
      <w:tr w14:paraId="2C03F1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3CCF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5E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F893">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A830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1C6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86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17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29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3A9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91E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27D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1503E">
            <w:pPr>
              <w:jc w:val="center"/>
            </w:pPr>
            <w:r>
              <w:rPr>
                <w:rFonts w:ascii="宋体" w:hAnsi="宋体" w:eastAsia="宋体"/>
                <w:sz w:val="16"/>
              </w:rPr>
              <w:t>得分</w:t>
            </w:r>
          </w:p>
        </w:tc>
        <w:tc>
          <w:tcPr>
            <w:tcW w:w="1264" w:type="dxa"/>
            <w:tcBorders>
              <w:top w:val="single" w:color="auto" w:sz="10" w:space="0"/>
              <w:left w:val="single" w:color="auto" w:sz="10" w:space="0"/>
              <w:bottom w:val="single" w:color="auto" w:sz="10" w:space="0"/>
              <w:right w:val="single" w:color="auto" w:sz="10" w:space="0"/>
              <w:insideV w:val="single" w:sz="10" w:space="0"/>
            </w:tcBorders>
            <w:vAlign w:val="center"/>
          </w:tcPr>
          <w:p w14:paraId="4393CCBF">
            <w:pPr>
              <w:jc w:val="center"/>
            </w:pPr>
            <w:r>
              <w:rPr>
                <w:rFonts w:ascii="宋体" w:hAnsi="宋体" w:eastAsia="宋体"/>
                <w:sz w:val="16"/>
              </w:rPr>
              <w:t>偏差原因分析及改进措施</w:t>
            </w:r>
          </w:p>
        </w:tc>
      </w:tr>
      <w:tr w14:paraId="1C4E79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6731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892C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B76B">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DF7C45">
            <w:pPr>
              <w:jc w:val="center"/>
            </w:pPr>
            <w:r>
              <w:rPr>
                <w:rFonts w:ascii="宋体" w:hAnsi="宋体" w:eastAsia="宋体"/>
                <w:sz w:val="16"/>
              </w:rPr>
              <w:t>正版软件技术服务次（年）数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3D04">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F2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69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D57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2E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B3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8F2ED">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4AF6">
            <w:pPr>
              <w:jc w:val="center"/>
            </w:pPr>
            <w:r>
              <w:rPr>
                <w:rFonts w:ascii="宋体" w:hAnsi="宋体" w:eastAsia="宋体"/>
                <w:sz w:val="16"/>
              </w:rPr>
              <w:t>8</w:t>
            </w:r>
          </w:p>
        </w:tc>
        <w:tc>
          <w:tcPr>
            <w:tcW w:w="1264" w:type="dxa"/>
            <w:tcBorders>
              <w:top w:val="single" w:color="auto" w:sz="10" w:space="0"/>
              <w:left w:val="single" w:color="auto" w:sz="10" w:space="0"/>
              <w:bottom w:val="single" w:color="auto" w:sz="10" w:space="0"/>
              <w:right w:val="single" w:color="auto" w:sz="10" w:space="0"/>
              <w:insideV w:val="single" w:sz="10" w:space="0"/>
            </w:tcBorders>
            <w:vAlign w:val="center"/>
          </w:tcPr>
          <w:p w14:paraId="253697DE">
            <w:pPr>
              <w:jc w:val="center"/>
            </w:pPr>
          </w:p>
        </w:tc>
      </w:tr>
      <w:tr w14:paraId="13CDFB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E9A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6E3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59F44">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C18756">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D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783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1D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42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8CF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95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43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D2B0D">
            <w:pPr>
              <w:jc w:val="center"/>
            </w:pPr>
            <w:r>
              <w:rPr>
                <w:rFonts w:ascii="宋体" w:hAnsi="宋体" w:eastAsia="宋体"/>
                <w:sz w:val="16"/>
              </w:rPr>
              <w:t>8</w:t>
            </w:r>
          </w:p>
        </w:tc>
        <w:tc>
          <w:tcPr>
            <w:tcW w:w="1264" w:type="dxa"/>
            <w:tcBorders>
              <w:top w:val="single" w:color="auto" w:sz="10" w:space="0"/>
              <w:left w:val="single" w:color="auto" w:sz="10" w:space="0"/>
              <w:bottom w:val="single" w:color="auto" w:sz="10" w:space="0"/>
              <w:right w:val="single" w:color="auto" w:sz="10" w:space="0"/>
              <w:insideV w:val="single" w:sz="10" w:space="0"/>
            </w:tcBorders>
            <w:vAlign w:val="center"/>
          </w:tcPr>
          <w:p w14:paraId="51EDC50C">
            <w:pPr>
              <w:jc w:val="center"/>
            </w:pPr>
          </w:p>
        </w:tc>
      </w:tr>
      <w:tr w14:paraId="19C84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5C3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549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5919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D81AC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19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BA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456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A22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41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836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A7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372A">
            <w:pPr>
              <w:jc w:val="center"/>
            </w:pPr>
            <w:r>
              <w:rPr>
                <w:rFonts w:ascii="宋体" w:hAnsi="宋体" w:eastAsia="宋体"/>
                <w:sz w:val="16"/>
              </w:rPr>
              <w:t>8</w:t>
            </w:r>
          </w:p>
        </w:tc>
        <w:tc>
          <w:tcPr>
            <w:tcW w:w="1264" w:type="dxa"/>
            <w:tcBorders>
              <w:top w:val="single" w:color="auto" w:sz="10" w:space="0"/>
              <w:left w:val="single" w:color="auto" w:sz="10" w:space="0"/>
              <w:bottom w:val="single" w:color="auto" w:sz="10" w:space="0"/>
              <w:right w:val="single" w:color="auto" w:sz="10" w:space="0"/>
              <w:insideV w:val="single" w:sz="10" w:space="0"/>
            </w:tcBorders>
            <w:vAlign w:val="center"/>
          </w:tcPr>
          <w:p w14:paraId="42671D7D">
            <w:pPr>
              <w:jc w:val="center"/>
            </w:pPr>
          </w:p>
        </w:tc>
      </w:tr>
      <w:tr w14:paraId="65DB4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355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54E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EDC77">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BDE97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9B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E8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02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CB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249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F6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98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EAB2">
            <w:pPr>
              <w:jc w:val="center"/>
            </w:pPr>
            <w:r>
              <w:rPr>
                <w:rFonts w:ascii="宋体" w:hAnsi="宋体" w:eastAsia="宋体"/>
                <w:sz w:val="16"/>
              </w:rPr>
              <w:t>8</w:t>
            </w:r>
          </w:p>
        </w:tc>
        <w:tc>
          <w:tcPr>
            <w:tcW w:w="1264" w:type="dxa"/>
            <w:tcBorders>
              <w:top w:val="single" w:color="auto" w:sz="10" w:space="0"/>
              <w:left w:val="single" w:color="auto" w:sz="10" w:space="0"/>
              <w:bottom w:val="single" w:color="auto" w:sz="10" w:space="0"/>
              <w:right w:val="single" w:color="auto" w:sz="10" w:space="0"/>
              <w:insideV w:val="single" w:sz="10" w:space="0"/>
            </w:tcBorders>
            <w:vAlign w:val="center"/>
          </w:tcPr>
          <w:p w14:paraId="38A2C1CD">
            <w:pPr>
              <w:jc w:val="center"/>
            </w:pPr>
          </w:p>
        </w:tc>
      </w:tr>
      <w:tr w14:paraId="236958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90E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26A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12BC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76C9D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3B16">
            <w:pPr>
              <w:jc w:val="center"/>
            </w:pPr>
            <w:r>
              <w:rPr>
                <w:rFonts w:ascii="宋体" w:hAnsi="宋体" w:eastAsia="宋体"/>
                <w:sz w:val="16"/>
              </w:rPr>
              <w:t>=2024年11月20日前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2AE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3DA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E1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92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CE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58B0A">
            <w:pPr>
              <w:jc w:val="center"/>
            </w:pPr>
            <w:r>
              <w:rPr>
                <w:rFonts w:ascii="宋体" w:hAnsi="宋体" w:eastAsia="宋体"/>
                <w:sz w:val="16"/>
              </w:rPr>
              <w:t>=2024年6月13日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C4372">
            <w:pPr>
              <w:jc w:val="center"/>
            </w:pPr>
            <w:r>
              <w:rPr>
                <w:rFonts w:ascii="宋体" w:hAnsi="宋体" w:eastAsia="宋体"/>
                <w:sz w:val="16"/>
              </w:rPr>
              <w:t>8</w:t>
            </w:r>
          </w:p>
        </w:tc>
        <w:tc>
          <w:tcPr>
            <w:tcW w:w="1264" w:type="dxa"/>
            <w:tcBorders>
              <w:top w:val="single" w:color="auto" w:sz="10" w:space="0"/>
              <w:left w:val="single" w:color="auto" w:sz="10" w:space="0"/>
              <w:bottom w:val="single" w:color="auto" w:sz="10" w:space="0"/>
              <w:right w:val="single" w:color="auto" w:sz="10" w:space="0"/>
              <w:insideV w:val="single" w:sz="10" w:space="0"/>
            </w:tcBorders>
            <w:vAlign w:val="center"/>
          </w:tcPr>
          <w:p w14:paraId="67B025E5">
            <w:pPr>
              <w:jc w:val="center"/>
            </w:pPr>
          </w:p>
        </w:tc>
      </w:tr>
      <w:tr w14:paraId="2F6498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093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34F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7E192">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174A94">
            <w:pPr>
              <w:jc w:val="center"/>
            </w:pPr>
            <w:r>
              <w:rPr>
                <w:rFonts w:ascii="宋体" w:hAnsi="宋体" w:eastAsia="宋体"/>
                <w:sz w:val="16"/>
              </w:rPr>
              <w:t>技术服务费预算控制数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FFCC">
            <w:pPr>
              <w:jc w:val="center"/>
            </w:pPr>
            <w:r>
              <w:rPr>
                <w:rFonts w:ascii="宋体" w:hAnsi="宋体" w:eastAsia="宋体"/>
                <w:sz w:val="16"/>
              </w:rPr>
              <w:t>&lt;=20万元/次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FC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F7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FA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C0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6C7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B4CB">
            <w:pPr>
              <w:jc w:val="center"/>
            </w:pPr>
            <w:r>
              <w:rPr>
                <w:rFonts w:ascii="宋体" w:hAnsi="宋体" w:eastAsia="宋体"/>
                <w:sz w:val="16"/>
              </w:rPr>
              <w:t>=20万元/次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80AB0">
            <w:pPr>
              <w:jc w:val="center"/>
            </w:pPr>
            <w:r>
              <w:rPr>
                <w:rFonts w:ascii="宋体" w:hAnsi="宋体" w:eastAsia="宋体"/>
                <w:sz w:val="16"/>
              </w:rPr>
              <w:t>20</w:t>
            </w:r>
          </w:p>
        </w:tc>
        <w:tc>
          <w:tcPr>
            <w:tcW w:w="1264" w:type="dxa"/>
            <w:tcBorders>
              <w:top w:val="single" w:color="auto" w:sz="10" w:space="0"/>
              <w:left w:val="single" w:color="auto" w:sz="10" w:space="0"/>
              <w:bottom w:val="single" w:color="auto" w:sz="10" w:space="0"/>
              <w:right w:val="single" w:color="auto" w:sz="10" w:space="0"/>
              <w:insideV w:val="single" w:sz="10" w:space="0"/>
            </w:tcBorders>
            <w:vAlign w:val="center"/>
          </w:tcPr>
          <w:p w14:paraId="238FFE62">
            <w:pPr>
              <w:jc w:val="center"/>
            </w:pPr>
          </w:p>
        </w:tc>
      </w:tr>
      <w:tr w14:paraId="781F6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EEB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CA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25AA">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3D99EE">
            <w:pPr>
              <w:jc w:val="center"/>
            </w:pPr>
            <w:r>
              <w:rPr>
                <w:rFonts w:ascii="宋体" w:hAnsi="宋体" w:eastAsia="宋体"/>
                <w:sz w:val="16"/>
              </w:rPr>
              <w:t>实施满足行政事业单位的日常办公需求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0EB2">
            <w:pPr>
              <w:jc w:val="center"/>
            </w:pPr>
            <w:r>
              <w:rPr>
                <w:rFonts w:ascii="宋体" w:hAnsi="宋体" w:eastAsia="宋体"/>
                <w:sz w:val="16"/>
              </w:rPr>
              <w:t>有效满足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A7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90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2208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65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D5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8DE3A">
            <w:pPr>
              <w:jc w:val="center"/>
            </w:pPr>
            <w:r>
              <w:rPr>
                <w:rFonts w:ascii="宋体" w:hAnsi="宋体" w:eastAsia="宋体"/>
                <w:sz w:val="16"/>
              </w:rPr>
              <w:t>有效满足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345F">
            <w:pPr>
              <w:jc w:val="center"/>
            </w:pPr>
            <w:r>
              <w:rPr>
                <w:rFonts w:ascii="宋体" w:hAnsi="宋体" w:eastAsia="宋体"/>
                <w:sz w:val="16"/>
              </w:rPr>
              <w:t>30</w:t>
            </w:r>
          </w:p>
        </w:tc>
        <w:tc>
          <w:tcPr>
            <w:tcW w:w="1264" w:type="dxa"/>
            <w:tcBorders>
              <w:top w:val="single" w:color="auto" w:sz="10" w:space="0"/>
              <w:left w:val="single" w:color="auto" w:sz="10" w:space="0"/>
              <w:bottom w:val="single" w:color="auto" w:sz="10" w:space="0"/>
              <w:right w:val="single" w:color="auto" w:sz="10" w:space="0"/>
              <w:insideV w:val="single" w:sz="10" w:space="0"/>
            </w:tcBorders>
            <w:vAlign w:val="center"/>
          </w:tcPr>
          <w:p w14:paraId="7C9873BF">
            <w:pPr>
              <w:jc w:val="center"/>
            </w:pPr>
          </w:p>
        </w:tc>
      </w:tr>
      <w:tr w14:paraId="6A972B49">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C879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ADE3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5C03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DB2C">
            <w:pPr>
              <w:jc w:val="center"/>
            </w:pPr>
            <w:r>
              <w:rPr>
                <w:rFonts w:ascii="宋体" w:hAnsi="宋体" w:eastAsia="宋体"/>
                <w:sz w:val="16"/>
              </w:rPr>
              <w:t>100分</w:t>
            </w:r>
          </w:p>
        </w:tc>
        <w:tc>
          <w:tcPr>
            <w:tcW w:w="1264" w:type="dxa"/>
            <w:tcBorders>
              <w:top w:val="single" w:color="auto" w:sz="10" w:space="0"/>
              <w:left w:val="single" w:color="auto" w:sz="10" w:space="0"/>
              <w:bottom w:val="single" w:color="auto" w:sz="10" w:space="0"/>
              <w:right w:val="single" w:color="auto" w:sz="10" w:space="0"/>
              <w:insideV w:val="single" w:sz="10" w:space="0"/>
            </w:tcBorders>
          </w:tcPr>
          <w:p w14:paraId="6421F9AA"/>
        </w:tc>
      </w:tr>
    </w:tbl>
    <w:p w14:paraId="42DF47A9">
      <w:r>
        <w:br w:type="page"/>
      </w:r>
    </w:p>
    <w:p w14:paraId="28B5243C">
      <w:pPr>
        <w:spacing w:line="640" w:lineRule="exact"/>
        <w:ind w:firstLine="640"/>
        <w:jc w:val="both"/>
        <w:outlineLvl w:val="2"/>
      </w:pPr>
      <w:r>
        <w:rPr>
          <w:rFonts w:ascii="黑体" w:hAnsi="黑体" w:eastAsia="黑体"/>
          <w:sz w:val="32"/>
        </w:rPr>
        <w:t>十二、其他需说明的事项</w:t>
      </w:r>
    </w:p>
    <w:p w14:paraId="6B87F778">
      <w:pPr>
        <w:spacing w:line="580" w:lineRule="exact"/>
        <w:ind w:firstLine="640"/>
        <w:jc w:val="both"/>
      </w:pPr>
      <w:r>
        <w:rPr>
          <w:rFonts w:ascii="仿宋_GB2312" w:hAnsi="仿宋_GB2312" w:eastAsia="仿宋_GB2312"/>
          <w:b w:val="0"/>
          <w:sz w:val="32"/>
        </w:rPr>
        <w:t>本年本单位SM项目1个，全年预算数5</w:t>
      </w:r>
      <w:r>
        <w:rPr>
          <w:rFonts w:hint="eastAsia" w:ascii="仿宋_GB2312" w:hAnsi="仿宋_GB2312" w:eastAsia="仿宋_GB2312"/>
          <w:b w:val="0"/>
          <w:sz w:val="32"/>
          <w:lang w:val="en-US" w:eastAsia="zh-CN"/>
        </w:rPr>
        <w:t>.00</w:t>
      </w:r>
      <w:r>
        <w:rPr>
          <w:rFonts w:ascii="仿宋_GB2312" w:hAnsi="仿宋_GB2312" w:eastAsia="仿宋_GB2312"/>
          <w:b w:val="0"/>
          <w:sz w:val="32"/>
        </w:rPr>
        <w:t>万元，全年执行数5</w:t>
      </w:r>
      <w:r>
        <w:rPr>
          <w:rFonts w:hint="eastAsia" w:ascii="仿宋_GB2312" w:hAnsi="仿宋_GB2312" w:eastAsia="仿宋_GB2312"/>
          <w:b w:val="0"/>
          <w:sz w:val="32"/>
          <w:lang w:val="en-US" w:eastAsia="zh-CN"/>
        </w:rPr>
        <w:t>.00</w:t>
      </w:r>
      <w:r>
        <w:rPr>
          <w:rFonts w:ascii="仿宋_GB2312" w:hAnsi="仿宋_GB2312" w:eastAsia="仿宋_GB2312"/>
          <w:b w:val="0"/>
          <w:sz w:val="32"/>
        </w:rPr>
        <w:t>万元。</w:t>
      </w:r>
    </w:p>
    <w:p w14:paraId="563BD841">
      <w:r>
        <w:br w:type="page"/>
      </w:r>
    </w:p>
    <w:p w14:paraId="6AE8248B">
      <w:pPr>
        <w:spacing w:line="240" w:lineRule="auto"/>
        <w:jc w:val="center"/>
        <w:outlineLvl w:val="1"/>
      </w:pPr>
      <w:r>
        <w:rPr>
          <w:rFonts w:ascii="黑体" w:hAnsi="黑体" w:eastAsia="黑体"/>
          <w:sz w:val="32"/>
        </w:rPr>
        <w:t>第三部分 专业名词解释</w:t>
      </w:r>
    </w:p>
    <w:p w14:paraId="2AE5CC3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2028E1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67D4D4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A4C1D5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25203E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E519D2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4198F1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35852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C5501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C40579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5591EE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E9C74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84C911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59A917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36AB44">
      <w:r>
        <w:br w:type="page"/>
      </w:r>
    </w:p>
    <w:p w14:paraId="54AE5FA5">
      <w:pPr>
        <w:spacing w:line="240" w:lineRule="auto"/>
        <w:jc w:val="center"/>
        <w:outlineLvl w:val="1"/>
      </w:pPr>
      <w:r>
        <w:rPr>
          <w:rFonts w:ascii="黑体" w:hAnsi="黑体" w:eastAsia="黑体"/>
          <w:sz w:val="32"/>
        </w:rPr>
        <w:t>第四部分 部门决算报表（见附表）</w:t>
      </w:r>
    </w:p>
    <w:p w14:paraId="14B2CD7B">
      <w:pPr>
        <w:spacing w:line="240" w:lineRule="auto"/>
        <w:ind w:firstLine="640"/>
        <w:jc w:val="both"/>
      </w:pPr>
      <w:r>
        <w:rPr>
          <w:rFonts w:ascii="仿宋_GB2312" w:hAnsi="仿宋_GB2312" w:eastAsia="仿宋_GB2312"/>
          <w:b w:val="0"/>
          <w:sz w:val="32"/>
        </w:rPr>
        <w:t>一、《收入支出决算总表》</w:t>
      </w:r>
    </w:p>
    <w:p w14:paraId="5EE2C732">
      <w:pPr>
        <w:spacing w:line="240" w:lineRule="auto"/>
        <w:ind w:firstLine="640"/>
        <w:jc w:val="both"/>
      </w:pPr>
      <w:r>
        <w:rPr>
          <w:rFonts w:ascii="仿宋_GB2312" w:hAnsi="仿宋_GB2312" w:eastAsia="仿宋_GB2312"/>
          <w:b w:val="0"/>
          <w:sz w:val="32"/>
        </w:rPr>
        <w:t>二、《收入决算表》</w:t>
      </w:r>
    </w:p>
    <w:p w14:paraId="58155F46">
      <w:pPr>
        <w:spacing w:line="240" w:lineRule="auto"/>
        <w:ind w:firstLine="640"/>
        <w:jc w:val="both"/>
      </w:pPr>
      <w:r>
        <w:rPr>
          <w:rFonts w:ascii="仿宋_GB2312" w:hAnsi="仿宋_GB2312" w:eastAsia="仿宋_GB2312"/>
          <w:b w:val="0"/>
          <w:sz w:val="32"/>
        </w:rPr>
        <w:t>三、《支出决算表》</w:t>
      </w:r>
    </w:p>
    <w:p w14:paraId="0E5F05A8">
      <w:pPr>
        <w:spacing w:line="240" w:lineRule="auto"/>
        <w:ind w:firstLine="640"/>
        <w:jc w:val="both"/>
      </w:pPr>
      <w:r>
        <w:rPr>
          <w:rFonts w:ascii="仿宋_GB2312" w:hAnsi="仿宋_GB2312" w:eastAsia="仿宋_GB2312"/>
          <w:b w:val="0"/>
          <w:sz w:val="32"/>
        </w:rPr>
        <w:t>四、《财政拨款收入支出决算总表》</w:t>
      </w:r>
    </w:p>
    <w:p w14:paraId="6A9AD069">
      <w:pPr>
        <w:spacing w:line="240" w:lineRule="auto"/>
        <w:ind w:firstLine="640"/>
        <w:jc w:val="both"/>
      </w:pPr>
      <w:r>
        <w:rPr>
          <w:rFonts w:ascii="仿宋_GB2312" w:hAnsi="仿宋_GB2312" w:eastAsia="仿宋_GB2312"/>
          <w:b w:val="0"/>
          <w:sz w:val="32"/>
        </w:rPr>
        <w:t>五、《一般公共预算财政拨款支出决算表》</w:t>
      </w:r>
    </w:p>
    <w:p w14:paraId="3552FA18">
      <w:pPr>
        <w:spacing w:line="240" w:lineRule="auto"/>
        <w:ind w:firstLine="640"/>
        <w:jc w:val="both"/>
      </w:pPr>
      <w:r>
        <w:rPr>
          <w:rFonts w:ascii="仿宋_GB2312" w:hAnsi="仿宋_GB2312" w:eastAsia="仿宋_GB2312"/>
          <w:b w:val="0"/>
          <w:sz w:val="32"/>
        </w:rPr>
        <w:t>六、《一般公共预算财政拨款基本支出决算表》</w:t>
      </w:r>
    </w:p>
    <w:p w14:paraId="40C84493">
      <w:pPr>
        <w:spacing w:line="240" w:lineRule="auto"/>
        <w:ind w:firstLine="640"/>
        <w:jc w:val="both"/>
      </w:pPr>
      <w:r>
        <w:rPr>
          <w:rFonts w:ascii="仿宋_GB2312" w:hAnsi="仿宋_GB2312" w:eastAsia="仿宋_GB2312"/>
          <w:b w:val="0"/>
          <w:sz w:val="32"/>
        </w:rPr>
        <w:t>七、《政府性基金预算财政拨款收入支出决算表》</w:t>
      </w:r>
    </w:p>
    <w:p w14:paraId="41381ACD">
      <w:pPr>
        <w:spacing w:line="240" w:lineRule="auto"/>
        <w:ind w:firstLine="640"/>
        <w:jc w:val="both"/>
      </w:pPr>
      <w:r>
        <w:rPr>
          <w:rFonts w:ascii="仿宋_GB2312" w:hAnsi="仿宋_GB2312" w:eastAsia="仿宋_GB2312"/>
          <w:b w:val="0"/>
          <w:sz w:val="32"/>
        </w:rPr>
        <w:t>八、《国有资本经营预算财政拨款收入支出决算表》</w:t>
      </w:r>
    </w:p>
    <w:p w14:paraId="4B19D0F5">
      <w:pPr>
        <w:spacing w:line="240" w:lineRule="auto"/>
        <w:ind w:firstLine="640"/>
        <w:jc w:val="both"/>
      </w:pPr>
      <w:r>
        <w:rPr>
          <w:rFonts w:ascii="仿宋_GB2312" w:hAnsi="仿宋_GB2312" w:eastAsia="仿宋_GB2312"/>
          <w:b w:val="0"/>
          <w:sz w:val="32"/>
        </w:rPr>
        <w:t>九、《财政拨款“三公”经费支出决算表》</w:t>
      </w:r>
    </w:p>
    <w:p w14:paraId="3DBBDCAA">
      <w:pPr>
        <w:spacing w:line="240" w:lineRule="auto"/>
        <w:ind w:firstLine="640"/>
        <w:jc w:val="both"/>
      </w:pPr>
    </w:p>
    <w:p w14:paraId="3E053A95">
      <w:pPr>
        <w:spacing w:line="240" w:lineRule="auto"/>
        <w:ind w:firstLine="640"/>
        <w:jc w:val="both"/>
      </w:pPr>
    </w:p>
    <w:p w14:paraId="7CFEE029">
      <w:pPr>
        <w:spacing w:line="240" w:lineRule="auto"/>
        <w:ind w:firstLine="640"/>
        <w:jc w:val="both"/>
      </w:pPr>
    </w:p>
    <w:p w14:paraId="1BA14198">
      <w:pPr>
        <w:spacing w:line="240" w:lineRule="auto"/>
        <w:ind w:firstLine="640"/>
        <w:jc w:val="both"/>
      </w:pPr>
    </w:p>
    <w:p w14:paraId="779D881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A173FAF-355B-40E6-AAED-8C637310110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75EE00E-BEFA-46FA-BD53-3C225CA9389B}"/>
  </w:font>
  <w:font w:name="仿宋_GB2312">
    <w:panose1 w:val="02010609030101010101"/>
    <w:charset w:val="86"/>
    <w:family w:val="modern"/>
    <w:pitch w:val="default"/>
    <w:sig w:usb0="00000001" w:usb1="080E0000" w:usb2="00000000" w:usb3="00000000" w:csb0="00040000" w:csb1="00000000"/>
    <w:embedRegular r:id="rId3" w:fontKey="{ABF60259-9130-4E09-AF7B-E67A4A52A2C6}"/>
  </w:font>
  <w:font w:name="楷体_GB2312">
    <w:panose1 w:val="02010609030101010101"/>
    <w:charset w:val="86"/>
    <w:family w:val="auto"/>
    <w:pitch w:val="default"/>
    <w:sig w:usb0="00000001" w:usb1="080E0000" w:usb2="00000000" w:usb3="00000000" w:csb0="00040000" w:csb1="00000000"/>
    <w:embedRegular r:id="rId4" w:fontKey="{6BE27482-524D-413C-8F59-BEB9037364C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CF93092"/>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5E4E60"/>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6029</Words>
  <Characters>6930</Characters>
  <Lines>0</Lines>
  <Paragraphs>0</Paragraphs>
  <TotalTime>14</TotalTime>
  <ScaleCrop>false</ScaleCrop>
  <LinksUpToDate>false</LinksUpToDate>
  <CharactersWithSpaces>6938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2025-09-12T11:22:29Z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