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3C0364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中共岳普湖县委员会机要保密局2024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bookmarkStart w:id="0" w:name="_GoBack"/>
      <w:bookmarkEnd w:id="0"/>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628AC4">
      <w:r>
        <w:br w:type="page"/>
      </w:r>
    </w:p>
    <w:p w14:paraId="3F67172F">
      <w:pPr>
        <w:spacing w:line="640" w:lineRule="exact"/>
        <w:jc w:val="center"/>
        <w:outlineLvl w:val="1"/>
      </w:pPr>
      <w:r>
        <w:rPr>
          <w:rFonts w:ascii="黑体" w:hAnsi="黑体" w:eastAsia="黑体"/>
          <w:sz w:val="32"/>
        </w:rPr>
        <w:t>第一部分 单位概况</w:t>
      </w:r>
    </w:p>
    <w:p w14:paraId="62065C53">
      <w:pPr>
        <w:spacing w:line="640" w:lineRule="exact"/>
        <w:ind w:firstLine="640"/>
        <w:jc w:val="both"/>
        <w:outlineLvl w:val="2"/>
      </w:pPr>
      <w:r>
        <w:rPr>
          <w:rFonts w:ascii="黑体" w:hAnsi="黑体" w:eastAsia="黑体"/>
          <w:sz w:val="32"/>
        </w:rPr>
        <w:t>一、主要职能</w:t>
      </w:r>
    </w:p>
    <w:p w14:paraId="32F194A6">
      <w:pPr>
        <w:spacing w:line="580" w:lineRule="exact"/>
        <w:ind w:firstLine="640"/>
        <w:jc w:val="both"/>
      </w:pPr>
      <w:r>
        <w:rPr>
          <w:rFonts w:ascii="仿宋_GB2312" w:hAnsi="仿宋_GB2312" w:eastAsia="仿宋_GB2312"/>
          <w:sz w:val="32"/>
        </w:rPr>
        <w:t>本单位主要职能SM不予公开。</w:t>
      </w:r>
    </w:p>
    <w:p w14:paraId="05280E38">
      <w:pPr>
        <w:spacing w:line="640" w:lineRule="exact"/>
        <w:ind w:firstLine="640"/>
        <w:jc w:val="both"/>
        <w:outlineLvl w:val="2"/>
      </w:pPr>
      <w:r>
        <w:rPr>
          <w:rFonts w:ascii="黑体" w:hAnsi="黑体" w:eastAsia="黑体"/>
          <w:sz w:val="32"/>
        </w:rPr>
        <w:t>二、机构设置及人员情况</w:t>
      </w:r>
    </w:p>
    <w:p w14:paraId="2C10A1A6">
      <w:pPr>
        <w:spacing w:line="580" w:lineRule="exact"/>
        <w:ind w:firstLine="640"/>
        <w:jc w:val="both"/>
      </w:pPr>
      <w:r>
        <w:rPr>
          <w:rFonts w:ascii="仿宋_GB2312" w:hAnsi="仿宋_GB2312" w:eastAsia="仿宋_GB2312"/>
          <w:sz w:val="32"/>
        </w:rPr>
        <w:t>中共岳普湖县委员会机要保密局2024年度，实有人数10人，其中：在职人员10人，减少2人；离休人员0人，增加0人；退休人员0人,增加0人。</w:t>
      </w:r>
    </w:p>
    <w:p w14:paraId="63E4E256">
      <w:pPr>
        <w:spacing w:line="580" w:lineRule="exact"/>
        <w:ind w:firstLine="640"/>
        <w:jc w:val="both"/>
      </w:pPr>
      <w:r>
        <w:rPr>
          <w:rFonts w:ascii="仿宋_GB2312" w:hAnsi="仿宋_GB2312" w:eastAsia="仿宋_GB2312"/>
          <w:sz w:val="32"/>
        </w:rPr>
        <w:t>中共岳普湖县委员会机要保密局无下属预算单位，下设2个科室，分别是：综合股、保密监察股。</w:t>
      </w:r>
    </w:p>
    <w:p w14:paraId="27AA27F7">
      <w:r>
        <w:br w:type="page"/>
      </w:r>
    </w:p>
    <w:p w14:paraId="7CEFE556">
      <w:pPr>
        <w:spacing w:line="240" w:lineRule="auto"/>
        <w:jc w:val="center"/>
        <w:outlineLvl w:val="1"/>
      </w:pPr>
      <w:r>
        <w:rPr>
          <w:rFonts w:ascii="黑体" w:hAnsi="黑体" w:eastAsia="黑体"/>
          <w:sz w:val="32"/>
        </w:rPr>
        <w:t>第二部分 部门决算情况说明</w:t>
      </w:r>
    </w:p>
    <w:p w14:paraId="6DAC4E3D">
      <w:pPr>
        <w:spacing w:line="640" w:lineRule="exact"/>
        <w:ind w:firstLine="640"/>
        <w:jc w:val="both"/>
        <w:outlineLvl w:val="2"/>
      </w:pPr>
      <w:r>
        <w:rPr>
          <w:rFonts w:ascii="黑体" w:hAnsi="黑体" w:eastAsia="黑体"/>
          <w:sz w:val="32"/>
        </w:rPr>
        <w:t>一、收入支出决算总体情况说明</w:t>
      </w:r>
    </w:p>
    <w:p w14:paraId="39D5C34C">
      <w:pPr>
        <w:spacing w:line="580" w:lineRule="exact"/>
        <w:ind w:firstLine="640"/>
        <w:jc w:val="both"/>
      </w:pPr>
      <w:r>
        <w:rPr>
          <w:rFonts w:ascii="仿宋_GB2312" w:hAnsi="仿宋_GB2312" w:eastAsia="仿宋_GB2312"/>
          <w:b/>
          <w:sz w:val="32"/>
        </w:rPr>
        <w:t>2024年度收入总计276.89万元，</w:t>
      </w:r>
      <w:r>
        <w:rPr>
          <w:rFonts w:ascii="仿宋_GB2312" w:hAnsi="仿宋_GB2312" w:eastAsia="仿宋_GB2312"/>
          <w:b w:val="0"/>
          <w:sz w:val="32"/>
        </w:rPr>
        <w:t>其中：本年收入合计276.89万元，使用非财政拨款结余（含专用结余）0.00万元，年初结转和结余0.00万元。</w:t>
      </w:r>
    </w:p>
    <w:p w14:paraId="23A640E0">
      <w:pPr>
        <w:spacing w:line="580" w:lineRule="exact"/>
        <w:ind w:firstLine="640"/>
        <w:jc w:val="both"/>
      </w:pPr>
      <w:r>
        <w:rPr>
          <w:rFonts w:ascii="仿宋_GB2312" w:hAnsi="仿宋_GB2312" w:eastAsia="仿宋_GB2312"/>
          <w:b/>
          <w:sz w:val="32"/>
        </w:rPr>
        <w:t>2024年度支出总计276.89万元，</w:t>
      </w:r>
      <w:r>
        <w:rPr>
          <w:rFonts w:ascii="仿宋_GB2312" w:hAnsi="仿宋_GB2312" w:eastAsia="仿宋_GB2312"/>
          <w:b w:val="0"/>
          <w:sz w:val="32"/>
        </w:rPr>
        <w:t>其中：本年支出合计276.89万元，结余分配0.00万元，年末结转和结余0.00万元。</w:t>
      </w:r>
    </w:p>
    <w:p w14:paraId="0FEE5953">
      <w:pPr>
        <w:spacing w:line="580" w:lineRule="exact"/>
        <w:ind w:firstLine="640"/>
        <w:jc w:val="both"/>
      </w:pPr>
      <w:r>
        <w:rPr>
          <w:rFonts w:ascii="仿宋_GB2312" w:hAnsi="仿宋_GB2312" w:eastAsia="仿宋_GB2312"/>
          <w:b w:val="0"/>
          <w:sz w:val="32"/>
        </w:rPr>
        <w:t>收入支出总体与上年相比，增加73.12万元，增长35.88%，主要原因是：本年增加2024年度机要密码专项经费及视频会议保障经费、岳普湖县各乡（镇）及县直各单位电子政务内网综合布线项目、视联网终端设备购置项目。</w:t>
      </w:r>
    </w:p>
    <w:p w14:paraId="5997B39E">
      <w:pPr>
        <w:spacing w:line="640" w:lineRule="exact"/>
        <w:ind w:firstLine="640"/>
        <w:jc w:val="both"/>
        <w:outlineLvl w:val="2"/>
      </w:pPr>
      <w:r>
        <w:rPr>
          <w:rFonts w:ascii="黑体" w:hAnsi="黑体" w:eastAsia="黑体"/>
          <w:sz w:val="32"/>
        </w:rPr>
        <w:t>二、收入决算情况说明</w:t>
      </w:r>
    </w:p>
    <w:p w14:paraId="03D4770B">
      <w:pPr>
        <w:spacing w:line="580" w:lineRule="exact"/>
        <w:ind w:firstLine="640"/>
        <w:jc w:val="both"/>
      </w:pPr>
      <w:r>
        <w:rPr>
          <w:rFonts w:ascii="仿宋_GB2312" w:hAnsi="仿宋_GB2312" w:eastAsia="仿宋_GB2312"/>
          <w:b/>
          <w:sz w:val="32"/>
        </w:rPr>
        <w:t>本年收入276.89万元，</w:t>
      </w:r>
      <w:r>
        <w:rPr>
          <w:rFonts w:ascii="仿宋_GB2312" w:hAnsi="仿宋_GB2312" w:eastAsia="仿宋_GB2312"/>
          <w:b w:val="0"/>
          <w:sz w:val="32"/>
        </w:rPr>
        <w:t>其中：财政拨款收入276.89万元，占100.00%；上级补助收入0.00万元，占0.00%；事业收入0.00万元，占0.00%；经营收入0.00万元，占0.00%；附属单位上缴收入0.00万元，占0.00%；其他收入0.00万元，占0.00%。</w:t>
      </w:r>
    </w:p>
    <w:p w14:paraId="31BE92EC">
      <w:pPr>
        <w:spacing w:line="640" w:lineRule="exact"/>
        <w:ind w:firstLine="640"/>
        <w:jc w:val="both"/>
        <w:outlineLvl w:val="2"/>
      </w:pPr>
      <w:r>
        <w:rPr>
          <w:rFonts w:ascii="黑体" w:hAnsi="黑体" w:eastAsia="黑体"/>
          <w:sz w:val="32"/>
        </w:rPr>
        <w:t>三、支出决算情况说明</w:t>
      </w:r>
    </w:p>
    <w:p w14:paraId="35C4E07E">
      <w:pPr>
        <w:spacing w:line="580" w:lineRule="exact"/>
        <w:ind w:firstLine="640"/>
        <w:jc w:val="both"/>
      </w:pPr>
      <w:r>
        <w:rPr>
          <w:rFonts w:ascii="仿宋_GB2312" w:hAnsi="仿宋_GB2312" w:eastAsia="仿宋_GB2312"/>
          <w:b/>
          <w:sz w:val="32"/>
        </w:rPr>
        <w:t>本年支出276.89万元，</w:t>
      </w:r>
      <w:r>
        <w:rPr>
          <w:rFonts w:ascii="仿宋_GB2312" w:hAnsi="仿宋_GB2312" w:eastAsia="仿宋_GB2312"/>
          <w:b w:val="0"/>
          <w:sz w:val="32"/>
        </w:rPr>
        <w:t>其中：基本支出198.04万元，占71.52%；项目支出78.85万元，占28.48%；上缴上级支出0.00万元，占0.00%；经营支出0.00万元，占0.00%；对附属单位补助支出0.00万元，占0.00%。</w:t>
      </w:r>
    </w:p>
    <w:p w14:paraId="18FAC4CC">
      <w:pPr>
        <w:spacing w:line="640" w:lineRule="exact"/>
        <w:ind w:firstLine="640"/>
        <w:jc w:val="both"/>
        <w:outlineLvl w:val="2"/>
      </w:pPr>
      <w:r>
        <w:rPr>
          <w:rFonts w:ascii="黑体" w:hAnsi="黑体" w:eastAsia="黑体"/>
          <w:sz w:val="32"/>
        </w:rPr>
        <w:t>四、财政拨款收入支出决算总体情况说明</w:t>
      </w:r>
    </w:p>
    <w:p w14:paraId="19AFF872">
      <w:pPr>
        <w:spacing w:line="580" w:lineRule="exact"/>
        <w:ind w:firstLine="640"/>
        <w:jc w:val="both"/>
      </w:pPr>
      <w:r>
        <w:rPr>
          <w:rFonts w:ascii="仿宋_GB2312" w:hAnsi="仿宋_GB2312" w:eastAsia="仿宋_GB2312"/>
          <w:b/>
          <w:sz w:val="32"/>
        </w:rPr>
        <w:t>2024年度财政拨款收入总计276.89万元，</w:t>
      </w:r>
      <w:r>
        <w:rPr>
          <w:rFonts w:ascii="仿宋_GB2312" w:hAnsi="仿宋_GB2312" w:eastAsia="仿宋_GB2312"/>
          <w:b w:val="0"/>
          <w:sz w:val="32"/>
        </w:rPr>
        <w:t>其中：年初财政拨款结转和结余0.00万元，本年财政拨款收入276.89万元。</w:t>
      </w:r>
      <w:r>
        <w:rPr>
          <w:rFonts w:ascii="仿宋_GB2312" w:hAnsi="仿宋_GB2312" w:eastAsia="仿宋_GB2312"/>
          <w:b/>
          <w:sz w:val="32"/>
        </w:rPr>
        <w:t>财政拨款支出总计276.89万元，</w:t>
      </w:r>
      <w:r>
        <w:rPr>
          <w:rFonts w:ascii="仿宋_GB2312" w:hAnsi="仿宋_GB2312" w:eastAsia="仿宋_GB2312"/>
          <w:b w:val="0"/>
          <w:sz w:val="32"/>
        </w:rPr>
        <w:t>其中：年末财政拨款结转和结余0.00万元，本年财政拨款支出276.89万元。</w:t>
      </w:r>
    </w:p>
    <w:p w14:paraId="2F8F45C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增加73.12万元，增长35.88%，主要原因是：本年增加2024年度机要密码专项经费及视频会议保障经费、岳普湖县各乡（镇）及县直各单位电子政务内网综合布线项目、视联网终端设备购置项目。</w:t>
      </w:r>
      <w:r>
        <w:rPr>
          <w:rFonts w:ascii="仿宋_GB2312" w:hAnsi="仿宋_GB2312" w:eastAsia="仿宋_GB2312"/>
          <w:b/>
          <w:sz w:val="32"/>
        </w:rPr>
        <w:t>与年初预算相比，</w:t>
      </w:r>
      <w:r>
        <w:rPr>
          <w:rFonts w:ascii="仿宋_GB2312" w:hAnsi="仿宋_GB2312" w:eastAsia="仿宋_GB2312"/>
          <w:b w:val="0"/>
          <w:sz w:val="32"/>
        </w:rPr>
        <w:t>年初预算数212.45万元，决算数276.89万元，预决算差异率30.33%，主要原因是：年中追加2024年度机要密码专项经费及视频会议保障经费、岳普湖县各乡（镇）及县直各单位电子政务内网综合布线项目、视联网终端设备购置项目。</w:t>
      </w:r>
    </w:p>
    <w:p w14:paraId="7D43BAB6">
      <w:pPr>
        <w:spacing w:line="640" w:lineRule="exact"/>
        <w:ind w:firstLine="640"/>
        <w:jc w:val="both"/>
        <w:outlineLvl w:val="2"/>
      </w:pPr>
      <w:r>
        <w:rPr>
          <w:rFonts w:ascii="黑体" w:hAnsi="黑体" w:eastAsia="黑体"/>
          <w:sz w:val="32"/>
        </w:rPr>
        <w:t>五、一般公共预算财政拨款支出决算情况说明</w:t>
      </w:r>
    </w:p>
    <w:p w14:paraId="02449941">
      <w:pPr>
        <w:spacing w:line="640" w:lineRule="exact"/>
        <w:ind w:firstLine="640"/>
        <w:jc w:val="both"/>
        <w:outlineLvl w:val="3"/>
      </w:pPr>
      <w:r>
        <w:rPr>
          <w:rFonts w:ascii="楷体_GB2312" w:hAnsi="楷体_GB2312" w:eastAsia="楷体_GB2312"/>
          <w:b/>
          <w:sz w:val="32"/>
        </w:rPr>
        <w:t>（一）一般公共预算财政拨款支出决算总体情况</w:t>
      </w:r>
    </w:p>
    <w:p w14:paraId="053B6059">
      <w:pPr>
        <w:spacing w:line="580" w:lineRule="exact"/>
        <w:ind w:firstLine="640"/>
        <w:jc w:val="both"/>
      </w:pPr>
      <w:r>
        <w:rPr>
          <w:rFonts w:ascii="仿宋_GB2312" w:hAnsi="仿宋_GB2312" w:eastAsia="仿宋_GB2312"/>
          <w:b/>
          <w:sz w:val="32"/>
        </w:rPr>
        <w:t>2024年度一般公共预算财政拨款支出276.89万元，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增加73.12万元，增长35.88%，主要原因是：本年增加2024年度机要密码专项经费及视频会议保障经费、岳普湖县各乡（镇）及县直各单位电子政务内网综合布线项目、视联网终端设备购置项目。</w:t>
      </w:r>
      <w:r>
        <w:rPr>
          <w:rFonts w:ascii="仿宋_GB2312" w:hAnsi="仿宋_GB2312" w:eastAsia="仿宋_GB2312"/>
          <w:b/>
          <w:sz w:val="32"/>
        </w:rPr>
        <w:t>与年初预算相比,</w:t>
      </w:r>
      <w:r>
        <w:rPr>
          <w:rFonts w:ascii="仿宋_GB2312" w:hAnsi="仿宋_GB2312" w:eastAsia="仿宋_GB2312"/>
          <w:b w:val="0"/>
          <w:sz w:val="32"/>
        </w:rPr>
        <w:t>年初预算数212.45万元，决算数276.89万元，预决算差异率30.33%，主要原因是：本年年中追加2024年度机要密码专项经费及视频会议保障经费、岳普湖县各乡（镇）及县直各单位电子政务内网综合布线项目、视联网终端设备购置项目。</w:t>
      </w:r>
    </w:p>
    <w:p w14:paraId="53D60433">
      <w:pPr>
        <w:spacing w:line="640" w:lineRule="exact"/>
        <w:ind w:firstLine="640"/>
        <w:jc w:val="both"/>
        <w:outlineLvl w:val="3"/>
      </w:pPr>
      <w:r>
        <w:rPr>
          <w:rFonts w:ascii="楷体_GB2312" w:hAnsi="楷体_GB2312" w:eastAsia="楷体_GB2312"/>
          <w:b/>
          <w:sz w:val="32"/>
        </w:rPr>
        <w:t>（二）一般公共预算财政拨款支出决算结构情况</w:t>
      </w:r>
    </w:p>
    <w:p w14:paraId="64D44301">
      <w:pPr>
        <w:spacing w:line="580" w:lineRule="exact"/>
        <w:ind w:firstLine="640"/>
        <w:jc w:val="both"/>
      </w:pPr>
      <w:r>
        <w:rPr>
          <w:rFonts w:ascii="仿宋_GB2312" w:hAnsi="仿宋_GB2312" w:eastAsia="仿宋_GB2312"/>
          <w:b w:val="0"/>
          <w:sz w:val="32"/>
        </w:rPr>
        <w:t>1.一般公共服务支出(类)153.22万元,占55.34%。</w:t>
      </w:r>
    </w:p>
    <w:p w14:paraId="17B8692E">
      <w:pPr>
        <w:spacing w:line="580" w:lineRule="exact"/>
        <w:ind w:firstLine="640"/>
        <w:jc w:val="both"/>
      </w:pPr>
      <w:r>
        <w:rPr>
          <w:rFonts w:ascii="仿宋_GB2312" w:hAnsi="仿宋_GB2312" w:eastAsia="仿宋_GB2312"/>
          <w:b w:val="0"/>
          <w:sz w:val="32"/>
        </w:rPr>
        <w:t>2.科学技术支出(类)78.85万元,占28.48%。</w:t>
      </w:r>
    </w:p>
    <w:p w14:paraId="6D2CFCA1">
      <w:pPr>
        <w:spacing w:line="580" w:lineRule="exact"/>
        <w:ind w:firstLine="640"/>
        <w:jc w:val="both"/>
      </w:pPr>
      <w:r>
        <w:rPr>
          <w:rFonts w:ascii="仿宋_GB2312" w:hAnsi="仿宋_GB2312" w:eastAsia="仿宋_GB2312"/>
          <w:b w:val="0"/>
          <w:sz w:val="32"/>
        </w:rPr>
        <w:t>3.社会保障和就业支出(类)20.31万元,占7.34%。</w:t>
      </w:r>
    </w:p>
    <w:p w14:paraId="5C4BDEEA">
      <w:pPr>
        <w:spacing w:line="580" w:lineRule="exact"/>
        <w:ind w:firstLine="640"/>
        <w:jc w:val="both"/>
      </w:pPr>
      <w:r>
        <w:rPr>
          <w:rFonts w:ascii="仿宋_GB2312" w:hAnsi="仿宋_GB2312" w:eastAsia="仿宋_GB2312"/>
          <w:b w:val="0"/>
          <w:sz w:val="32"/>
        </w:rPr>
        <w:t>4.卫生健康支出(类)9.01万元,占3.25%。</w:t>
      </w:r>
    </w:p>
    <w:p w14:paraId="582F5053">
      <w:pPr>
        <w:spacing w:line="580" w:lineRule="exact"/>
        <w:ind w:firstLine="640"/>
        <w:jc w:val="both"/>
      </w:pPr>
      <w:r>
        <w:rPr>
          <w:rFonts w:ascii="仿宋_GB2312" w:hAnsi="仿宋_GB2312" w:eastAsia="仿宋_GB2312"/>
          <w:b w:val="0"/>
          <w:sz w:val="32"/>
        </w:rPr>
        <w:t>5.住房保障支出(类)15.50万元,占5.60%。</w:t>
      </w:r>
    </w:p>
    <w:p w14:paraId="5D5B8652">
      <w:pPr>
        <w:spacing w:line="640" w:lineRule="exact"/>
        <w:ind w:firstLine="640"/>
        <w:jc w:val="both"/>
        <w:outlineLvl w:val="3"/>
      </w:pPr>
      <w:r>
        <w:rPr>
          <w:rFonts w:ascii="楷体_GB2312" w:hAnsi="楷体_GB2312" w:eastAsia="楷体_GB2312"/>
          <w:b/>
          <w:sz w:val="32"/>
        </w:rPr>
        <w:t>（三）一般公共预算财政拨款支出决算具体情况</w:t>
      </w:r>
    </w:p>
    <w:p w14:paraId="059FD06D">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1.一般公共服务支出(类)党委办公厅（室）及相关机构事务(款)行政运行(项):支出决算数为153.22万元，比上年决算减少1.30万元，下降0.84%,主要原因是：本年在职人员减少，相应人员经费较上年减少。</w:t>
      </w:r>
    </w:p>
    <w:p w14:paraId="18493688">
      <w:pPr>
        <w:spacing w:line="580" w:lineRule="exact"/>
        <w:ind w:firstLine="640"/>
        <w:jc w:val="both"/>
      </w:pPr>
      <w:r>
        <w:rPr>
          <w:rFonts w:ascii="仿宋_GB2312" w:hAnsi="仿宋_GB2312" w:eastAsia="仿宋_GB2312"/>
          <w:b w:val="0"/>
          <w:sz w:val="32"/>
        </w:rPr>
        <w:t>2.科学技术支出(类)科学技术管理事务(款)其他科学技术管理事务支出(项):支出决算数为49.70万元，比上年决算增加49.70万元，增长100.00%,主要原因是：本年增加岳普湖县各乡（镇）及县直各单位电子政务内网综合布线项目。</w:t>
      </w:r>
    </w:p>
    <w:p w14:paraId="4DD10D3D">
      <w:pPr>
        <w:spacing w:line="580" w:lineRule="exact"/>
        <w:ind w:firstLine="640"/>
        <w:jc w:val="both"/>
      </w:pPr>
      <w:r>
        <w:rPr>
          <w:rFonts w:ascii="仿宋_GB2312" w:hAnsi="仿宋_GB2312" w:eastAsia="仿宋_GB2312"/>
          <w:b w:val="0"/>
          <w:sz w:val="32"/>
        </w:rPr>
        <w:t>3.科学技术支出(类)技术研究与开发(款)其他技术研究与开发支出(项):支出决算数为29.15万元，比上年决算增加29.15万元，增长100.00%,主要原因是：本年增加2024年度机要密码专项经费及视频会议保障经费、视联网终端设备购置项目。</w:t>
      </w:r>
    </w:p>
    <w:p w14:paraId="700390ED">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18.70万元，比上年决算增加1.46万元，增长8.47%,主要原因是：本年在职人员工资基数调增，养老缴费基数上涨，相应支出增加。</w:t>
      </w:r>
    </w:p>
    <w:p w14:paraId="639EC815">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1.61万元，比上年决算减少8.04万元，下降83.32%,主要原因是：本年调出人员较上年减少，职业年金缴费较上年减少。</w:t>
      </w:r>
    </w:p>
    <w:p w14:paraId="12AC4E70">
      <w:pPr>
        <w:spacing w:line="580" w:lineRule="exact"/>
        <w:ind w:firstLine="640"/>
        <w:jc w:val="both"/>
      </w:pPr>
      <w:r>
        <w:rPr>
          <w:rFonts w:ascii="仿宋_GB2312" w:hAnsi="仿宋_GB2312" w:eastAsia="仿宋_GB2312"/>
          <w:b w:val="0"/>
          <w:sz w:val="32"/>
        </w:rPr>
        <w:t>6.卫生健康支出(类)行政事业单位医疗(款)行政单位医疗(项):支出决算数为7.95万元，比上年决算增加0.61万元，增长8.31%,主要原因是：本年在职人员工资基数调增，医疗缴费基数上涨，相应支出增加。</w:t>
      </w:r>
    </w:p>
    <w:p w14:paraId="394BEFC5">
      <w:pPr>
        <w:spacing w:line="580" w:lineRule="exact"/>
        <w:ind w:firstLine="640"/>
        <w:jc w:val="both"/>
      </w:pPr>
      <w:r>
        <w:rPr>
          <w:rFonts w:ascii="仿宋_GB2312" w:hAnsi="仿宋_GB2312" w:eastAsia="仿宋_GB2312"/>
          <w:b w:val="0"/>
          <w:sz w:val="32"/>
        </w:rPr>
        <w:t>7.卫生健康支出(类)行政事业单位医疗(款)公务员医疗补助(项):支出决算数为1.06万元，比上年决算增加0.11万元，增长11.58%,主要原因是：本年在职人员工资基数调增，医疗缴费基数上涨，相应支出增加。</w:t>
      </w:r>
    </w:p>
    <w:p w14:paraId="6D6F8413">
      <w:pPr>
        <w:spacing w:line="580" w:lineRule="exact"/>
        <w:ind w:firstLine="640"/>
        <w:jc w:val="both"/>
      </w:pPr>
      <w:r>
        <w:rPr>
          <w:rFonts w:ascii="仿宋_GB2312" w:hAnsi="仿宋_GB2312" w:eastAsia="仿宋_GB2312"/>
          <w:b w:val="0"/>
          <w:sz w:val="32"/>
        </w:rPr>
        <w:t>8.住房保障支出(类)住房改革支出(款)住房公积金(项):支出决算数为15.50万元，比上年决算增加1.43万元，增长10.16%,主要原因是：本年在职人员工资基数调增，公积金缴费基数上涨，相应支出增加。</w:t>
      </w:r>
    </w:p>
    <w:p w14:paraId="35D02637">
      <w:pPr>
        <w:spacing w:line="640" w:lineRule="exact"/>
        <w:ind w:firstLine="640"/>
        <w:jc w:val="both"/>
        <w:outlineLvl w:val="2"/>
      </w:pPr>
      <w:r>
        <w:rPr>
          <w:rFonts w:ascii="黑体" w:hAnsi="黑体" w:eastAsia="黑体"/>
          <w:sz w:val="32"/>
        </w:rPr>
        <w:t>六、一般公共预算财政拨款基本支出决算情况说明</w:t>
      </w:r>
    </w:p>
    <w:p w14:paraId="5E42F58E">
      <w:pPr>
        <w:spacing w:line="580" w:lineRule="exact"/>
        <w:ind w:firstLine="640"/>
        <w:jc w:val="both"/>
      </w:pPr>
      <w:r>
        <w:rPr>
          <w:rFonts w:ascii="仿宋_GB2312" w:hAnsi="仿宋_GB2312" w:eastAsia="仿宋_GB2312"/>
          <w:b w:val="0"/>
          <w:sz w:val="32"/>
        </w:rPr>
        <w:t>2024年度一般公共预算财政拨款基本支出198.04万元，其中：</w:t>
      </w:r>
      <w:r>
        <w:rPr>
          <w:rFonts w:ascii="仿宋_GB2312" w:hAnsi="仿宋_GB2312" w:eastAsia="仿宋_GB2312"/>
          <w:b/>
          <w:sz w:val="32"/>
        </w:rPr>
        <w:t>人员经费192.95万元，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包括：基本工资、津贴补贴、奖金、绩效工资、机关事业单位基本养老保险缴费、职业年金缴费、职工基本医疗保险缴费、公务员医疗补助缴费、其他社会保障缴费、住房公积金、生活补助。</w:t>
      </w:r>
    </w:p>
    <w:p w14:paraId="490FA2C5">
      <w:pPr>
        <w:spacing w:line="580" w:lineRule="exact"/>
        <w:ind w:firstLine="640"/>
        <w:jc w:val="both"/>
      </w:pPr>
      <w:r>
        <w:rPr>
          <w:rFonts w:ascii="仿宋_GB2312" w:hAnsi="仿宋_GB2312" w:eastAsia="仿宋_GB2312"/>
          <w:b/>
          <w:sz w:val="32"/>
        </w:rPr>
        <w:t>公用经费5.08万元，</w:t>
      </w:r>
      <w:r>
        <w:rPr>
          <w:rFonts w:ascii="仿宋_GB2312" w:hAnsi="仿宋_GB2312" w:eastAsia="仿宋_GB2312"/>
          <w:b w:val="0"/>
          <w:sz w:val="32"/>
        </w:rPr>
        <w:t>包括：办公费、印刷费、邮电费、物业管理费、差旅费、劳务费、公务用车运行维护费。</w:t>
      </w:r>
    </w:p>
    <w:p w14:paraId="4CED07AA">
      <w:pPr>
        <w:spacing w:line="640" w:lineRule="exact"/>
        <w:ind w:firstLine="640"/>
        <w:jc w:val="both"/>
        <w:outlineLvl w:val="2"/>
      </w:pPr>
      <w:r>
        <w:rPr>
          <w:rFonts w:ascii="黑体" w:hAnsi="黑体" w:eastAsia="黑体"/>
          <w:sz w:val="32"/>
        </w:rPr>
        <w:t>七、政府性基金预算财政拨款收入支出决算情况说明</w:t>
      </w:r>
    </w:p>
    <w:p w14:paraId="4A253B7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BA7ED5">
      <w:pPr>
        <w:spacing w:line="640" w:lineRule="exact"/>
        <w:ind w:firstLine="640"/>
        <w:jc w:val="both"/>
        <w:outlineLvl w:val="2"/>
      </w:pPr>
      <w:r>
        <w:rPr>
          <w:rFonts w:ascii="黑体" w:hAnsi="黑体" w:eastAsia="黑体"/>
          <w:sz w:val="32"/>
        </w:rPr>
        <w:t>八、国有资本经营预算财政拨款收入支出决算情况说明</w:t>
      </w:r>
    </w:p>
    <w:p w14:paraId="400D5FA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9D335B">
      <w:pPr>
        <w:spacing w:line="640" w:lineRule="exact"/>
        <w:ind w:firstLine="640"/>
        <w:jc w:val="both"/>
        <w:outlineLvl w:val="2"/>
      </w:pPr>
      <w:r>
        <w:rPr>
          <w:rFonts w:ascii="黑体" w:hAnsi="黑体" w:eastAsia="黑体"/>
          <w:sz w:val="32"/>
        </w:rPr>
        <w:t>九、财政拨款“三公”经费支出决算情况说明</w:t>
      </w:r>
    </w:p>
    <w:p w14:paraId="16ECCA06">
      <w:pPr>
        <w:spacing w:line="580" w:lineRule="exact"/>
        <w:ind w:firstLine="640"/>
        <w:jc w:val="both"/>
      </w:pPr>
      <w:r>
        <w:rPr>
          <w:rFonts w:ascii="仿宋_GB2312" w:hAnsi="仿宋_GB2312" w:eastAsia="仿宋_GB2312"/>
          <w:b/>
          <w:sz w:val="32"/>
        </w:rPr>
        <w:t>2024年度财政拨款“三公”经费支出1.48万元，</w:t>
      </w:r>
      <w:r>
        <w:rPr>
          <w:rFonts w:ascii="仿宋_GB2312" w:hAnsi="仿宋_GB2312" w:eastAsia="仿宋_GB2312"/>
          <w:b w:val="0"/>
          <w:sz w:val="32"/>
        </w:rPr>
        <w:t>比上年减少0.01万元，下降0.67%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1.48万元，占100.00%，比上年减少0.01万元，下降0.67%，主要原因是：严格落实中央八项规定精神，厉行节约，减少公务用车运行维护费。公务接待费支出0.00万元，占0.00%，比上年增加0.00万元，增长0.00%，主要原因是：2023年与2024年均未安排公务接待费支出。</w:t>
      </w:r>
    </w:p>
    <w:p w14:paraId="2A69A37F">
      <w:pPr>
        <w:spacing w:line="580" w:lineRule="exact"/>
        <w:ind w:firstLine="640"/>
        <w:jc w:val="both"/>
      </w:pPr>
      <w:r>
        <w:rPr>
          <w:rFonts w:ascii="仿宋_GB2312" w:hAnsi="仿宋_GB2312" w:eastAsia="仿宋_GB2312"/>
          <w:b/>
          <w:sz w:val="32"/>
        </w:rPr>
        <w:t>具体情况如下：</w:t>
      </w:r>
    </w:p>
    <w:p w14:paraId="78F8AE9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E3B1BEE">
      <w:pPr>
        <w:spacing w:line="580" w:lineRule="exact"/>
        <w:ind w:firstLine="640"/>
        <w:jc w:val="both"/>
      </w:pPr>
      <w:r>
        <w:rPr>
          <w:rFonts w:ascii="仿宋_GB2312" w:hAnsi="仿宋_GB2312" w:eastAsia="仿宋_GB2312"/>
          <w:b w:val="0"/>
          <w:sz w:val="32"/>
        </w:rPr>
        <w:t>公务用车购置及运行维护费1.48万元，其中：公务用车购置费0.00万元，公务用车运行维护费1.48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14:paraId="6FF6FF7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BFD62C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1.48万元，决算数1.48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1.48万元，决算数1.48万元，预决算差异率0.00%，主要原因是：严格按照预算执行，预决算无差异。公务接待费全年预算数0.00万元，决算数0.00万元，预决算差异率0.00%，主要原因是：本单位无公务接待费。</w:t>
      </w:r>
    </w:p>
    <w:p w14:paraId="41C3AEC2">
      <w:pPr>
        <w:spacing w:line="640" w:lineRule="exact"/>
        <w:ind w:firstLine="640"/>
        <w:jc w:val="both"/>
        <w:outlineLvl w:val="2"/>
      </w:pPr>
      <w:r>
        <w:rPr>
          <w:rFonts w:ascii="黑体" w:hAnsi="黑体" w:eastAsia="黑体"/>
          <w:sz w:val="32"/>
        </w:rPr>
        <w:t>十、其他重要事项的情况说明</w:t>
      </w:r>
    </w:p>
    <w:p w14:paraId="76BFDBDA">
      <w:pPr>
        <w:spacing w:line="640" w:lineRule="exact"/>
        <w:ind w:firstLine="640"/>
        <w:jc w:val="both"/>
        <w:outlineLvl w:val="3"/>
      </w:pPr>
      <w:r>
        <w:rPr>
          <w:rFonts w:ascii="楷体_GB2312" w:hAnsi="楷体_GB2312" w:eastAsia="楷体_GB2312"/>
          <w:b/>
          <w:sz w:val="32"/>
        </w:rPr>
        <w:t>（一）机关运行经费及公用经费支出情况</w:t>
      </w:r>
    </w:p>
    <w:p w14:paraId="54D31310">
      <w:pPr>
        <w:spacing w:line="580" w:lineRule="exact"/>
        <w:ind w:firstLine="640"/>
        <w:jc w:val="both"/>
      </w:pPr>
      <w:r>
        <w:rPr>
          <w:rFonts w:ascii="仿宋_GB2312" w:hAnsi="仿宋_GB2312" w:eastAsia="仿宋_GB2312"/>
          <w:b w:val="0"/>
          <w:sz w:val="32"/>
        </w:rPr>
        <w:t>2024年度中共岳普湖县委员会机要保密局（行政单位和参照公务员法管理事业单位）机关运行经费支出5.08万元，比上年增加0.50万元，增长10.92%，主要原因是：本年更新、维护补充办公用品，导致机关运行经费较上年增加。</w:t>
      </w:r>
    </w:p>
    <w:p w14:paraId="2F562A21">
      <w:pPr>
        <w:spacing w:line="640" w:lineRule="exact"/>
        <w:ind w:firstLine="640"/>
        <w:jc w:val="both"/>
        <w:outlineLvl w:val="3"/>
      </w:pPr>
      <w:r>
        <w:rPr>
          <w:rFonts w:ascii="楷体_GB2312" w:hAnsi="楷体_GB2312" w:eastAsia="楷体_GB2312"/>
          <w:b/>
          <w:sz w:val="32"/>
        </w:rPr>
        <w:t>（二）政府采购情况</w:t>
      </w:r>
    </w:p>
    <w:p w14:paraId="6664937E">
      <w:pPr>
        <w:spacing w:line="580" w:lineRule="exact"/>
        <w:ind w:firstLine="640"/>
        <w:jc w:val="both"/>
      </w:pPr>
      <w:r>
        <w:rPr>
          <w:rFonts w:ascii="仿宋_GB2312" w:hAnsi="仿宋_GB2312" w:eastAsia="仿宋_GB2312"/>
          <w:b w:val="0"/>
          <w:sz w:val="32"/>
        </w:rPr>
        <w:t>2024年度政府采购支出总额2.20万元，其中：政府采购货物支出1.65万元、政府采购工程支出0.00万元、政府采购服务支出0.55万元。</w:t>
      </w:r>
    </w:p>
    <w:p w14:paraId="727089F5">
      <w:pPr>
        <w:spacing w:line="580" w:lineRule="exact"/>
        <w:ind w:firstLine="640"/>
        <w:jc w:val="both"/>
      </w:pPr>
      <w:r>
        <w:rPr>
          <w:rFonts w:ascii="仿宋_GB2312" w:hAnsi="仿宋_GB2312" w:eastAsia="仿宋_GB2312"/>
          <w:b w:val="0"/>
          <w:sz w:val="32"/>
        </w:rPr>
        <w:t>授予中小企业合同金额1.97万元，占政府采购支出总额的89.55%，其中：授予小微企业合同金额1.97万元，占政府采购支出总额的89.55%。</w:t>
      </w:r>
    </w:p>
    <w:p w14:paraId="285B9B52">
      <w:pPr>
        <w:spacing w:line="640" w:lineRule="exact"/>
        <w:ind w:firstLine="640"/>
        <w:jc w:val="both"/>
        <w:outlineLvl w:val="3"/>
      </w:pPr>
      <w:r>
        <w:rPr>
          <w:rFonts w:ascii="楷体_GB2312" w:hAnsi="楷体_GB2312" w:eastAsia="楷体_GB2312"/>
          <w:b/>
          <w:sz w:val="32"/>
        </w:rPr>
        <w:t>（三）国有资产占用情况说明</w:t>
      </w:r>
    </w:p>
    <w:p w14:paraId="73924009">
      <w:pPr>
        <w:spacing w:line="580" w:lineRule="exact"/>
        <w:ind w:firstLine="640"/>
        <w:jc w:val="both"/>
      </w:pPr>
      <w:r>
        <w:rPr>
          <w:rFonts w:ascii="仿宋_GB2312" w:hAnsi="仿宋_GB2312" w:eastAsia="仿宋_GB2312"/>
          <w:b w:val="0"/>
          <w:sz w:val="32"/>
        </w:rPr>
        <w:t>截至2024年12月31日，房屋0.00平方米，价值0.00万元。车辆1辆，价值15.50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3A71255">
      <w:pPr>
        <w:spacing w:line="640" w:lineRule="exact"/>
        <w:ind w:firstLine="640"/>
        <w:jc w:val="both"/>
        <w:outlineLvl w:val="2"/>
      </w:pPr>
      <w:r>
        <w:rPr>
          <w:rFonts w:ascii="黑体" w:hAnsi="黑体" w:eastAsia="黑体"/>
          <w:sz w:val="32"/>
        </w:rPr>
        <w:t>十一、预算绩效的情况说明</w:t>
      </w:r>
    </w:p>
    <w:p w14:paraId="44EB835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根据预算绩效管理要求，本单位2024年度预算绩效管理形成整体支出绩效自评表1个，全年预算总额276.88万元，实际执行总额276.88万元；预算绩效评价项目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个，全年预算数85.41万元，全年执行数85.41万元。预算绩效管理取得的成效：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预算绩效项目不予公开。具体附整体支出绩效自评表。</w:t>
      </w:r>
    </w:p>
    <w:p w14:paraId="78594C7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4D954A4">
        <w:tblPrEx>
          <w:tblCellMar>
            <w:top w:w="0" w:type="dxa"/>
            <w:left w:w="108" w:type="dxa"/>
            <w:bottom w:w="0" w:type="dxa"/>
            <w:right w:w="108" w:type="dxa"/>
          </w:tblCellMar>
        </w:tblPrEx>
        <w:tc>
          <w:tcPr>
            <w:tcW w:w="8847" w:type="dxa"/>
            <w:gridSpan w:val="9"/>
            <w:vAlign w:val="center"/>
          </w:tcPr>
          <w:p w14:paraId="5F2F892F">
            <w:pPr>
              <w:jc w:val="center"/>
            </w:pPr>
            <w:r>
              <w:rPr>
                <w:rFonts w:ascii="宋体" w:hAnsi="宋体" w:eastAsia="宋体"/>
                <w:sz w:val="24"/>
              </w:rPr>
              <w:t>单位整体支出绩效自评表</w:t>
            </w:r>
          </w:p>
        </w:tc>
      </w:tr>
      <w:tr w14:paraId="2AF2DDC4">
        <w:tblPrEx>
          <w:tblCellMar>
            <w:top w:w="0" w:type="dxa"/>
            <w:left w:w="108" w:type="dxa"/>
            <w:bottom w:w="0" w:type="dxa"/>
            <w:right w:w="108" w:type="dxa"/>
          </w:tblCellMar>
        </w:tblPrEx>
        <w:tc>
          <w:tcPr>
            <w:tcW w:w="8847" w:type="dxa"/>
            <w:gridSpan w:val="9"/>
            <w:vAlign w:val="center"/>
          </w:tcPr>
          <w:p w14:paraId="58BDDA09">
            <w:pPr>
              <w:jc w:val="center"/>
            </w:pPr>
            <w:r>
              <w:rPr>
                <w:rFonts w:ascii="宋体" w:hAnsi="宋体" w:eastAsia="宋体"/>
                <w:sz w:val="24"/>
              </w:rPr>
              <w:t>（2024年度）</w:t>
            </w:r>
          </w:p>
        </w:tc>
      </w:tr>
      <w:tr w14:paraId="1CE1C1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8D6A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2D643C">
            <w:pPr>
              <w:jc w:val="center"/>
            </w:pPr>
            <w:r>
              <w:rPr>
                <w:rFonts w:ascii="宋体" w:hAnsi="宋体" w:eastAsia="宋体"/>
                <w:sz w:val="16"/>
              </w:rPr>
              <w:t>中共岳普湖县委员会机要保密局</w:t>
            </w:r>
          </w:p>
        </w:tc>
      </w:tr>
      <w:tr w14:paraId="5A3D50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94D3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C398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3253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5C4E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AC9C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EFC2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1226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8FCC2">
            <w:pPr>
              <w:jc w:val="center"/>
            </w:pPr>
            <w:r>
              <w:rPr>
                <w:rFonts w:ascii="宋体" w:hAnsi="宋体" w:eastAsia="宋体"/>
                <w:sz w:val="16"/>
              </w:rPr>
              <w:t>得分</w:t>
            </w:r>
          </w:p>
        </w:tc>
      </w:tr>
      <w:tr w14:paraId="63A3A6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E4E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FD60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94DB8">
            <w:pPr>
              <w:jc w:val="center"/>
            </w:pPr>
            <w:r>
              <w:rPr>
                <w:rFonts w:ascii="宋体" w:hAnsi="宋体" w:eastAsia="宋体"/>
                <w:sz w:val="16"/>
              </w:rPr>
              <w:t>212.45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6B391">
            <w:pPr>
              <w:jc w:val="center"/>
            </w:pPr>
            <w:r>
              <w:rPr>
                <w:rFonts w:ascii="宋体" w:hAnsi="宋体" w:eastAsia="宋体"/>
                <w:sz w:val="16"/>
              </w:rPr>
              <w:t>276.88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8BE3">
            <w:pPr>
              <w:jc w:val="center"/>
            </w:pPr>
            <w:r>
              <w:rPr>
                <w:rFonts w:ascii="宋体" w:hAnsi="宋体" w:eastAsia="宋体"/>
                <w:sz w:val="16"/>
              </w:rPr>
              <w:t>276.88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BA0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CBD2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8625F">
            <w:pPr>
              <w:jc w:val="center"/>
            </w:pPr>
            <w:r>
              <w:rPr>
                <w:rFonts w:ascii="宋体" w:hAnsi="宋体" w:eastAsia="宋体"/>
                <w:sz w:val="16"/>
              </w:rPr>
              <w:t>10</w:t>
            </w:r>
          </w:p>
        </w:tc>
      </w:tr>
      <w:tr w14:paraId="5DF59F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CAC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C95A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766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B2169">
            <w:pPr>
              <w:jc w:val="center"/>
            </w:pPr>
            <w:r>
              <w:rPr>
                <w:rFonts w:ascii="宋体" w:hAnsi="宋体" w:eastAsia="宋体"/>
                <w:sz w:val="16"/>
              </w:rPr>
              <w:t>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ADB21">
            <w:pPr>
              <w:jc w:val="center"/>
            </w:pPr>
            <w:r>
              <w:rPr>
                <w:rFonts w:ascii="宋体" w:hAnsi="宋体" w:eastAsia="宋体"/>
                <w:sz w:val="16"/>
              </w:rPr>
              <w:t>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B94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C755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D3C49">
            <w:pPr>
              <w:jc w:val="center"/>
            </w:pPr>
            <w:r>
              <w:rPr>
                <w:rFonts w:ascii="宋体" w:hAnsi="宋体" w:eastAsia="宋体"/>
                <w:sz w:val="16"/>
              </w:rPr>
              <w:t>—</w:t>
            </w:r>
          </w:p>
        </w:tc>
      </w:tr>
      <w:tr w14:paraId="7970A4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5EE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A48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A2526">
            <w:pPr>
              <w:jc w:val="center"/>
            </w:pPr>
            <w:r>
              <w:rPr>
                <w:rFonts w:ascii="宋体" w:hAnsi="宋体" w:eastAsia="宋体"/>
                <w:sz w:val="16"/>
              </w:rPr>
              <w:t>212.45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03D64">
            <w:pPr>
              <w:jc w:val="center"/>
            </w:pPr>
            <w:r>
              <w:rPr>
                <w:rFonts w:ascii="宋体" w:hAnsi="宋体" w:eastAsia="宋体"/>
                <w:sz w:val="16"/>
              </w:rPr>
              <w:t>274.84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ECE1D">
            <w:pPr>
              <w:jc w:val="center"/>
            </w:pPr>
            <w:r>
              <w:rPr>
                <w:rFonts w:ascii="宋体" w:hAnsi="宋体" w:eastAsia="宋体"/>
                <w:sz w:val="16"/>
              </w:rPr>
              <w:t>274.84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D0C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31B7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47724">
            <w:pPr>
              <w:jc w:val="center"/>
            </w:pPr>
            <w:r>
              <w:rPr>
                <w:rFonts w:ascii="宋体" w:hAnsi="宋体" w:eastAsia="宋体"/>
                <w:sz w:val="16"/>
              </w:rPr>
              <w:t>—</w:t>
            </w:r>
          </w:p>
        </w:tc>
      </w:tr>
      <w:tr w14:paraId="0D1517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4B4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F6E5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457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AE5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848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D02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38C1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CECD8">
            <w:pPr>
              <w:jc w:val="center"/>
            </w:pPr>
            <w:r>
              <w:rPr>
                <w:rFonts w:ascii="宋体" w:hAnsi="宋体" w:eastAsia="宋体"/>
                <w:sz w:val="16"/>
              </w:rPr>
              <w:t>—</w:t>
            </w:r>
          </w:p>
        </w:tc>
      </w:tr>
      <w:tr w14:paraId="27E5E9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3567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4157F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2187C5">
            <w:pPr>
              <w:jc w:val="center"/>
            </w:pPr>
            <w:r>
              <w:rPr>
                <w:rFonts w:ascii="宋体" w:hAnsi="宋体" w:eastAsia="宋体"/>
                <w:sz w:val="16"/>
              </w:rPr>
              <w:t>实际完成情况</w:t>
            </w:r>
          </w:p>
        </w:tc>
      </w:tr>
      <w:tr w14:paraId="1E6F5E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970F4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884F34">
            <w:pPr>
              <w:jc w:val="both"/>
            </w:pPr>
            <w:r>
              <w:rPr>
                <w:rFonts w:ascii="宋体" w:hAnsi="宋体" w:eastAsia="宋体"/>
                <w:sz w:val="16"/>
              </w:rPr>
              <w:t>按期完成全县64个部门单位保密检查工作，按期完成全年全县4次保密资料销毁工作，完成保密培训和保密政策宣讲。组织协调各单位保密工作，指导涉密工程管理。做好重点区域保密检查和专项治理。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1854F6">
            <w:pPr>
              <w:jc w:val="both"/>
            </w:pPr>
            <w:r>
              <w:rPr>
                <w:rFonts w:ascii="宋体" w:hAnsi="宋体" w:eastAsia="宋体"/>
                <w:sz w:val="16"/>
              </w:rPr>
              <w:t>中共岳普湖县委员会机要保密局本年度已完成全县65个部门单位保密检查工作，保密检查工作全覆盖，覆盖率100%。确保全县各部门单位在处理涉及国家秘密的信息时遵循相关规定，防止涉密信息泄露，及时发现各部门单位在保密工作中存在的问题和隐患，有效消除泄密风险。进一步完善保密制度，细化保密工作流程，明确保密责任和要求，使保密工作有更加健全的制度保障。规范各部门单位的保密管理行为，确保保密工作严格按照规定和程序进行，提高保密管理的科学化、规范化水平。使全县各部门单位工作人员更加直观地认识到保密工作的重要性和严肃性，了解到自身在保密工作中的职责和义务，从而增强保密意识，在日常工作中自觉遵守保密规定，形成良好的保密工作习惯。已完成本年度全县4次保密资料销毁工作，及时销毁保密资料是维护信息安全的重要环节，能够避免过时或无用的信息成为潜在的安全隐患，维护信息安全秩序。已完成本年度保密政策宣传全覆盖，已按期完成本年度保密培训工作，使各部门单位和相关人员明确自身在保密工作中的责任和义务，自觉地遵守保密规定，积极履行保密职责，减少因疏忽或认知导致的泄密事件发生。让全县干部群众了解保密政策法规、保密工作的重要性以及泄密的危害，使保密意识深入人心，形成全社会共同维护国家秘密安全的良好氛围。</w:t>
            </w:r>
          </w:p>
        </w:tc>
      </w:tr>
      <w:tr w14:paraId="088DC7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C990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46F4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D520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BC5C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58A4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B606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27C3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824B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88DCD">
            <w:pPr>
              <w:jc w:val="center"/>
            </w:pPr>
            <w:r>
              <w:rPr>
                <w:rFonts w:ascii="宋体" w:hAnsi="宋体" w:eastAsia="宋体"/>
                <w:sz w:val="16"/>
              </w:rPr>
              <w:t>得分</w:t>
            </w:r>
          </w:p>
        </w:tc>
      </w:tr>
      <w:tr w14:paraId="70378C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CA0F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2403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BFDB7">
            <w:pPr>
              <w:jc w:val="center"/>
            </w:pPr>
            <w:r>
              <w:rPr>
                <w:rFonts w:ascii="宋体" w:hAnsi="宋体" w:eastAsia="宋体"/>
                <w:sz w:val="16"/>
              </w:rPr>
              <w:t>保密检查覆盖部门单位数量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4C78D">
            <w:pPr>
              <w:jc w:val="center"/>
            </w:pPr>
            <w:r>
              <w:rPr>
                <w:rFonts w:ascii="宋体" w:hAnsi="宋体" w:eastAsia="宋体"/>
                <w:sz w:val="16"/>
              </w:rPr>
              <w:t>&gt;=64个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003EB">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8857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692E1">
            <w:pPr>
              <w:jc w:val="center"/>
            </w:pPr>
            <w:r>
              <w:rPr>
                <w:rFonts w:ascii="宋体" w:hAnsi="宋体" w:eastAsia="宋体"/>
                <w:sz w:val="16"/>
              </w:rPr>
              <w:t>65个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46514">
            <w:pPr>
              <w:jc w:val="center"/>
            </w:pPr>
            <w:r>
              <w:rPr>
                <w:rFonts w:ascii="宋体" w:hAnsi="宋体" w:eastAsia="宋体"/>
                <w:sz w:val="16"/>
              </w:rPr>
              <w:t>101.56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BF171">
            <w:pPr>
              <w:jc w:val="center"/>
            </w:pPr>
            <w:r>
              <w:rPr>
                <w:rFonts w:ascii="宋体" w:hAnsi="宋体" w:eastAsia="宋体"/>
                <w:sz w:val="16"/>
              </w:rPr>
              <w:t>18</w:t>
            </w:r>
          </w:p>
        </w:tc>
      </w:tr>
      <w:tr w14:paraId="63F4E0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2AB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FEA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9F5C0">
            <w:pPr>
              <w:jc w:val="center"/>
            </w:pPr>
            <w:r>
              <w:rPr>
                <w:rFonts w:ascii="宋体" w:hAnsi="宋体" w:eastAsia="宋体"/>
                <w:sz w:val="16"/>
              </w:rPr>
              <w:t>保密资料销毁次数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D47AE">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C950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1640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D0A69">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8CE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A7BE4">
            <w:pPr>
              <w:jc w:val="center"/>
            </w:pPr>
            <w:r>
              <w:rPr>
                <w:rFonts w:ascii="宋体" w:hAnsi="宋体" w:eastAsia="宋体"/>
                <w:sz w:val="16"/>
              </w:rPr>
              <w:t>18</w:t>
            </w:r>
          </w:p>
        </w:tc>
      </w:tr>
      <w:tr w14:paraId="4C47ED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89372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8F18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4C1B1">
            <w:pPr>
              <w:jc w:val="center"/>
            </w:pPr>
            <w:r>
              <w:rPr>
                <w:rFonts w:ascii="宋体" w:hAnsi="宋体" w:eastAsia="宋体"/>
                <w:sz w:val="16"/>
              </w:rPr>
              <w:t>保密检查工作覆盖率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B02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E6DE3">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6A6D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DE2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0F8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880C7">
            <w:pPr>
              <w:jc w:val="center"/>
            </w:pPr>
            <w:r>
              <w:rPr>
                <w:rFonts w:ascii="宋体" w:hAnsi="宋体" w:eastAsia="宋体"/>
                <w:sz w:val="16"/>
              </w:rPr>
              <w:t>18</w:t>
            </w:r>
          </w:p>
        </w:tc>
      </w:tr>
      <w:tr w14:paraId="6571DD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C4A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004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B1086">
            <w:pPr>
              <w:jc w:val="center"/>
            </w:pPr>
            <w:r>
              <w:rPr>
                <w:rFonts w:ascii="宋体" w:hAnsi="宋体" w:eastAsia="宋体"/>
                <w:sz w:val="16"/>
              </w:rPr>
              <w:t>保密政策宣传覆盖率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4B3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6DEFC">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F049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86A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5B9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76468">
            <w:pPr>
              <w:jc w:val="center"/>
            </w:pPr>
            <w:r>
              <w:rPr>
                <w:rFonts w:ascii="宋体" w:hAnsi="宋体" w:eastAsia="宋体"/>
                <w:sz w:val="16"/>
              </w:rPr>
              <w:t>18</w:t>
            </w:r>
          </w:p>
        </w:tc>
      </w:tr>
      <w:tr w14:paraId="594744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1BBA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09A8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1C2C8">
            <w:pPr>
              <w:jc w:val="center"/>
            </w:pPr>
            <w:r>
              <w:rPr>
                <w:rFonts w:ascii="宋体" w:hAnsi="宋体" w:eastAsia="宋体"/>
                <w:sz w:val="16"/>
              </w:rPr>
              <w:t>保密培训完成及时率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ADC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E40F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1A5C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1A7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756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56DB5">
            <w:pPr>
              <w:jc w:val="center"/>
            </w:pPr>
            <w:r>
              <w:rPr>
                <w:rFonts w:ascii="宋体" w:hAnsi="宋体" w:eastAsia="宋体"/>
                <w:sz w:val="16"/>
              </w:rPr>
              <w:t>18</w:t>
            </w:r>
          </w:p>
        </w:tc>
      </w:tr>
    </w:tbl>
    <w:p w14:paraId="12336E19">
      <w:r>
        <w:br w:type="page"/>
      </w:r>
    </w:p>
    <w:p w14:paraId="676BBF0D">
      <w:pPr>
        <w:spacing w:line="640" w:lineRule="exact"/>
        <w:ind w:firstLine="640"/>
        <w:jc w:val="both"/>
        <w:outlineLvl w:val="2"/>
      </w:pPr>
      <w:r>
        <w:rPr>
          <w:rFonts w:ascii="黑体" w:hAnsi="黑体" w:eastAsia="黑体"/>
          <w:sz w:val="32"/>
        </w:rPr>
        <w:t>十二、其他需说明的事项</w:t>
      </w:r>
    </w:p>
    <w:p w14:paraId="25D55089">
      <w:pPr>
        <w:spacing w:line="580" w:lineRule="exact"/>
        <w:ind w:firstLine="640"/>
        <w:jc w:val="both"/>
      </w:pPr>
      <w:r>
        <w:rPr>
          <w:rFonts w:ascii="仿宋_GB2312" w:hAnsi="仿宋_GB2312" w:eastAsia="仿宋_GB2312"/>
          <w:b w:val="0"/>
          <w:sz w:val="32"/>
        </w:rPr>
        <w:t>本年本单位SM项目3个，全年预算数85.41万元，全年执行数85.41万元。</w:t>
      </w:r>
    </w:p>
    <w:p w14:paraId="124FD4E1">
      <w:r>
        <w:br w:type="page"/>
      </w:r>
    </w:p>
    <w:p w14:paraId="39CA9C57">
      <w:pPr>
        <w:spacing w:line="240" w:lineRule="auto"/>
        <w:jc w:val="center"/>
        <w:outlineLvl w:val="1"/>
      </w:pPr>
      <w:r>
        <w:rPr>
          <w:rFonts w:ascii="黑体" w:hAnsi="黑体" w:eastAsia="黑体"/>
          <w:sz w:val="32"/>
        </w:rPr>
        <w:t>第三部分 专业名词解释</w:t>
      </w:r>
    </w:p>
    <w:p w14:paraId="5D6098A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2B4A0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59FF1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61C7A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4A57B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296AD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6AA8C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D2C0C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2D9B9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69AC7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30A472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DD249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6C6BC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C9D1E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9D8033">
      <w:r>
        <w:br w:type="page"/>
      </w:r>
    </w:p>
    <w:p w14:paraId="77753A6F">
      <w:pPr>
        <w:spacing w:line="240" w:lineRule="auto"/>
        <w:jc w:val="center"/>
        <w:outlineLvl w:val="1"/>
      </w:pPr>
      <w:r>
        <w:rPr>
          <w:rFonts w:ascii="黑体" w:hAnsi="黑体" w:eastAsia="黑体"/>
          <w:sz w:val="32"/>
        </w:rPr>
        <w:t>第四部分 部门决算报表（见附表）</w:t>
      </w:r>
    </w:p>
    <w:p w14:paraId="1A0ADB4A">
      <w:pPr>
        <w:spacing w:line="240" w:lineRule="auto"/>
        <w:ind w:firstLine="640"/>
        <w:jc w:val="both"/>
      </w:pPr>
      <w:r>
        <w:rPr>
          <w:rFonts w:ascii="仿宋_GB2312" w:hAnsi="仿宋_GB2312" w:eastAsia="仿宋_GB2312"/>
          <w:b w:val="0"/>
          <w:sz w:val="32"/>
        </w:rPr>
        <w:t>一、《收入支出决算总表》</w:t>
      </w:r>
    </w:p>
    <w:p w14:paraId="0545678E">
      <w:pPr>
        <w:spacing w:line="240" w:lineRule="auto"/>
        <w:ind w:firstLine="640"/>
        <w:jc w:val="both"/>
      </w:pPr>
      <w:r>
        <w:rPr>
          <w:rFonts w:ascii="仿宋_GB2312" w:hAnsi="仿宋_GB2312" w:eastAsia="仿宋_GB2312"/>
          <w:b w:val="0"/>
          <w:sz w:val="32"/>
        </w:rPr>
        <w:t>二、《收入决算表》</w:t>
      </w:r>
    </w:p>
    <w:p w14:paraId="7D866CB2">
      <w:pPr>
        <w:spacing w:line="240" w:lineRule="auto"/>
        <w:ind w:firstLine="640"/>
        <w:jc w:val="both"/>
      </w:pPr>
      <w:r>
        <w:rPr>
          <w:rFonts w:ascii="仿宋_GB2312" w:hAnsi="仿宋_GB2312" w:eastAsia="仿宋_GB2312"/>
          <w:b w:val="0"/>
          <w:sz w:val="32"/>
        </w:rPr>
        <w:t>三、《支出决算表》</w:t>
      </w:r>
    </w:p>
    <w:p w14:paraId="25BA813A">
      <w:pPr>
        <w:spacing w:line="240" w:lineRule="auto"/>
        <w:ind w:firstLine="640"/>
        <w:jc w:val="both"/>
      </w:pPr>
      <w:r>
        <w:rPr>
          <w:rFonts w:ascii="仿宋_GB2312" w:hAnsi="仿宋_GB2312" w:eastAsia="仿宋_GB2312"/>
          <w:b w:val="0"/>
          <w:sz w:val="32"/>
        </w:rPr>
        <w:t>四、《财政拨款收入支出决算总表》</w:t>
      </w:r>
    </w:p>
    <w:p w14:paraId="122A838B">
      <w:pPr>
        <w:spacing w:line="240" w:lineRule="auto"/>
        <w:ind w:firstLine="640"/>
        <w:jc w:val="both"/>
      </w:pPr>
      <w:r>
        <w:rPr>
          <w:rFonts w:ascii="仿宋_GB2312" w:hAnsi="仿宋_GB2312" w:eastAsia="仿宋_GB2312"/>
          <w:b w:val="0"/>
          <w:sz w:val="32"/>
        </w:rPr>
        <w:t>五、《一般公共预算财政拨款支出决算表》</w:t>
      </w:r>
    </w:p>
    <w:p w14:paraId="6CFA87FF">
      <w:pPr>
        <w:spacing w:line="240" w:lineRule="auto"/>
        <w:ind w:firstLine="640"/>
        <w:jc w:val="both"/>
      </w:pPr>
      <w:r>
        <w:rPr>
          <w:rFonts w:ascii="仿宋_GB2312" w:hAnsi="仿宋_GB2312" w:eastAsia="仿宋_GB2312"/>
          <w:b w:val="0"/>
          <w:sz w:val="32"/>
        </w:rPr>
        <w:t>六、《一般公共预算财政拨款基本支出决算表》</w:t>
      </w:r>
    </w:p>
    <w:p w14:paraId="769C4896">
      <w:pPr>
        <w:spacing w:line="240" w:lineRule="auto"/>
        <w:ind w:firstLine="640"/>
        <w:jc w:val="both"/>
      </w:pPr>
      <w:r>
        <w:rPr>
          <w:rFonts w:ascii="仿宋_GB2312" w:hAnsi="仿宋_GB2312" w:eastAsia="仿宋_GB2312"/>
          <w:b w:val="0"/>
          <w:sz w:val="32"/>
        </w:rPr>
        <w:t>七、《政府性基金预算财政拨款收入支出决算表》</w:t>
      </w:r>
    </w:p>
    <w:p w14:paraId="460CED35">
      <w:pPr>
        <w:spacing w:line="240" w:lineRule="auto"/>
        <w:ind w:firstLine="640"/>
        <w:jc w:val="both"/>
      </w:pPr>
      <w:r>
        <w:rPr>
          <w:rFonts w:ascii="仿宋_GB2312" w:hAnsi="仿宋_GB2312" w:eastAsia="仿宋_GB2312"/>
          <w:b w:val="0"/>
          <w:sz w:val="32"/>
        </w:rPr>
        <w:t>八、《国有资本经营预算财政拨款收入支出决算表》</w:t>
      </w:r>
    </w:p>
    <w:p w14:paraId="7D6D31B6">
      <w:pPr>
        <w:spacing w:line="240" w:lineRule="auto"/>
        <w:ind w:firstLine="640"/>
        <w:jc w:val="both"/>
      </w:pPr>
      <w:r>
        <w:rPr>
          <w:rFonts w:ascii="仿宋_GB2312" w:hAnsi="仿宋_GB2312" w:eastAsia="仿宋_GB2312"/>
          <w:b w:val="0"/>
          <w:sz w:val="32"/>
        </w:rPr>
        <w:t>九、《财政拨款“三公”经费支出决算表》</w:t>
      </w:r>
    </w:p>
    <w:p w14:paraId="5D88EA76">
      <w:pPr>
        <w:spacing w:line="240" w:lineRule="auto"/>
        <w:ind w:firstLine="640"/>
        <w:jc w:val="both"/>
      </w:pPr>
    </w:p>
    <w:p w14:paraId="3E4D8182">
      <w:pPr>
        <w:spacing w:line="240" w:lineRule="auto"/>
        <w:ind w:firstLine="640"/>
        <w:jc w:val="both"/>
      </w:pPr>
    </w:p>
    <w:p w14:paraId="0797FF5B">
      <w:pPr>
        <w:spacing w:line="240" w:lineRule="auto"/>
        <w:ind w:firstLine="640"/>
        <w:jc w:val="both"/>
      </w:pPr>
    </w:p>
    <w:p w14:paraId="5DFBE07A">
      <w:pPr>
        <w:spacing w:line="240" w:lineRule="auto"/>
        <w:ind w:firstLine="640"/>
        <w:jc w:val="both"/>
      </w:pPr>
    </w:p>
    <w:p w14:paraId="36BF8EB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9C6971-557F-4E7A-B566-0401401BDA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C4E8931-4AC0-4FC5-B3B2-31BF8ADA5120}"/>
  </w:font>
  <w:font w:name="仿宋_GB2312">
    <w:altName w:val="仿宋"/>
    <w:panose1 w:val="02010609030101010101"/>
    <w:charset w:val="86"/>
    <w:family w:val="modern"/>
    <w:pitch w:val="default"/>
    <w:sig w:usb0="00000000" w:usb1="00000000" w:usb2="00000000" w:usb3="00000000" w:csb0="00040000" w:csb1="00000000"/>
    <w:embedRegular r:id="rId3" w:fontKey="{5FD95D01-7542-4221-B8E9-618B7AF6A958}"/>
  </w:font>
  <w:font w:name="楷体_GB2312">
    <w:altName w:val="楷体"/>
    <w:panose1 w:val="02010609030101010101"/>
    <w:charset w:val="86"/>
    <w:family w:val="auto"/>
    <w:pitch w:val="default"/>
    <w:sig w:usb0="00000000" w:usb1="00000000" w:usb2="00000000" w:usb3="00000000" w:csb0="00040000" w:csb1="00000000"/>
    <w:embedRegular r:id="rId4" w:fontKey="{0470675A-3825-4824-B12C-8022C24F118C}"/>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BE0325"/>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6250D4"/>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4285</Words>
  <Characters>4953</Characters>
  <Lines>0</Lines>
  <Paragraphs>0</Paragraphs>
  <TotalTime>3</TotalTime>
  <ScaleCrop>false</ScaleCrop>
  <LinksUpToDate>false</LinksUpToDate>
  <CharactersWithSpaces>4961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