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10E4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中共岳普湖县委员会社会工作部2024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E31237">
      <w:r>
        <w:br w:type="page"/>
      </w:r>
    </w:p>
    <w:p w14:paraId="52C86C8E">
      <w:pPr>
        <w:spacing w:line="640" w:lineRule="exact"/>
        <w:jc w:val="center"/>
        <w:outlineLvl w:val="1"/>
      </w:pPr>
      <w:r>
        <w:rPr>
          <w:rFonts w:ascii="黑体" w:hAnsi="黑体" w:eastAsia="黑体"/>
          <w:sz w:val="32"/>
        </w:rPr>
        <w:t>第一部分 单位概况</w:t>
      </w:r>
    </w:p>
    <w:p w14:paraId="01E84026">
      <w:pPr>
        <w:spacing w:line="640" w:lineRule="exact"/>
        <w:ind w:firstLine="640"/>
        <w:jc w:val="both"/>
        <w:outlineLvl w:val="2"/>
      </w:pPr>
      <w:r>
        <w:rPr>
          <w:rFonts w:ascii="黑体" w:hAnsi="黑体" w:eastAsia="黑体"/>
          <w:sz w:val="32"/>
        </w:rPr>
        <w:t>一、主要职能</w:t>
      </w:r>
    </w:p>
    <w:p w14:paraId="5DBC47CB">
      <w:pPr>
        <w:spacing w:line="580" w:lineRule="exact"/>
        <w:ind w:firstLine="640"/>
        <w:jc w:val="both"/>
      </w:pPr>
      <w:r>
        <w:rPr>
          <w:rFonts w:ascii="仿宋_GB2312" w:hAnsi="仿宋_GB2312" w:eastAsia="仿宋_GB2312"/>
          <w:sz w:val="32"/>
        </w:rPr>
        <w:t>①研究相关理论、政策和规划，拟订相关规范性文件并组织实施。深入调查研究，及时向县委报告工作情况并提出建议。指导各基层组织加强党对社会工作的全面领导。</w:t>
      </w:r>
    </w:p>
    <w:p w14:paraId="757AC6FA">
      <w:pPr>
        <w:spacing w:line="580" w:lineRule="exact"/>
        <w:ind w:firstLine="640"/>
        <w:jc w:val="both"/>
      </w:pPr>
      <w:r>
        <w:rPr>
          <w:rFonts w:ascii="仿宋_GB2312" w:hAnsi="仿宋_GB2312" w:eastAsia="仿宋_GB2312"/>
          <w:sz w:val="32"/>
        </w:rPr>
        <w:t>②统筹指导群众利益协调、诉求表达、矛盾调处、权益保障等人民信访工作，协调解决人民群众急难愁盼的重大问题。指导人民建议征集工作，负责征集、办理公民、法人和其他组织提出的意见建议，向县委、县人民政府及时反映公民、法人和其他组织对党和国家事业发展提出的重要意见建议。</w:t>
      </w:r>
    </w:p>
    <w:p w14:paraId="16790471">
      <w:pPr>
        <w:spacing w:line="580" w:lineRule="exact"/>
        <w:ind w:firstLine="640"/>
        <w:jc w:val="both"/>
      </w:pPr>
      <w:r>
        <w:rPr>
          <w:rFonts w:ascii="仿宋_GB2312" w:hAnsi="仿宋_GB2312" w:eastAsia="仿宋_GB2312"/>
          <w:sz w:val="32"/>
        </w:rPr>
        <w:t>③统筹推进党建引领基层治理和基层政权建设，协调推进城乡社区治理体系和治理能力建设，推动基层民主政治建设，指导监督基层群众自治制度的有效实施，健全基层群众自治机制。</w:t>
      </w:r>
    </w:p>
    <w:p w14:paraId="667F1652">
      <w:pPr>
        <w:spacing w:line="580" w:lineRule="exact"/>
        <w:ind w:firstLine="640"/>
        <w:jc w:val="both"/>
      </w:pPr>
      <w:r>
        <w:rPr>
          <w:rFonts w:ascii="仿宋_GB2312" w:hAnsi="仿宋_GB2312" w:eastAsia="仿宋_GB2312"/>
          <w:sz w:val="32"/>
        </w:rPr>
        <w:t>④指导全县社会组织党建工作，统一领导全县行业协会商会党的工作，协调推动行业协会商会深化改革和转型发展。</w:t>
      </w:r>
    </w:p>
    <w:p w14:paraId="6383FD79">
      <w:pPr>
        <w:spacing w:line="580" w:lineRule="exact"/>
        <w:ind w:firstLine="640"/>
        <w:jc w:val="both"/>
      </w:pPr>
      <w:r>
        <w:rPr>
          <w:rFonts w:ascii="仿宋_GB2312" w:hAnsi="仿宋_GB2312" w:eastAsia="仿宋_GB2312"/>
          <w:sz w:val="32"/>
        </w:rPr>
        <w:t>⑤指导全县混合所有制企业、非公有制企业和新经济组织、新社会组织、新就业群体（简称“两新三新”）党建工作，指导协调相关企业单位、社会组织、就业群体中党员的教育、管理、监督和服务工作，研究完善相关领域群众利益协调机制。</w:t>
      </w:r>
    </w:p>
    <w:p w14:paraId="299EC3C4">
      <w:pPr>
        <w:spacing w:line="580" w:lineRule="exact"/>
        <w:ind w:firstLine="640"/>
        <w:jc w:val="both"/>
      </w:pPr>
      <w:r>
        <w:rPr>
          <w:rFonts w:ascii="仿宋_GB2312" w:hAnsi="仿宋_GB2312" w:eastAsia="仿宋_GB2312"/>
          <w:sz w:val="32"/>
        </w:rPr>
        <w:t>⑥负责全县志愿服务工作的统筹规划、协调指导、督促检查。指导社会工作人才队伍建设。完成县委交办的其他任务。</w:t>
      </w:r>
    </w:p>
    <w:p w14:paraId="5DA8D410">
      <w:pPr>
        <w:spacing w:line="640" w:lineRule="exact"/>
        <w:ind w:firstLine="640"/>
        <w:jc w:val="both"/>
        <w:outlineLvl w:val="2"/>
      </w:pPr>
      <w:r>
        <w:rPr>
          <w:rFonts w:ascii="黑体" w:hAnsi="黑体" w:eastAsia="黑体"/>
          <w:sz w:val="32"/>
        </w:rPr>
        <w:t>二、机构设置及人员情况</w:t>
      </w:r>
    </w:p>
    <w:p w14:paraId="2C055659">
      <w:pPr>
        <w:spacing w:line="580" w:lineRule="exact"/>
        <w:ind w:firstLine="640"/>
        <w:jc w:val="both"/>
      </w:pPr>
      <w:r>
        <w:rPr>
          <w:rFonts w:ascii="仿宋_GB2312" w:hAnsi="仿宋_GB2312" w:eastAsia="仿宋_GB2312"/>
          <w:sz w:val="32"/>
        </w:rPr>
        <w:t>中共岳普湖县委员会社会工作部2024年度，实有人数13人，其中：在职人员13人，增加13人；离休人员0人，增加0人；退休人员0人,增加0人。</w:t>
      </w:r>
    </w:p>
    <w:p w14:paraId="351494A8">
      <w:pPr>
        <w:spacing w:line="580" w:lineRule="exact"/>
        <w:ind w:firstLine="640"/>
        <w:jc w:val="both"/>
      </w:pPr>
      <w:r>
        <w:rPr>
          <w:rFonts w:ascii="仿宋_GB2312" w:hAnsi="仿宋_GB2312" w:eastAsia="仿宋_GB2312"/>
          <w:sz w:val="32"/>
        </w:rPr>
        <w:t>中共岳普湖县委员会社会工作部无下属预算单位，下设1个科室，分别是：人民群众信访服务中心。</w:t>
      </w:r>
    </w:p>
    <w:p w14:paraId="56CD8CE5">
      <w:r>
        <w:br w:type="page"/>
      </w:r>
    </w:p>
    <w:p w14:paraId="65293B27">
      <w:pPr>
        <w:spacing w:line="240" w:lineRule="auto"/>
        <w:jc w:val="center"/>
        <w:outlineLvl w:val="1"/>
      </w:pPr>
      <w:r>
        <w:rPr>
          <w:rFonts w:ascii="黑体" w:hAnsi="黑体" w:eastAsia="黑体"/>
          <w:sz w:val="32"/>
        </w:rPr>
        <w:t>第二部分 部门决算情况说明</w:t>
      </w:r>
    </w:p>
    <w:p w14:paraId="62BB0234">
      <w:pPr>
        <w:spacing w:line="640" w:lineRule="exact"/>
        <w:ind w:firstLine="640"/>
        <w:jc w:val="both"/>
        <w:outlineLvl w:val="2"/>
      </w:pPr>
      <w:r>
        <w:rPr>
          <w:rFonts w:ascii="黑体" w:hAnsi="黑体" w:eastAsia="黑体"/>
          <w:sz w:val="32"/>
        </w:rPr>
        <w:t>一、收入支出决算总体情况说明</w:t>
      </w:r>
    </w:p>
    <w:p w14:paraId="3C5988BA">
      <w:pPr>
        <w:spacing w:line="580" w:lineRule="exact"/>
        <w:ind w:firstLine="640"/>
        <w:jc w:val="both"/>
      </w:pPr>
      <w:r>
        <w:rPr>
          <w:rFonts w:ascii="仿宋_GB2312" w:hAnsi="仿宋_GB2312" w:eastAsia="仿宋_GB2312"/>
          <w:b/>
          <w:sz w:val="32"/>
        </w:rPr>
        <w:t>2024年度收入总计55.15万元，</w:t>
      </w:r>
      <w:r>
        <w:rPr>
          <w:rFonts w:ascii="仿宋_GB2312" w:hAnsi="仿宋_GB2312" w:eastAsia="仿宋_GB2312"/>
          <w:b w:val="0"/>
          <w:sz w:val="32"/>
        </w:rPr>
        <w:t>其中：本年收入合计55.15万元，使用非财政拨款结余（含专用结余）0.00万元，年初结转和结余0.00万元。</w:t>
      </w:r>
    </w:p>
    <w:p w14:paraId="2CEE9406">
      <w:pPr>
        <w:spacing w:line="580" w:lineRule="exact"/>
        <w:ind w:firstLine="640"/>
        <w:jc w:val="both"/>
      </w:pPr>
      <w:r>
        <w:rPr>
          <w:rFonts w:ascii="仿宋_GB2312" w:hAnsi="仿宋_GB2312" w:eastAsia="仿宋_GB2312"/>
          <w:b/>
          <w:sz w:val="32"/>
        </w:rPr>
        <w:t>2024年度支出总计55.15万元，</w:t>
      </w:r>
      <w:r>
        <w:rPr>
          <w:rFonts w:ascii="仿宋_GB2312" w:hAnsi="仿宋_GB2312" w:eastAsia="仿宋_GB2312"/>
          <w:b w:val="0"/>
          <w:sz w:val="32"/>
        </w:rPr>
        <w:t>其中：本年支出合计55.15万元，结余分配0.00万元，年末结转和结余0.00万元。</w:t>
      </w:r>
    </w:p>
    <w:p w14:paraId="3D9449D8">
      <w:pPr>
        <w:spacing w:line="580" w:lineRule="exact"/>
        <w:ind w:firstLine="640"/>
        <w:jc w:val="both"/>
      </w:pPr>
      <w:r>
        <w:rPr>
          <w:rFonts w:ascii="仿宋_GB2312" w:hAnsi="仿宋_GB2312" w:eastAsia="仿宋_GB2312"/>
          <w:b w:val="0"/>
          <w:sz w:val="32"/>
        </w:rPr>
        <w:t>收入支出总体与上年相比，增加55.15万元，增长100.00%，主要原因是：本年为新增单位，无上年对比数据。</w:t>
      </w:r>
    </w:p>
    <w:p w14:paraId="3AA27DC4">
      <w:pPr>
        <w:spacing w:line="640" w:lineRule="exact"/>
        <w:ind w:firstLine="640"/>
        <w:jc w:val="both"/>
        <w:outlineLvl w:val="2"/>
      </w:pPr>
      <w:r>
        <w:rPr>
          <w:rFonts w:ascii="黑体" w:hAnsi="黑体" w:eastAsia="黑体"/>
          <w:sz w:val="32"/>
        </w:rPr>
        <w:t>二、收入决算情况说明</w:t>
      </w:r>
    </w:p>
    <w:p w14:paraId="41E3C31D">
      <w:pPr>
        <w:spacing w:line="580" w:lineRule="exact"/>
        <w:ind w:firstLine="640"/>
        <w:jc w:val="both"/>
      </w:pPr>
      <w:r>
        <w:rPr>
          <w:rFonts w:ascii="仿宋_GB2312" w:hAnsi="仿宋_GB2312" w:eastAsia="仿宋_GB2312"/>
          <w:b/>
          <w:sz w:val="32"/>
        </w:rPr>
        <w:t>本年收入55.15万元，</w:t>
      </w:r>
      <w:r>
        <w:rPr>
          <w:rFonts w:ascii="仿宋_GB2312" w:hAnsi="仿宋_GB2312" w:eastAsia="仿宋_GB2312"/>
          <w:b w:val="0"/>
          <w:sz w:val="32"/>
        </w:rPr>
        <w:t>其中：财政拨款收入51.98万元，占94.25%；上级补助收入0.00万元，占0.00%；事业收入0.00万元，占0.00%；经营收入0.00万元，占0.00%；附属单位上缴收入0.00万元，占0.00%；其他收入3.17万元，占5.75%。</w:t>
      </w:r>
    </w:p>
    <w:p w14:paraId="5B88CFFA">
      <w:pPr>
        <w:spacing w:line="640" w:lineRule="exact"/>
        <w:ind w:firstLine="640"/>
        <w:jc w:val="both"/>
        <w:outlineLvl w:val="2"/>
      </w:pPr>
      <w:r>
        <w:rPr>
          <w:rFonts w:ascii="黑体" w:hAnsi="黑体" w:eastAsia="黑体"/>
          <w:sz w:val="32"/>
        </w:rPr>
        <w:t>三、支出决算情况说明</w:t>
      </w:r>
    </w:p>
    <w:p w14:paraId="788EEA86">
      <w:pPr>
        <w:spacing w:line="580" w:lineRule="exact"/>
        <w:ind w:firstLine="640"/>
        <w:jc w:val="both"/>
      </w:pPr>
      <w:r>
        <w:rPr>
          <w:rFonts w:ascii="仿宋_GB2312" w:hAnsi="仿宋_GB2312" w:eastAsia="仿宋_GB2312"/>
          <w:b/>
          <w:sz w:val="32"/>
        </w:rPr>
        <w:t>本年支出55.15万元，</w:t>
      </w:r>
      <w:r>
        <w:rPr>
          <w:rFonts w:ascii="仿宋_GB2312" w:hAnsi="仿宋_GB2312" w:eastAsia="仿宋_GB2312"/>
          <w:b w:val="0"/>
          <w:sz w:val="32"/>
        </w:rPr>
        <w:t>其中：基本支出51.98万元，占94.25%；项目支出3.17万元，占5.75%；上缴上级支出0.00万元，占0.00%；经营支出0.00万元，占0.00%；对附属单位补助支出0.00万元，占0.00%。</w:t>
      </w:r>
    </w:p>
    <w:p w14:paraId="47F5D5C6">
      <w:pPr>
        <w:spacing w:line="640" w:lineRule="exact"/>
        <w:ind w:firstLine="640"/>
        <w:jc w:val="both"/>
        <w:outlineLvl w:val="2"/>
      </w:pPr>
      <w:r>
        <w:rPr>
          <w:rFonts w:ascii="黑体" w:hAnsi="黑体" w:eastAsia="黑体"/>
          <w:sz w:val="32"/>
        </w:rPr>
        <w:t>四、财政拨款收入支出决算总体情况说明</w:t>
      </w:r>
    </w:p>
    <w:p w14:paraId="114534E5">
      <w:pPr>
        <w:spacing w:line="580" w:lineRule="exact"/>
        <w:ind w:firstLine="640"/>
        <w:jc w:val="both"/>
      </w:pPr>
      <w:r>
        <w:rPr>
          <w:rFonts w:ascii="仿宋_GB2312" w:hAnsi="仿宋_GB2312" w:eastAsia="仿宋_GB2312"/>
          <w:b/>
          <w:sz w:val="32"/>
        </w:rPr>
        <w:t>2024年度财政拨款收入总计51.98万元，</w:t>
      </w:r>
      <w:r>
        <w:rPr>
          <w:rFonts w:ascii="仿宋_GB2312" w:hAnsi="仿宋_GB2312" w:eastAsia="仿宋_GB2312"/>
          <w:b w:val="0"/>
          <w:sz w:val="32"/>
        </w:rPr>
        <w:t>其中：年初财政拨款结转和结余0.00万元，本年财政拨款收入51.98万元。</w:t>
      </w:r>
      <w:r>
        <w:rPr>
          <w:rFonts w:ascii="仿宋_GB2312" w:hAnsi="仿宋_GB2312" w:eastAsia="仿宋_GB2312"/>
          <w:b/>
          <w:sz w:val="32"/>
        </w:rPr>
        <w:t>财政拨款支出总计51.98万元，</w:t>
      </w:r>
      <w:r>
        <w:rPr>
          <w:rFonts w:ascii="仿宋_GB2312" w:hAnsi="仿宋_GB2312" w:eastAsia="仿宋_GB2312"/>
          <w:b w:val="0"/>
          <w:sz w:val="32"/>
        </w:rPr>
        <w:t>其中：年末财政拨款结转和结余0.00万元，本年财政拨款支出51.98万元。</w:t>
      </w:r>
    </w:p>
    <w:p w14:paraId="04A034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增加51.98万元，增长100.00%，主要原因是：本年为新增单位，无上年对比数据。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年初预算数0.00万元，决算数51.98万元，预决算差异率100.00%，主要原因是：</w:t>
      </w:r>
      <w:r>
        <w:rPr>
          <w:rFonts w:hint="eastAsia" w:ascii="仿宋_GB2312" w:hAnsi="仿宋_GB2312" w:eastAsia="仿宋_GB2312"/>
          <w:b w:val="0"/>
          <w:sz w:val="32"/>
        </w:rPr>
        <w:t>本年为新增单位，年初未做预算，导致预决算存在差异</w:t>
      </w:r>
      <w:r>
        <w:rPr>
          <w:rFonts w:ascii="仿宋_GB2312" w:hAnsi="仿宋_GB2312" w:eastAsia="仿宋_GB2312"/>
          <w:b w:val="0"/>
          <w:sz w:val="32"/>
        </w:rPr>
        <w:t>。</w:t>
      </w:r>
    </w:p>
    <w:p w14:paraId="310F214C">
      <w:pPr>
        <w:spacing w:line="640" w:lineRule="exact"/>
        <w:ind w:firstLine="640"/>
        <w:jc w:val="both"/>
        <w:outlineLvl w:val="2"/>
      </w:pPr>
      <w:r>
        <w:rPr>
          <w:rFonts w:ascii="黑体" w:hAnsi="黑体" w:eastAsia="黑体"/>
          <w:sz w:val="32"/>
        </w:rPr>
        <w:t>五、一般公共预算财政拨款支出决算情况说明</w:t>
      </w:r>
    </w:p>
    <w:p w14:paraId="04E11C4F">
      <w:pPr>
        <w:spacing w:line="640" w:lineRule="exact"/>
        <w:ind w:firstLine="640"/>
        <w:jc w:val="both"/>
        <w:outlineLvl w:val="3"/>
      </w:pPr>
      <w:r>
        <w:rPr>
          <w:rFonts w:ascii="楷体_GB2312" w:hAnsi="楷体_GB2312" w:eastAsia="楷体_GB2312"/>
          <w:b/>
          <w:sz w:val="32"/>
        </w:rPr>
        <w:t>（一）一般公共预算财政拨款支出决算总体情况</w:t>
      </w:r>
    </w:p>
    <w:p w14:paraId="4B849E01">
      <w:pPr>
        <w:spacing w:line="580" w:lineRule="exact"/>
        <w:ind w:firstLine="640"/>
        <w:jc w:val="both"/>
      </w:pPr>
      <w:r>
        <w:rPr>
          <w:rFonts w:ascii="仿宋_GB2312" w:hAnsi="仿宋_GB2312" w:eastAsia="仿宋_GB2312"/>
          <w:b/>
          <w:sz w:val="32"/>
        </w:rPr>
        <w:t>2024年度一般公共预算财政拨款支出51.98万元，</w:t>
      </w:r>
      <w:r>
        <w:rPr>
          <w:rFonts w:ascii="仿宋_GB2312" w:hAnsi="仿宋_GB2312" w:eastAsia="仿宋_GB2312"/>
          <w:b w:val="0"/>
          <w:sz w:val="32"/>
        </w:rPr>
        <w:t>占本年支出合计的94.25%。</w:t>
      </w:r>
      <w:r>
        <w:rPr>
          <w:rFonts w:ascii="仿宋_GB2312" w:hAnsi="仿宋_GB2312" w:eastAsia="仿宋_GB2312"/>
          <w:b/>
          <w:sz w:val="32"/>
        </w:rPr>
        <w:t>与上年相比，</w:t>
      </w:r>
      <w:r>
        <w:rPr>
          <w:rFonts w:ascii="仿宋_GB2312" w:hAnsi="仿宋_GB2312" w:eastAsia="仿宋_GB2312"/>
          <w:b w:val="0"/>
          <w:sz w:val="32"/>
        </w:rPr>
        <w:t>增加51.98万元，增长100.00%，主要原因是：本年为新增单位，无上年对比数据。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年初预算数0.00万元，决算数51.98万元，预决算差异率100.00%，主要原因是：</w:t>
      </w:r>
      <w:r>
        <w:rPr>
          <w:rFonts w:hint="eastAsia" w:ascii="仿宋_GB2312" w:hAnsi="仿宋_GB2312" w:eastAsia="仿宋_GB2312"/>
          <w:b w:val="0"/>
          <w:sz w:val="32"/>
        </w:rPr>
        <w:t>本年为新增单位，年初未做预算，导致预决算存在差异</w:t>
      </w:r>
      <w:r>
        <w:rPr>
          <w:rFonts w:ascii="仿宋_GB2312" w:hAnsi="仿宋_GB2312" w:eastAsia="仿宋_GB2312"/>
          <w:b w:val="0"/>
          <w:sz w:val="32"/>
        </w:rPr>
        <w:t>。</w:t>
      </w:r>
    </w:p>
    <w:p w14:paraId="4DE2786E">
      <w:pPr>
        <w:spacing w:line="640" w:lineRule="exact"/>
        <w:ind w:firstLine="640"/>
        <w:jc w:val="both"/>
        <w:outlineLvl w:val="3"/>
      </w:pPr>
      <w:r>
        <w:rPr>
          <w:rFonts w:ascii="楷体_GB2312" w:hAnsi="楷体_GB2312" w:eastAsia="楷体_GB2312"/>
          <w:b/>
          <w:sz w:val="32"/>
        </w:rPr>
        <w:t>（二）一般公共预算财政拨款支出决算结构情况</w:t>
      </w:r>
    </w:p>
    <w:p w14:paraId="18B48174">
      <w:pPr>
        <w:spacing w:line="580" w:lineRule="exact"/>
        <w:ind w:firstLine="640"/>
        <w:jc w:val="both"/>
      </w:pPr>
      <w:r>
        <w:rPr>
          <w:rFonts w:ascii="仿宋_GB2312" w:hAnsi="仿宋_GB2312" w:eastAsia="仿宋_GB2312"/>
          <w:b w:val="0"/>
          <w:sz w:val="32"/>
        </w:rPr>
        <w:t>1.一般公共服务支出(类)39.80万元,占76.57%。</w:t>
      </w:r>
    </w:p>
    <w:p w14:paraId="7B1DFFC5">
      <w:pPr>
        <w:spacing w:line="580" w:lineRule="exact"/>
        <w:ind w:firstLine="640"/>
        <w:jc w:val="both"/>
      </w:pPr>
      <w:r>
        <w:rPr>
          <w:rFonts w:ascii="仿宋_GB2312" w:hAnsi="仿宋_GB2312" w:eastAsia="仿宋_GB2312"/>
          <w:b w:val="0"/>
          <w:sz w:val="32"/>
        </w:rPr>
        <w:t>2.社会保障和就业支出(类)5.27万元,占10.14%。</w:t>
      </w:r>
    </w:p>
    <w:p w14:paraId="5DA95B53">
      <w:pPr>
        <w:spacing w:line="580" w:lineRule="exact"/>
        <w:ind w:firstLine="640"/>
        <w:jc w:val="both"/>
      </w:pPr>
      <w:r>
        <w:rPr>
          <w:rFonts w:ascii="仿宋_GB2312" w:hAnsi="仿宋_GB2312" w:eastAsia="仿宋_GB2312"/>
          <w:b w:val="0"/>
          <w:sz w:val="32"/>
        </w:rPr>
        <w:t>3.卫生健康支出(类)2.62万元,占5.04%。</w:t>
      </w:r>
    </w:p>
    <w:p w14:paraId="6BDC6992">
      <w:pPr>
        <w:spacing w:line="580" w:lineRule="exact"/>
        <w:ind w:firstLine="640"/>
        <w:jc w:val="both"/>
      </w:pPr>
      <w:r>
        <w:rPr>
          <w:rFonts w:ascii="仿宋_GB2312" w:hAnsi="仿宋_GB2312" w:eastAsia="仿宋_GB2312"/>
          <w:b w:val="0"/>
          <w:sz w:val="32"/>
        </w:rPr>
        <w:t>4.住房保障支出(类)4.29万元,占8.25%。</w:t>
      </w:r>
    </w:p>
    <w:p w14:paraId="2A896B33">
      <w:pPr>
        <w:spacing w:line="640" w:lineRule="exact"/>
        <w:ind w:firstLine="640"/>
        <w:jc w:val="both"/>
        <w:outlineLvl w:val="3"/>
      </w:pPr>
      <w:r>
        <w:rPr>
          <w:rFonts w:ascii="楷体_GB2312" w:hAnsi="楷体_GB2312" w:eastAsia="楷体_GB2312"/>
          <w:b/>
          <w:sz w:val="32"/>
        </w:rPr>
        <w:t>（三）一般公共预算财政拨款支出决算具体情况</w:t>
      </w:r>
    </w:p>
    <w:p w14:paraId="50F90865">
      <w:pPr>
        <w:spacing w:line="580" w:lineRule="exact"/>
        <w:ind w:firstLine="640"/>
        <w:jc w:val="both"/>
      </w:pPr>
      <w:r>
        <w:rPr>
          <w:rFonts w:ascii="仿宋_GB2312" w:hAnsi="仿宋_GB2312" w:eastAsia="仿宋_GB2312"/>
          <w:b w:val="0"/>
          <w:sz w:val="32"/>
        </w:rPr>
        <w:t>1.一般公共服务支出(类)社会工作事务(款)行政运行(项):支出决算数为39.80万元，比上年决算增加39.80万元，增长100.00%,主要原因是：本年为新增单位，无上年对比数据。</w:t>
      </w:r>
    </w:p>
    <w:p w14:paraId="70C4696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2.社会保障和就业支出(类)行政事业单位养老支出(款)机关事业单位基本养老保险缴费支出(项):支出决算数为5.27万元，比上年决算增加5.27万元，增长100.00%,主要原因是：本年为新增单位，无上年对比数据。</w:t>
      </w:r>
    </w:p>
    <w:p w14:paraId="180C4854">
      <w:pPr>
        <w:spacing w:line="580" w:lineRule="exact"/>
        <w:ind w:firstLine="640"/>
        <w:jc w:val="both"/>
      </w:pPr>
      <w:r>
        <w:rPr>
          <w:rFonts w:ascii="仿宋_GB2312" w:hAnsi="仿宋_GB2312" w:eastAsia="仿宋_GB2312"/>
          <w:b w:val="0"/>
          <w:sz w:val="32"/>
        </w:rPr>
        <w:t>3.卫生健康支出(类)行政事业单位医疗(款)行政单位医疗(项):支出决算数为2.24万元，比上年决算增加2.24万元，增长100.00%,主要原因是：本年为新增单位，无上年对比数据。</w:t>
      </w:r>
    </w:p>
    <w:p w14:paraId="74268061">
      <w:pPr>
        <w:spacing w:line="580" w:lineRule="exact"/>
        <w:ind w:firstLine="640"/>
        <w:jc w:val="both"/>
      </w:pPr>
      <w:r>
        <w:rPr>
          <w:rFonts w:ascii="仿宋_GB2312" w:hAnsi="仿宋_GB2312" w:eastAsia="仿宋_GB2312"/>
          <w:b w:val="0"/>
          <w:sz w:val="32"/>
        </w:rPr>
        <w:t>4.卫生健康支出(类)行政事业单位医疗(款)公务员医疗补助(项):支出决算数为0.38万元，比上年决算增加0.38万元，增长100.00%,主要原因是：本年为新增单位，无上年对比数据。</w:t>
      </w:r>
    </w:p>
    <w:p w14:paraId="0DFA482E">
      <w:pPr>
        <w:spacing w:line="580" w:lineRule="exact"/>
        <w:ind w:firstLine="640"/>
        <w:jc w:val="both"/>
      </w:pPr>
      <w:r>
        <w:rPr>
          <w:rFonts w:ascii="仿宋_GB2312" w:hAnsi="仿宋_GB2312" w:eastAsia="仿宋_GB2312"/>
          <w:b w:val="0"/>
          <w:sz w:val="32"/>
        </w:rPr>
        <w:t>5.住房保障支出(类)住房改革支出(款)住房公积金(项):支出决算数为4.29万元，比上年决算增加4.29万元，增长100.00%,主要原因是：本年为新增单位，无上年对比数据。</w:t>
      </w:r>
    </w:p>
    <w:p w14:paraId="368F6BA7">
      <w:pPr>
        <w:spacing w:line="640" w:lineRule="exact"/>
        <w:ind w:firstLine="640"/>
        <w:jc w:val="both"/>
        <w:outlineLvl w:val="2"/>
      </w:pPr>
      <w:r>
        <w:rPr>
          <w:rFonts w:ascii="黑体" w:hAnsi="黑体" w:eastAsia="黑体"/>
          <w:sz w:val="32"/>
        </w:rPr>
        <w:t>六、一般公共预算财政拨款基本支出决算情况说明</w:t>
      </w:r>
    </w:p>
    <w:p w14:paraId="5F6C8DCC">
      <w:pPr>
        <w:spacing w:line="580" w:lineRule="exact"/>
        <w:ind w:firstLine="640"/>
        <w:jc w:val="both"/>
      </w:pPr>
      <w:r>
        <w:rPr>
          <w:rFonts w:ascii="仿宋_GB2312" w:hAnsi="仿宋_GB2312" w:eastAsia="仿宋_GB2312"/>
          <w:b w:val="0"/>
          <w:sz w:val="32"/>
        </w:rPr>
        <w:t>2024年度一般公共预算财政拨款基本支出51.98万元，其中：</w:t>
      </w:r>
      <w:r>
        <w:rPr>
          <w:rFonts w:ascii="仿宋_GB2312" w:hAnsi="仿宋_GB2312" w:eastAsia="仿宋_GB2312"/>
          <w:b/>
          <w:sz w:val="32"/>
        </w:rPr>
        <w:t>人员经费51.98万元，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56BBD8E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77C7E7A">
      <w:pPr>
        <w:spacing w:line="640" w:lineRule="exact"/>
        <w:ind w:firstLine="640"/>
        <w:jc w:val="both"/>
        <w:outlineLvl w:val="2"/>
      </w:pPr>
      <w:r>
        <w:rPr>
          <w:rFonts w:ascii="黑体" w:hAnsi="黑体" w:eastAsia="黑体"/>
          <w:sz w:val="32"/>
        </w:rPr>
        <w:t>七、政府性基金预算财政拨款收入支出决算情况说明</w:t>
      </w:r>
    </w:p>
    <w:p w14:paraId="05BD2FE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BAEAD7">
      <w:pPr>
        <w:spacing w:line="640" w:lineRule="exact"/>
        <w:ind w:firstLine="640"/>
        <w:jc w:val="both"/>
        <w:outlineLvl w:val="2"/>
      </w:pPr>
      <w:r>
        <w:rPr>
          <w:rFonts w:ascii="黑体" w:hAnsi="黑体" w:eastAsia="黑体"/>
          <w:sz w:val="32"/>
        </w:rPr>
        <w:t>八、国有资本经营预算财政拨款收入支出决算情况说明</w:t>
      </w:r>
    </w:p>
    <w:p w14:paraId="4BE94C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868CC0">
      <w:pPr>
        <w:spacing w:line="640" w:lineRule="exact"/>
        <w:ind w:firstLine="640"/>
        <w:jc w:val="both"/>
        <w:outlineLvl w:val="2"/>
      </w:pPr>
      <w:r>
        <w:rPr>
          <w:rFonts w:ascii="黑体" w:hAnsi="黑体" w:eastAsia="黑体"/>
          <w:sz w:val="32"/>
        </w:rPr>
        <w:t>九、财政拨款“三公”经费支出决算情况说明</w:t>
      </w:r>
    </w:p>
    <w:p w14:paraId="3409DF7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w:t>
      </w:r>
      <w:bookmarkStart w:id="0" w:name="_GoBack"/>
      <w:bookmarkEnd w:id="0"/>
      <w:r>
        <w:rPr>
          <w:rFonts w:ascii="仿宋_GB2312" w:hAnsi="仿宋_GB2312" w:eastAsia="仿宋_GB2312"/>
          <w:b w:val="0"/>
          <w:sz w:val="32"/>
        </w:rPr>
        <w:t>未安排公务接待费支出。</w:t>
      </w:r>
    </w:p>
    <w:p w14:paraId="65E190CD">
      <w:pPr>
        <w:spacing w:line="580" w:lineRule="exact"/>
        <w:ind w:firstLine="640"/>
        <w:jc w:val="both"/>
      </w:pPr>
      <w:r>
        <w:rPr>
          <w:rFonts w:ascii="仿宋_GB2312" w:hAnsi="仿宋_GB2312" w:eastAsia="仿宋_GB2312"/>
          <w:b/>
          <w:sz w:val="32"/>
        </w:rPr>
        <w:t>具体情况如下：</w:t>
      </w:r>
    </w:p>
    <w:p w14:paraId="7274FA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1A8E0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E3C6BE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8C8A1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AE2FB6">
      <w:pPr>
        <w:spacing w:line="640" w:lineRule="exact"/>
        <w:ind w:firstLine="640"/>
        <w:jc w:val="both"/>
        <w:outlineLvl w:val="2"/>
      </w:pPr>
      <w:r>
        <w:rPr>
          <w:rFonts w:ascii="黑体" w:hAnsi="黑体" w:eastAsia="黑体"/>
          <w:sz w:val="32"/>
        </w:rPr>
        <w:t>十、其他重要事项的情况说明</w:t>
      </w:r>
    </w:p>
    <w:p w14:paraId="12690E44">
      <w:pPr>
        <w:spacing w:line="640" w:lineRule="exact"/>
        <w:ind w:firstLine="640"/>
        <w:jc w:val="both"/>
        <w:outlineLvl w:val="3"/>
      </w:pPr>
      <w:r>
        <w:rPr>
          <w:rFonts w:ascii="楷体_GB2312" w:hAnsi="楷体_GB2312" w:eastAsia="楷体_GB2312"/>
          <w:b/>
          <w:sz w:val="32"/>
        </w:rPr>
        <w:t>（一）机关运行经费及公用经费支出情况</w:t>
      </w:r>
    </w:p>
    <w:p w14:paraId="3D534D4B">
      <w:pPr>
        <w:spacing w:line="580" w:lineRule="exact"/>
        <w:ind w:firstLine="640"/>
        <w:jc w:val="both"/>
      </w:pPr>
      <w:r>
        <w:rPr>
          <w:rFonts w:ascii="仿宋_GB2312" w:hAnsi="仿宋_GB2312" w:eastAsia="仿宋_GB2312"/>
          <w:b w:val="0"/>
          <w:sz w:val="32"/>
        </w:rPr>
        <w:t>2024年度中共岳普湖县委员会社会工作部（行政单位和参照公务员法管理事业单位）机关运行经费支出0.00万元，比上年增加0.00万元，增长0.00%，主要原因是：2024年未安排机关运行经费支出。</w:t>
      </w:r>
    </w:p>
    <w:p w14:paraId="7EA6B589">
      <w:pPr>
        <w:spacing w:line="640" w:lineRule="exact"/>
        <w:ind w:firstLine="640"/>
        <w:jc w:val="both"/>
        <w:outlineLvl w:val="3"/>
      </w:pPr>
      <w:r>
        <w:rPr>
          <w:rFonts w:ascii="楷体_GB2312" w:hAnsi="楷体_GB2312" w:eastAsia="楷体_GB2312"/>
          <w:b/>
          <w:sz w:val="32"/>
        </w:rPr>
        <w:t>（二）政府采购情况</w:t>
      </w:r>
    </w:p>
    <w:p w14:paraId="1C28338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7E1895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3B86EA6">
      <w:pPr>
        <w:spacing w:line="640" w:lineRule="exact"/>
        <w:ind w:firstLine="640"/>
        <w:jc w:val="both"/>
        <w:outlineLvl w:val="3"/>
      </w:pPr>
      <w:r>
        <w:rPr>
          <w:rFonts w:ascii="楷体_GB2312" w:hAnsi="楷体_GB2312" w:eastAsia="楷体_GB2312"/>
          <w:b/>
          <w:sz w:val="32"/>
        </w:rPr>
        <w:t>（三）国有资产占用情况说明</w:t>
      </w:r>
    </w:p>
    <w:p w14:paraId="51A37096">
      <w:pPr>
        <w:spacing w:line="580" w:lineRule="exact"/>
        <w:ind w:firstLine="640"/>
        <w:jc w:val="both"/>
      </w:pPr>
      <w:r>
        <w:rPr>
          <w:rFonts w:ascii="仿宋_GB2312" w:hAnsi="仿宋_GB2312" w:eastAsia="仿宋_GB2312"/>
          <w:b w:val="0"/>
          <w:sz w:val="32"/>
        </w:rPr>
        <w:t>截至2024年12月31日，房屋339.76平方米，价值87.81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AB9B972">
      <w:pPr>
        <w:spacing w:line="640" w:lineRule="exact"/>
        <w:ind w:firstLine="640"/>
        <w:jc w:val="both"/>
        <w:outlineLvl w:val="2"/>
      </w:pPr>
      <w:r>
        <w:rPr>
          <w:rFonts w:ascii="黑体" w:hAnsi="黑体" w:eastAsia="黑体"/>
          <w:sz w:val="32"/>
        </w:rPr>
        <w:t>十一、预算绩效的情况说明</w:t>
      </w:r>
    </w:p>
    <w:p w14:paraId="35032A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55.15万元，实际执行总额55.15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14:paraId="4A56D21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301"/>
        <w:gridCol w:w="665"/>
        <w:gridCol w:w="983"/>
        <w:gridCol w:w="983"/>
        <w:gridCol w:w="983"/>
        <w:gridCol w:w="983"/>
        <w:gridCol w:w="983"/>
      </w:tblGrid>
      <w:tr w14:paraId="4F641697">
        <w:tblPrEx>
          <w:tblCellMar>
            <w:top w:w="0" w:type="dxa"/>
            <w:left w:w="108" w:type="dxa"/>
            <w:bottom w:w="0" w:type="dxa"/>
            <w:right w:w="108" w:type="dxa"/>
          </w:tblCellMar>
        </w:tblPrEx>
        <w:tc>
          <w:tcPr>
            <w:tcW w:w="8847" w:type="dxa"/>
            <w:gridSpan w:val="9"/>
            <w:vAlign w:val="center"/>
          </w:tcPr>
          <w:p w14:paraId="6CCCEFA5">
            <w:pPr>
              <w:jc w:val="center"/>
            </w:pPr>
            <w:r>
              <w:rPr>
                <w:rFonts w:ascii="宋体" w:hAnsi="宋体" w:eastAsia="宋体"/>
                <w:sz w:val="24"/>
              </w:rPr>
              <w:t>单位整体支出绩效自评表</w:t>
            </w:r>
          </w:p>
        </w:tc>
      </w:tr>
      <w:tr w14:paraId="75F60802">
        <w:tblPrEx>
          <w:tblCellMar>
            <w:top w:w="0" w:type="dxa"/>
            <w:left w:w="108" w:type="dxa"/>
            <w:bottom w:w="0" w:type="dxa"/>
            <w:right w:w="108" w:type="dxa"/>
          </w:tblCellMar>
        </w:tblPrEx>
        <w:tc>
          <w:tcPr>
            <w:tcW w:w="8847" w:type="dxa"/>
            <w:gridSpan w:val="9"/>
            <w:vAlign w:val="center"/>
          </w:tcPr>
          <w:p w14:paraId="4EABECA3">
            <w:pPr>
              <w:jc w:val="center"/>
            </w:pPr>
            <w:r>
              <w:rPr>
                <w:rFonts w:ascii="宋体" w:hAnsi="宋体" w:eastAsia="宋体"/>
                <w:sz w:val="24"/>
              </w:rPr>
              <w:t>（2024年度）</w:t>
            </w:r>
          </w:p>
        </w:tc>
      </w:tr>
      <w:tr w14:paraId="4CBEC1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849F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57AA57">
            <w:pPr>
              <w:jc w:val="center"/>
            </w:pPr>
            <w:r>
              <w:rPr>
                <w:rFonts w:ascii="宋体" w:hAnsi="宋体" w:eastAsia="宋体"/>
                <w:sz w:val="16"/>
              </w:rPr>
              <w:t>中共岳普湖县委员会社会工作部</w:t>
            </w:r>
          </w:p>
        </w:tc>
      </w:tr>
      <w:tr w14:paraId="4A2C33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E48E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67C8B">
            <w:pPr>
              <w:jc w:val="center"/>
            </w:pPr>
            <w:r>
              <w:rPr>
                <w:rFonts w:ascii="宋体" w:hAnsi="宋体" w:eastAsia="宋体"/>
                <w:sz w:val="16"/>
              </w:rPr>
              <w:t>资金来源</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1DAB9192">
            <w:pPr>
              <w:jc w:val="center"/>
            </w:pPr>
            <w:r>
              <w:rPr>
                <w:rFonts w:ascii="宋体" w:hAnsi="宋体" w:eastAsia="宋体"/>
                <w:sz w:val="16"/>
              </w:rPr>
              <w:t>年初预算数</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469403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DA74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0002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8538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EAC4A">
            <w:pPr>
              <w:jc w:val="center"/>
            </w:pPr>
            <w:r>
              <w:rPr>
                <w:rFonts w:ascii="宋体" w:hAnsi="宋体" w:eastAsia="宋体"/>
                <w:sz w:val="16"/>
              </w:rPr>
              <w:t>得分</w:t>
            </w:r>
          </w:p>
        </w:tc>
      </w:tr>
      <w:tr w14:paraId="42610B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15A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259DD">
            <w:pPr>
              <w:jc w:val="center"/>
            </w:pPr>
            <w:r>
              <w:rPr>
                <w:rFonts w:ascii="宋体" w:hAnsi="宋体" w:eastAsia="宋体"/>
                <w:sz w:val="16"/>
              </w:rPr>
              <w:t>年度总资金：</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704BB7BC">
            <w:pPr>
              <w:jc w:val="center"/>
            </w:pPr>
            <w:r>
              <w:rPr>
                <w:rFonts w:ascii="宋体" w:hAnsi="宋体" w:eastAsia="宋体"/>
                <w:sz w:val="16"/>
              </w:rPr>
              <w:t>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22ABE83">
            <w:pPr>
              <w:jc w:val="center"/>
            </w:pPr>
            <w:r>
              <w:rPr>
                <w:rFonts w:ascii="宋体" w:hAnsi="宋体" w:eastAsia="宋体"/>
                <w:sz w:val="16"/>
              </w:rPr>
              <w:t>55.15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409D">
            <w:pPr>
              <w:jc w:val="center"/>
            </w:pPr>
            <w:r>
              <w:rPr>
                <w:rFonts w:ascii="宋体" w:hAnsi="宋体" w:eastAsia="宋体"/>
                <w:sz w:val="16"/>
              </w:rPr>
              <w:t>55.15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EA5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B4EF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5B2E">
            <w:pPr>
              <w:jc w:val="center"/>
            </w:pPr>
            <w:r>
              <w:rPr>
                <w:rFonts w:ascii="宋体" w:hAnsi="宋体" w:eastAsia="宋体"/>
                <w:sz w:val="16"/>
              </w:rPr>
              <w:t>10</w:t>
            </w:r>
          </w:p>
        </w:tc>
      </w:tr>
      <w:tr w14:paraId="22A752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FA3F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AF8FE">
            <w:pPr>
              <w:jc w:val="center"/>
            </w:pPr>
            <w:r>
              <w:rPr>
                <w:rFonts w:ascii="宋体" w:hAnsi="宋体" w:eastAsia="宋体"/>
                <w:sz w:val="16"/>
              </w:rPr>
              <w:t>上级资金：</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349A1CFA">
            <w:pPr>
              <w:jc w:val="center"/>
            </w:pPr>
            <w:r>
              <w:rPr>
                <w:rFonts w:ascii="宋体" w:hAnsi="宋体" w:eastAsia="宋体"/>
                <w:sz w:val="16"/>
              </w:rPr>
              <w:t>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491C9E6">
            <w:pPr>
              <w:jc w:val="center"/>
            </w:pPr>
            <w:r>
              <w:rPr>
                <w:rFonts w:ascii="宋体" w:hAnsi="宋体" w:eastAsia="宋体"/>
                <w:sz w:val="16"/>
              </w:rPr>
              <w:t>51.98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B0471">
            <w:pPr>
              <w:jc w:val="center"/>
            </w:pPr>
            <w:r>
              <w:rPr>
                <w:rFonts w:ascii="宋体" w:hAnsi="宋体" w:eastAsia="宋体"/>
                <w:sz w:val="16"/>
              </w:rPr>
              <w:t>51.98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E05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4872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10B8">
            <w:pPr>
              <w:jc w:val="center"/>
            </w:pPr>
            <w:r>
              <w:rPr>
                <w:rFonts w:ascii="宋体" w:hAnsi="宋体" w:eastAsia="宋体"/>
                <w:sz w:val="16"/>
              </w:rPr>
              <w:t>—</w:t>
            </w:r>
          </w:p>
        </w:tc>
      </w:tr>
      <w:tr w14:paraId="255543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91B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49DEA">
            <w:pPr>
              <w:jc w:val="center"/>
            </w:pPr>
            <w:r>
              <w:rPr>
                <w:rFonts w:ascii="宋体" w:hAnsi="宋体" w:eastAsia="宋体"/>
                <w:sz w:val="16"/>
              </w:rPr>
              <w:t>本级资金：</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5B27DBBB">
            <w:pPr>
              <w:jc w:val="center"/>
            </w:pPr>
            <w:r>
              <w:rPr>
                <w:rFonts w:ascii="宋体" w:hAnsi="宋体" w:eastAsia="宋体"/>
                <w:sz w:val="16"/>
              </w:rPr>
              <w:t>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AB499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AF1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989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BA6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3F47">
            <w:pPr>
              <w:jc w:val="center"/>
            </w:pPr>
            <w:r>
              <w:rPr>
                <w:rFonts w:ascii="宋体" w:hAnsi="宋体" w:eastAsia="宋体"/>
                <w:sz w:val="16"/>
              </w:rPr>
              <w:t>—</w:t>
            </w:r>
          </w:p>
        </w:tc>
      </w:tr>
      <w:tr w14:paraId="6581EE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6EF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4D6F2">
            <w:pPr>
              <w:jc w:val="center"/>
            </w:pPr>
            <w:r>
              <w:rPr>
                <w:rFonts w:ascii="宋体" w:hAnsi="宋体" w:eastAsia="宋体"/>
                <w:sz w:val="16"/>
              </w:rPr>
              <w:t>其他资金：</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7092E2FC">
            <w:pPr>
              <w:jc w:val="center"/>
            </w:pPr>
            <w:r>
              <w:rPr>
                <w:rFonts w:ascii="宋体" w:hAnsi="宋体" w:eastAsia="宋体"/>
                <w:sz w:val="16"/>
              </w:rPr>
              <w:t>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26E5A0C">
            <w:pPr>
              <w:jc w:val="center"/>
            </w:pPr>
            <w:r>
              <w:rPr>
                <w:rFonts w:ascii="宋体" w:hAnsi="宋体" w:eastAsia="宋体"/>
                <w:sz w:val="16"/>
              </w:rPr>
              <w:t>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4A069">
            <w:pPr>
              <w:jc w:val="center"/>
            </w:pPr>
            <w:r>
              <w:rPr>
                <w:rFonts w:ascii="宋体" w:hAnsi="宋体" w:eastAsia="宋体"/>
                <w:sz w:val="16"/>
              </w:rPr>
              <w:t>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A3C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7ED1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F2C5">
            <w:pPr>
              <w:jc w:val="center"/>
            </w:pPr>
            <w:r>
              <w:rPr>
                <w:rFonts w:ascii="宋体" w:hAnsi="宋体" w:eastAsia="宋体"/>
                <w:sz w:val="16"/>
              </w:rPr>
              <w:t>—</w:t>
            </w:r>
          </w:p>
        </w:tc>
      </w:tr>
      <w:tr w14:paraId="4626C4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10BE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E506F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9B18F">
            <w:pPr>
              <w:jc w:val="center"/>
            </w:pPr>
            <w:r>
              <w:rPr>
                <w:rFonts w:ascii="宋体" w:hAnsi="宋体" w:eastAsia="宋体"/>
                <w:sz w:val="16"/>
              </w:rPr>
              <w:t>实际完成情况</w:t>
            </w:r>
          </w:p>
        </w:tc>
      </w:tr>
      <w:tr w14:paraId="2C6C13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FD97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F1E2D5">
            <w:pPr>
              <w:jc w:val="both"/>
            </w:pPr>
            <w:r>
              <w:rPr>
                <w:rFonts w:ascii="宋体" w:hAnsi="宋体" w:eastAsia="宋体"/>
                <w:sz w:val="16"/>
              </w:rPr>
              <w:t>打造规范机制牌子示范点位数量2个，引导打造驿站、司机之家数量3个，完成党建引领基层治理和基层政权建设信息系统培训录入工作。加大社区工作者队伍建设力度，注重社区工作者能力素质提升，依托岳普湖县委党校对社区工作者进行全覆盖培训；着力扩大组织覆盖，组建快递、外卖、驾培行业联合党组织，实现新兴领域党组织全覆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863E53">
            <w:pPr>
              <w:jc w:val="both"/>
            </w:pPr>
            <w:r>
              <w:rPr>
                <w:rFonts w:ascii="宋体" w:hAnsi="宋体" w:eastAsia="宋体"/>
                <w:sz w:val="16"/>
              </w:rPr>
              <w:t>2024年度打造规范机制牌子示范点位数量达到了2个，引导打造驿站、司机之家数量达到了3个，已经按时完成了党建引领基层治理和基层政权建设信息系统培训录入工作。进一步加大了社区工作者队伍建设力度，注重社区工作者能力素质提升，已经依托岳普湖县委党校对128名社区工作者进行了全覆盖培训；进一步扩大了党组织覆盖面，快递、外卖、驾培行业联合党组织已经组建，实现了新兴领域党组织全覆盖。</w:t>
            </w:r>
          </w:p>
        </w:tc>
      </w:tr>
      <w:tr w14:paraId="6119BB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FF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609E6">
            <w:pPr>
              <w:jc w:val="center"/>
            </w:pPr>
            <w:r>
              <w:rPr>
                <w:rFonts w:ascii="宋体" w:hAnsi="宋体" w:eastAsia="宋体"/>
                <w:sz w:val="16"/>
              </w:rPr>
              <w:t>二级指标</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77BD7A2C">
            <w:pPr>
              <w:jc w:val="center"/>
            </w:pPr>
            <w:r>
              <w:rPr>
                <w:rFonts w:ascii="宋体" w:hAnsi="宋体" w:eastAsia="宋体"/>
                <w:sz w:val="16"/>
              </w:rPr>
              <w:t>三级指标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212281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BAF8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DC93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05F9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D40A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F4694">
            <w:pPr>
              <w:jc w:val="center"/>
            </w:pPr>
            <w:r>
              <w:rPr>
                <w:rFonts w:ascii="宋体" w:hAnsi="宋体" w:eastAsia="宋体"/>
                <w:sz w:val="16"/>
              </w:rPr>
              <w:t>得分</w:t>
            </w:r>
          </w:p>
        </w:tc>
      </w:tr>
      <w:tr w14:paraId="4D5318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F616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C878E">
            <w:pPr>
              <w:jc w:val="center"/>
            </w:pPr>
            <w:r>
              <w:rPr>
                <w:rFonts w:ascii="宋体" w:hAnsi="宋体" w:eastAsia="宋体"/>
                <w:sz w:val="16"/>
              </w:rPr>
              <w:t>数量指标</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3083EF28">
            <w:pPr>
              <w:jc w:val="center"/>
            </w:pPr>
            <w:r>
              <w:rPr>
                <w:rFonts w:ascii="宋体" w:hAnsi="宋体" w:eastAsia="宋体"/>
                <w:sz w:val="16"/>
              </w:rPr>
              <w:t>打造规范机制牌子示范点位数量</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E4A9AC0">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CBE4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1182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6BDB0">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C86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18ABC">
            <w:pPr>
              <w:jc w:val="center"/>
            </w:pPr>
            <w:r>
              <w:rPr>
                <w:rFonts w:ascii="宋体" w:hAnsi="宋体" w:eastAsia="宋体"/>
                <w:sz w:val="16"/>
              </w:rPr>
              <w:t>18</w:t>
            </w:r>
          </w:p>
        </w:tc>
      </w:tr>
      <w:tr w14:paraId="393E31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9CF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83FEB"/>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24FFEE07">
            <w:pPr>
              <w:jc w:val="center"/>
            </w:pPr>
            <w:r>
              <w:rPr>
                <w:rFonts w:ascii="宋体" w:hAnsi="宋体" w:eastAsia="宋体"/>
                <w:sz w:val="16"/>
              </w:rPr>
              <w:t>引导打造驿站、司机之家数量</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30994528">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D6A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A57E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BEBC">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2D6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88983">
            <w:pPr>
              <w:jc w:val="center"/>
            </w:pPr>
            <w:r>
              <w:rPr>
                <w:rFonts w:ascii="宋体" w:hAnsi="宋体" w:eastAsia="宋体"/>
                <w:sz w:val="16"/>
              </w:rPr>
              <w:t>18</w:t>
            </w:r>
          </w:p>
        </w:tc>
      </w:tr>
      <w:tr w14:paraId="27B485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68C5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6D809">
            <w:pPr>
              <w:jc w:val="center"/>
            </w:pPr>
            <w:r>
              <w:rPr>
                <w:rFonts w:ascii="宋体" w:hAnsi="宋体" w:eastAsia="宋体"/>
                <w:sz w:val="16"/>
              </w:rPr>
              <w:t>质量指标</w:t>
            </w:r>
          </w:p>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420D4627">
            <w:pPr>
              <w:jc w:val="center"/>
            </w:pPr>
            <w:r>
              <w:rPr>
                <w:rFonts w:ascii="宋体" w:hAnsi="宋体" w:eastAsia="宋体"/>
                <w:sz w:val="16"/>
              </w:rPr>
              <w:t>社区工作者培训覆盖率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D889F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799D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F5D3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3BE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A3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69EBE">
            <w:pPr>
              <w:jc w:val="center"/>
            </w:pPr>
            <w:r>
              <w:rPr>
                <w:rFonts w:ascii="宋体" w:hAnsi="宋体" w:eastAsia="宋体"/>
                <w:sz w:val="16"/>
              </w:rPr>
              <w:t>18</w:t>
            </w:r>
          </w:p>
        </w:tc>
      </w:tr>
      <w:tr w14:paraId="0D7FF6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FFC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E6181"/>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5103B0AA">
            <w:pPr>
              <w:jc w:val="center"/>
            </w:pPr>
            <w:r>
              <w:rPr>
                <w:rFonts w:ascii="宋体" w:hAnsi="宋体" w:eastAsia="宋体"/>
                <w:sz w:val="16"/>
              </w:rPr>
              <w:t>新兴领域党组织覆盖率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D8654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0D4D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C0EB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EFD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A83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7F3C">
            <w:pPr>
              <w:jc w:val="center"/>
            </w:pPr>
            <w:r>
              <w:rPr>
                <w:rFonts w:ascii="宋体" w:hAnsi="宋体" w:eastAsia="宋体"/>
                <w:sz w:val="16"/>
              </w:rPr>
              <w:t>18</w:t>
            </w:r>
          </w:p>
        </w:tc>
      </w:tr>
      <w:tr w14:paraId="1E239B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0FB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0B1CE"/>
        </w:tc>
        <w:tc>
          <w:tcPr>
            <w:tcW w:w="1301" w:type="dxa"/>
            <w:tcBorders>
              <w:top w:val="single" w:color="auto" w:sz="10" w:space="0"/>
              <w:left w:val="single" w:color="auto" w:sz="10" w:space="0"/>
              <w:bottom w:val="single" w:color="auto" w:sz="10" w:space="0"/>
              <w:right w:val="single" w:color="auto" w:sz="10" w:space="0"/>
              <w:insideV w:val="single" w:sz="10" w:space="0"/>
            </w:tcBorders>
            <w:vAlign w:val="center"/>
          </w:tcPr>
          <w:p w14:paraId="29012B99">
            <w:pPr>
              <w:jc w:val="center"/>
            </w:pPr>
            <w:r>
              <w:rPr>
                <w:rFonts w:ascii="宋体" w:hAnsi="宋体" w:eastAsia="宋体"/>
                <w:sz w:val="16"/>
              </w:rPr>
              <w:t>党建引领基层治理和基层政权建设信息系统培训录入工作完成率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2BDBA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DD6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BE09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96E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E04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CA912">
            <w:pPr>
              <w:jc w:val="center"/>
            </w:pPr>
            <w:r>
              <w:rPr>
                <w:rFonts w:ascii="宋体" w:hAnsi="宋体" w:eastAsia="宋体"/>
                <w:sz w:val="16"/>
              </w:rPr>
              <w:t>18</w:t>
            </w:r>
          </w:p>
        </w:tc>
      </w:tr>
    </w:tbl>
    <w:p w14:paraId="2A420789">
      <w:r>
        <w:br w:type="page"/>
      </w:r>
    </w:p>
    <w:p w14:paraId="45B86289">
      <w:pPr>
        <w:spacing w:line="640" w:lineRule="exact"/>
        <w:ind w:firstLine="640"/>
        <w:jc w:val="both"/>
        <w:outlineLvl w:val="2"/>
      </w:pPr>
      <w:r>
        <w:rPr>
          <w:rFonts w:ascii="黑体" w:hAnsi="黑体" w:eastAsia="黑体"/>
          <w:sz w:val="32"/>
        </w:rPr>
        <w:t>十二、其他需说明的事项</w:t>
      </w:r>
    </w:p>
    <w:p w14:paraId="484ECDE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10B827E">
      <w:r>
        <w:br w:type="page"/>
      </w:r>
    </w:p>
    <w:p w14:paraId="3AD0D285">
      <w:pPr>
        <w:spacing w:line="240" w:lineRule="auto"/>
        <w:jc w:val="center"/>
        <w:outlineLvl w:val="1"/>
      </w:pPr>
      <w:r>
        <w:rPr>
          <w:rFonts w:ascii="黑体" w:hAnsi="黑体" w:eastAsia="黑体"/>
          <w:sz w:val="32"/>
        </w:rPr>
        <w:t>第三部分 专业名词解释</w:t>
      </w:r>
    </w:p>
    <w:p w14:paraId="20E682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165BA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577D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3B89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AEBA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DA2A4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7D3B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CE216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75255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513D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B2DC8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9AFA4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4850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E896A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F5BABE">
      <w:r>
        <w:br w:type="page"/>
      </w:r>
    </w:p>
    <w:p w14:paraId="4E522F68">
      <w:pPr>
        <w:spacing w:line="240" w:lineRule="auto"/>
        <w:jc w:val="center"/>
        <w:outlineLvl w:val="1"/>
      </w:pPr>
      <w:r>
        <w:rPr>
          <w:rFonts w:ascii="黑体" w:hAnsi="黑体" w:eastAsia="黑体"/>
          <w:sz w:val="32"/>
        </w:rPr>
        <w:t>第四部分 部门决算报表（见附表）</w:t>
      </w:r>
    </w:p>
    <w:p w14:paraId="4E0C28EE">
      <w:pPr>
        <w:spacing w:line="240" w:lineRule="auto"/>
        <w:ind w:firstLine="640"/>
        <w:jc w:val="both"/>
      </w:pPr>
      <w:r>
        <w:rPr>
          <w:rFonts w:ascii="仿宋_GB2312" w:hAnsi="仿宋_GB2312" w:eastAsia="仿宋_GB2312"/>
          <w:b w:val="0"/>
          <w:sz w:val="32"/>
        </w:rPr>
        <w:t>一、《收入支出决算总表》</w:t>
      </w:r>
    </w:p>
    <w:p w14:paraId="6CEF35BC">
      <w:pPr>
        <w:spacing w:line="240" w:lineRule="auto"/>
        <w:ind w:firstLine="640"/>
        <w:jc w:val="both"/>
      </w:pPr>
      <w:r>
        <w:rPr>
          <w:rFonts w:ascii="仿宋_GB2312" w:hAnsi="仿宋_GB2312" w:eastAsia="仿宋_GB2312"/>
          <w:b w:val="0"/>
          <w:sz w:val="32"/>
        </w:rPr>
        <w:t>二、《收入决算表》</w:t>
      </w:r>
    </w:p>
    <w:p w14:paraId="33CBBE2B">
      <w:pPr>
        <w:spacing w:line="240" w:lineRule="auto"/>
        <w:ind w:firstLine="640"/>
        <w:jc w:val="both"/>
      </w:pPr>
      <w:r>
        <w:rPr>
          <w:rFonts w:ascii="仿宋_GB2312" w:hAnsi="仿宋_GB2312" w:eastAsia="仿宋_GB2312"/>
          <w:b w:val="0"/>
          <w:sz w:val="32"/>
        </w:rPr>
        <w:t>三、《支出决算表》</w:t>
      </w:r>
    </w:p>
    <w:p w14:paraId="02B221B8">
      <w:pPr>
        <w:spacing w:line="240" w:lineRule="auto"/>
        <w:ind w:firstLine="640"/>
        <w:jc w:val="both"/>
      </w:pPr>
      <w:r>
        <w:rPr>
          <w:rFonts w:ascii="仿宋_GB2312" w:hAnsi="仿宋_GB2312" w:eastAsia="仿宋_GB2312"/>
          <w:b w:val="0"/>
          <w:sz w:val="32"/>
        </w:rPr>
        <w:t>四、《财政拨款收入支出决算总表》</w:t>
      </w:r>
    </w:p>
    <w:p w14:paraId="1243DFC5">
      <w:pPr>
        <w:spacing w:line="240" w:lineRule="auto"/>
        <w:ind w:firstLine="640"/>
        <w:jc w:val="both"/>
      </w:pPr>
      <w:r>
        <w:rPr>
          <w:rFonts w:ascii="仿宋_GB2312" w:hAnsi="仿宋_GB2312" w:eastAsia="仿宋_GB2312"/>
          <w:b w:val="0"/>
          <w:sz w:val="32"/>
        </w:rPr>
        <w:t>五、《一般公共预算财政拨款支出决算表》</w:t>
      </w:r>
    </w:p>
    <w:p w14:paraId="1DCD52F7">
      <w:pPr>
        <w:spacing w:line="240" w:lineRule="auto"/>
        <w:ind w:firstLine="640"/>
        <w:jc w:val="both"/>
      </w:pPr>
      <w:r>
        <w:rPr>
          <w:rFonts w:ascii="仿宋_GB2312" w:hAnsi="仿宋_GB2312" w:eastAsia="仿宋_GB2312"/>
          <w:b w:val="0"/>
          <w:sz w:val="32"/>
        </w:rPr>
        <w:t>六、《一般公共预算财政拨款基本支出决算表》</w:t>
      </w:r>
    </w:p>
    <w:p w14:paraId="67158601">
      <w:pPr>
        <w:spacing w:line="240" w:lineRule="auto"/>
        <w:ind w:firstLine="640"/>
        <w:jc w:val="both"/>
      </w:pPr>
      <w:r>
        <w:rPr>
          <w:rFonts w:ascii="仿宋_GB2312" w:hAnsi="仿宋_GB2312" w:eastAsia="仿宋_GB2312"/>
          <w:b w:val="0"/>
          <w:sz w:val="32"/>
        </w:rPr>
        <w:t>七、《政府性基金预算财政拨款收入支出决算表》</w:t>
      </w:r>
    </w:p>
    <w:p w14:paraId="79E1C919">
      <w:pPr>
        <w:spacing w:line="240" w:lineRule="auto"/>
        <w:ind w:firstLine="640"/>
        <w:jc w:val="both"/>
      </w:pPr>
      <w:r>
        <w:rPr>
          <w:rFonts w:ascii="仿宋_GB2312" w:hAnsi="仿宋_GB2312" w:eastAsia="仿宋_GB2312"/>
          <w:b w:val="0"/>
          <w:sz w:val="32"/>
        </w:rPr>
        <w:t>八、《国有资本经营预算财政拨款收入支出决算表》</w:t>
      </w:r>
    </w:p>
    <w:p w14:paraId="5598F40C">
      <w:pPr>
        <w:spacing w:line="240" w:lineRule="auto"/>
        <w:ind w:firstLine="640"/>
        <w:jc w:val="both"/>
      </w:pPr>
      <w:r>
        <w:rPr>
          <w:rFonts w:ascii="仿宋_GB2312" w:hAnsi="仿宋_GB2312" w:eastAsia="仿宋_GB2312"/>
          <w:b w:val="0"/>
          <w:sz w:val="32"/>
        </w:rPr>
        <w:t>九、《财政拨款“三公”经费支出决算表》</w:t>
      </w:r>
    </w:p>
    <w:p w14:paraId="1F2F986D">
      <w:pPr>
        <w:spacing w:line="240" w:lineRule="auto"/>
        <w:ind w:firstLine="640"/>
        <w:jc w:val="both"/>
      </w:pPr>
    </w:p>
    <w:p w14:paraId="1886C742">
      <w:pPr>
        <w:spacing w:line="240" w:lineRule="auto"/>
        <w:ind w:firstLine="640"/>
        <w:jc w:val="both"/>
      </w:pPr>
    </w:p>
    <w:p w14:paraId="20606B2A">
      <w:pPr>
        <w:spacing w:line="240" w:lineRule="auto"/>
        <w:ind w:firstLine="640"/>
        <w:jc w:val="both"/>
      </w:pPr>
    </w:p>
    <w:p w14:paraId="10986C0A">
      <w:pPr>
        <w:spacing w:line="240" w:lineRule="auto"/>
        <w:ind w:firstLine="640"/>
        <w:jc w:val="both"/>
      </w:pPr>
    </w:p>
    <w:p w14:paraId="583631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D3AF28-07D8-4E7C-8724-26A1DD77A7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97879F7-21EB-4A5E-917E-CFE05F87A81E}"/>
  </w:font>
  <w:font w:name="仿宋_GB2312">
    <w:panose1 w:val="02010609030101010101"/>
    <w:charset w:val="86"/>
    <w:family w:val="modern"/>
    <w:pitch w:val="default"/>
    <w:sig w:usb0="00000001" w:usb1="080E0000" w:usb2="00000000" w:usb3="00000000" w:csb0="00040000" w:csb1="00000000"/>
    <w:embedRegular r:id="rId3" w:fontKey="{C7C1C4E8-FE73-48E3-A980-444B1F895F2B}"/>
  </w:font>
  <w:font w:name="楷体_GB2312">
    <w:panose1 w:val="02010609030101010101"/>
    <w:charset w:val="86"/>
    <w:family w:val="auto"/>
    <w:pitch w:val="default"/>
    <w:sig w:usb0="00000001" w:usb1="080E0000" w:usb2="00000000" w:usb3="00000000" w:csb0="00040000" w:csb1="00000000"/>
    <w:embedRegular r:id="rId4" w:fontKey="{43EA2357-E76B-4EBA-9DF5-1724466A1F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AC1D84"/>
    <w:rsid w:val="2C1965E9"/>
    <w:rsid w:val="2D1136DF"/>
    <w:rsid w:val="2DAE0E44"/>
    <w:rsid w:val="2FD27414"/>
    <w:rsid w:val="313F1D52"/>
    <w:rsid w:val="318029AB"/>
    <w:rsid w:val="31C63837"/>
    <w:rsid w:val="326F0A17"/>
    <w:rsid w:val="3277581B"/>
    <w:rsid w:val="38006E2C"/>
    <w:rsid w:val="3914510A"/>
    <w:rsid w:val="39CE740C"/>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4095</Words>
  <Characters>4684</Characters>
  <Lines>0</Lines>
  <Paragraphs>0</Paragraphs>
  <TotalTime>4</TotalTime>
  <ScaleCrop>false</ScaleCrop>
  <LinksUpToDate>false</LinksUpToDate>
  <CharactersWithSpaces>4698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