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中共岳普湖县委员会网络安全和信息化委员会办公室2024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50D8A5B">
      <w:r>
        <w:br w:type="page"/>
      </w:r>
    </w:p>
    <w:p w14:paraId="1208EFBC">
      <w:pPr>
        <w:spacing w:line="640" w:lineRule="exact"/>
        <w:jc w:val="center"/>
        <w:outlineLvl w:val="1"/>
      </w:pPr>
      <w:r>
        <w:rPr>
          <w:rFonts w:ascii="黑体" w:hAnsi="黑体" w:eastAsia="黑体"/>
          <w:sz w:val="32"/>
        </w:rPr>
        <w:t>第一部分 单位概况</w:t>
      </w:r>
    </w:p>
    <w:p w14:paraId="55052CB3">
      <w:pPr>
        <w:spacing w:line="640" w:lineRule="exact"/>
        <w:ind w:firstLine="640"/>
        <w:jc w:val="both"/>
        <w:outlineLvl w:val="2"/>
      </w:pPr>
      <w:r>
        <w:rPr>
          <w:rFonts w:ascii="黑体" w:hAnsi="黑体" w:eastAsia="黑体"/>
          <w:sz w:val="32"/>
        </w:rPr>
        <w:t>一、主要职能</w:t>
      </w:r>
    </w:p>
    <w:p w14:paraId="00A3A513">
      <w:pPr>
        <w:spacing w:line="580" w:lineRule="exact"/>
        <w:ind w:firstLine="640"/>
        <w:jc w:val="both"/>
      </w:pPr>
      <w:r>
        <w:rPr>
          <w:rFonts w:ascii="仿宋_GB2312" w:hAnsi="仿宋_GB2312" w:eastAsia="仿宋_GB2312"/>
          <w:sz w:val="32"/>
        </w:rPr>
        <w:t>本单位主要职能SM不予公开。</w:t>
      </w:r>
    </w:p>
    <w:p w14:paraId="7014859E">
      <w:pPr>
        <w:spacing w:line="640" w:lineRule="exact"/>
        <w:ind w:firstLine="640"/>
        <w:jc w:val="both"/>
        <w:outlineLvl w:val="2"/>
      </w:pPr>
      <w:r>
        <w:rPr>
          <w:rFonts w:ascii="黑体" w:hAnsi="黑体" w:eastAsia="黑体"/>
          <w:sz w:val="32"/>
        </w:rPr>
        <w:t>二、机构设置及人员情况</w:t>
      </w:r>
    </w:p>
    <w:p w14:paraId="319FD4F3">
      <w:pPr>
        <w:spacing w:line="580" w:lineRule="exact"/>
        <w:ind w:firstLine="640"/>
        <w:jc w:val="both"/>
      </w:pPr>
      <w:r>
        <w:rPr>
          <w:rFonts w:ascii="仿宋_GB2312" w:hAnsi="仿宋_GB2312" w:eastAsia="仿宋_GB2312"/>
          <w:sz w:val="32"/>
        </w:rPr>
        <w:t>中共岳普湖县委员会网络安全和信息化委员会办公室2024年度，实有人数12人，其中：在职人员12人，增加0人；离休人员0人，增加0人；退休人员0人,增加0人。</w:t>
      </w:r>
    </w:p>
    <w:p w14:paraId="1AB813C8">
      <w:pPr>
        <w:spacing w:line="580" w:lineRule="exact"/>
        <w:ind w:firstLine="640"/>
        <w:jc w:val="both"/>
      </w:pPr>
      <w:r>
        <w:rPr>
          <w:rFonts w:ascii="仿宋_GB2312" w:hAnsi="仿宋_GB2312" w:eastAsia="仿宋_GB2312"/>
          <w:sz w:val="32"/>
        </w:rPr>
        <w:t>中共岳普湖县委员会网络安全和信息化委员会办公室无下属预算单位，下设1个科室，分别是：综合室。</w:t>
      </w:r>
    </w:p>
    <w:p w14:paraId="78CCE478">
      <w:r>
        <w:br w:type="page"/>
      </w:r>
    </w:p>
    <w:p w14:paraId="5FDDAB52">
      <w:pPr>
        <w:spacing w:line="240" w:lineRule="auto"/>
        <w:jc w:val="center"/>
        <w:outlineLvl w:val="1"/>
      </w:pPr>
      <w:r>
        <w:rPr>
          <w:rFonts w:ascii="黑体" w:hAnsi="黑体" w:eastAsia="黑体"/>
          <w:sz w:val="32"/>
        </w:rPr>
        <w:t>第二部分 部门决算情况说明</w:t>
      </w:r>
    </w:p>
    <w:p w14:paraId="4A9C5148">
      <w:pPr>
        <w:spacing w:line="640" w:lineRule="exact"/>
        <w:ind w:firstLine="640"/>
        <w:jc w:val="both"/>
        <w:outlineLvl w:val="2"/>
      </w:pPr>
      <w:r>
        <w:rPr>
          <w:rFonts w:ascii="黑体" w:hAnsi="黑体" w:eastAsia="黑体"/>
          <w:sz w:val="32"/>
        </w:rPr>
        <w:t>一、收入支出决算总体情况说明</w:t>
      </w:r>
    </w:p>
    <w:p w14:paraId="629AEFAC">
      <w:pPr>
        <w:spacing w:line="580" w:lineRule="exact"/>
        <w:ind w:firstLine="640"/>
        <w:jc w:val="both"/>
      </w:pPr>
      <w:r>
        <w:rPr>
          <w:rFonts w:ascii="仿宋_GB2312" w:hAnsi="仿宋_GB2312" w:eastAsia="仿宋_GB2312"/>
          <w:b/>
          <w:sz w:val="32"/>
        </w:rPr>
        <w:t>2024年度收入总计180.24万元，</w:t>
      </w:r>
      <w:r>
        <w:rPr>
          <w:rFonts w:ascii="仿宋_GB2312" w:hAnsi="仿宋_GB2312" w:eastAsia="仿宋_GB2312"/>
          <w:b w:val="0"/>
          <w:sz w:val="32"/>
        </w:rPr>
        <w:t>其中：本年收入合计180.24万元，使用非财政拨款结余（含专用结余）0.00万元，年初结转和结余0.00万元。</w:t>
      </w:r>
    </w:p>
    <w:p w14:paraId="2923E39C">
      <w:pPr>
        <w:spacing w:line="580" w:lineRule="exact"/>
        <w:ind w:firstLine="640"/>
        <w:jc w:val="both"/>
      </w:pPr>
      <w:r>
        <w:rPr>
          <w:rFonts w:ascii="仿宋_GB2312" w:hAnsi="仿宋_GB2312" w:eastAsia="仿宋_GB2312"/>
          <w:b/>
          <w:sz w:val="32"/>
        </w:rPr>
        <w:t>2024年度支出总计180.24万元，</w:t>
      </w:r>
      <w:r>
        <w:rPr>
          <w:rFonts w:ascii="仿宋_GB2312" w:hAnsi="仿宋_GB2312" w:eastAsia="仿宋_GB2312"/>
          <w:b w:val="0"/>
          <w:sz w:val="32"/>
        </w:rPr>
        <w:t>其中：本年支出合计180.24万元，结余分配0.00万元，年末结转和结余0.00万元。</w:t>
      </w:r>
    </w:p>
    <w:p w14:paraId="5A94A5DE">
      <w:pPr>
        <w:spacing w:line="580" w:lineRule="exact"/>
        <w:ind w:firstLine="640"/>
        <w:jc w:val="both"/>
      </w:pPr>
      <w:r>
        <w:rPr>
          <w:rFonts w:ascii="仿宋_GB2312" w:hAnsi="仿宋_GB2312" w:eastAsia="仿宋_GB2312"/>
          <w:b w:val="0"/>
          <w:sz w:val="32"/>
        </w:rPr>
        <w:t>收入支出总体与上年相比，增加3.85万元，增长2.18%，主要原因是：本年在职人员工资调薪，工资、社保、公积金等相关人员经费增加。本年新增政务大数据服务平台项目。</w:t>
      </w:r>
    </w:p>
    <w:p w14:paraId="703D4797">
      <w:pPr>
        <w:spacing w:line="640" w:lineRule="exact"/>
        <w:ind w:firstLine="640"/>
        <w:jc w:val="both"/>
        <w:outlineLvl w:val="2"/>
      </w:pPr>
      <w:r>
        <w:rPr>
          <w:rFonts w:ascii="黑体" w:hAnsi="黑体" w:eastAsia="黑体"/>
          <w:sz w:val="32"/>
        </w:rPr>
        <w:t>二、收入决算情况说明</w:t>
      </w:r>
    </w:p>
    <w:p w14:paraId="6944F160">
      <w:pPr>
        <w:spacing w:line="580" w:lineRule="exact"/>
        <w:ind w:firstLine="640"/>
        <w:jc w:val="both"/>
      </w:pPr>
      <w:r>
        <w:rPr>
          <w:rFonts w:ascii="仿宋_GB2312" w:hAnsi="仿宋_GB2312" w:eastAsia="仿宋_GB2312"/>
          <w:b/>
          <w:sz w:val="32"/>
        </w:rPr>
        <w:t>本年收入180.24万元，</w:t>
      </w:r>
      <w:r>
        <w:rPr>
          <w:rFonts w:ascii="仿宋_GB2312" w:hAnsi="仿宋_GB2312" w:eastAsia="仿宋_GB2312"/>
          <w:b w:val="0"/>
          <w:sz w:val="32"/>
        </w:rPr>
        <w:t>其中：财政拨款收入180.24万元，占100.00%；上级补助收入0.00万元，占0.00%；事业收入0.00万元，占0.00%；经营收入0.00万元，占0.00%；附属单位上缴收入0.00万元，占0.00%；其他收入0.00万元，占0.00%。</w:t>
      </w:r>
    </w:p>
    <w:p w14:paraId="47D50E5D">
      <w:pPr>
        <w:spacing w:line="640" w:lineRule="exact"/>
        <w:ind w:firstLine="640"/>
        <w:jc w:val="both"/>
        <w:outlineLvl w:val="2"/>
      </w:pPr>
      <w:r>
        <w:rPr>
          <w:rFonts w:ascii="黑体" w:hAnsi="黑体" w:eastAsia="黑体"/>
          <w:sz w:val="32"/>
        </w:rPr>
        <w:t>三、支出决算情况说明</w:t>
      </w:r>
    </w:p>
    <w:p w14:paraId="7A047454">
      <w:pPr>
        <w:spacing w:line="580" w:lineRule="exact"/>
        <w:ind w:firstLine="640"/>
        <w:jc w:val="both"/>
      </w:pPr>
      <w:r>
        <w:rPr>
          <w:rFonts w:ascii="仿宋_GB2312" w:hAnsi="仿宋_GB2312" w:eastAsia="仿宋_GB2312"/>
          <w:b/>
          <w:sz w:val="32"/>
        </w:rPr>
        <w:t>本年支出180.24万元，</w:t>
      </w:r>
      <w:r>
        <w:rPr>
          <w:rFonts w:ascii="仿宋_GB2312" w:hAnsi="仿宋_GB2312" w:eastAsia="仿宋_GB2312"/>
          <w:b w:val="0"/>
          <w:sz w:val="32"/>
        </w:rPr>
        <w:t>其中：基本支出176.24万元，占97.78%；项目支出4.00万元，占2.22%；上缴上级支出0.00万元，占0.00%；经营支出0.00万元，占0.00%；对附属单位补助支出0.00万元，占0.00%。</w:t>
      </w:r>
    </w:p>
    <w:p w14:paraId="122F67AB">
      <w:pPr>
        <w:spacing w:line="640" w:lineRule="exact"/>
        <w:ind w:firstLine="640"/>
        <w:jc w:val="both"/>
        <w:outlineLvl w:val="2"/>
      </w:pPr>
      <w:r>
        <w:rPr>
          <w:rFonts w:ascii="黑体" w:hAnsi="黑体" w:eastAsia="黑体"/>
          <w:sz w:val="32"/>
        </w:rPr>
        <w:t>四、财政拨款收入支出决算总体情况说明</w:t>
      </w:r>
    </w:p>
    <w:p w14:paraId="18B8DE87">
      <w:pPr>
        <w:spacing w:line="580" w:lineRule="exact"/>
        <w:ind w:firstLine="640"/>
        <w:jc w:val="both"/>
      </w:pPr>
      <w:r>
        <w:rPr>
          <w:rFonts w:ascii="仿宋_GB2312" w:hAnsi="仿宋_GB2312" w:eastAsia="仿宋_GB2312"/>
          <w:b/>
          <w:sz w:val="32"/>
        </w:rPr>
        <w:t>2024年度财政拨款收入总计180.24万元，</w:t>
      </w:r>
      <w:r>
        <w:rPr>
          <w:rFonts w:ascii="仿宋_GB2312" w:hAnsi="仿宋_GB2312" w:eastAsia="仿宋_GB2312"/>
          <w:b w:val="0"/>
          <w:sz w:val="32"/>
        </w:rPr>
        <w:t>其中：年初财政拨款结转和结余0.00万元，本年财政拨款收入180.24万元。</w:t>
      </w:r>
      <w:r>
        <w:rPr>
          <w:rFonts w:ascii="仿宋_GB2312" w:hAnsi="仿宋_GB2312" w:eastAsia="仿宋_GB2312"/>
          <w:b/>
          <w:sz w:val="32"/>
        </w:rPr>
        <w:t>财政拨款支出总计180.24万元，</w:t>
      </w:r>
      <w:r>
        <w:rPr>
          <w:rFonts w:ascii="仿宋_GB2312" w:hAnsi="仿宋_GB2312" w:eastAsia="仿宋_GB2312"/>
          <w:b w:val="0"/>
          <w:sz w:val="32"/>
        </w:rPr>
        <w:t>其中：年末财政拨款结转和结余0.00万元，本年财政拨款支出180.24万元。</w:t>
      </w:r>
    </w:p>
    <w:p w14:paraId="652BB90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增加3.85万元，增长2.18%，主要原因是：本年在职人员工资调薪，工资、社保、公积金等相关人员经费增加。本年新增政务大数据服务平台项目。</w:t>
      </w:r>
      <w:r>
        <w:rPr>
          <w:rFonts w:ascii="仿宋_GB2312" w:hAnsi="仿宋_GB2312" w:eastAsia="仿宋_GB2312"/>
          <w:b/>
          <w:sz w:val="32"/>
        </w:rPr>
        <w:t>与年初预算相比，</w:t>
      </w:r>
      <w:r>
        <w:rPr>
          <w:rFonts w:ascii="仿宋_GB2312" w:hAnsi="仿宋_GB2312" w:eastAsia="仿宋_GB2312"/>
          <w:b w:val="0"/>
          <w:sz w:val="32"/>
        </w:rPr>
        <w:t>年初预算数179.58万元，决算数180.24万元，预决算差异率0.37%，主要原因是：年中追加政务</w:t>
      </w:r>
      <w:r>
        <w:rPr>
          <w:rFonts w:hint="eastAsia" w:ascii="仿宋_GB2312" w:hAnsi="仿宋_GB2312" w:eastAsia="仿宋_GB2312"/>
          <w:b w:val="0"/>
          <w:sz w:val="32"/>
        </w:rPr>
        <w:t>大数据服务平台</w:t>
      </w:r>
      <w:r>
        <w:rPr>
          <w:rFonts w:hint="eastAsia" w:ascii="仿宋_GB2312" w:hAnsi="仿宋_GB2312" w:eastAsia="仿宋_GB2312"/>
          <w:b w:val="0"/>
          <w:sz w:val="32"/>
          <w:lang w:val="en-US" w:eastAsia="zh-CN"/>
        </w:rPr>
        <w:t>项目经费</w:t>
      </w:r>
      <w:r>
        <w:rPr>
          <w:rFonts w:ascii="仿宋_GB2312" w:hAnsi="仿宋_GB2312" w:eastAsia="仿宋_GB2312"/>
          <w:b w:val="0"/>
          <w:sz w:val="32"/>
        </w:rPr>
        <w:t>，导致预决算存在差异。</w:t>
      </w:r>
    </w:p>
    <w:p w14:paraId="460C39D4">
      <w:pPr>
        <w:spacing w:line="640" w:lineRule="exact"/>
        <w:ind w:firstLine="640"/>
        <w:jc w:val="both"/>
        <w:outlineLvl w:val="2"/>
      </w:pPr>
      <w:r>
        <w:rPr>
          <w:rFonts w:ascii="黑体" w:hAnsi="黑体" w:eastAsia="黑体"/>
          <w:sz w:val="32"/>
        </w:rPr>
        <w:t>五、一般公共预算财政拨款支出决算情况说明</w:t>
      </w:r>
    </w:p>
    <w:p w14:paraId="1497F579">
      <w:pPr>
        <w:spacing w:line="640" w:lineRule="exact"/>
        <w:ind w:firstLine="640"/>
        <w:jc w:val="both"/>
        <w:outlineLvl w:val="3"/>
      </w:pPr>
      <w:r>
        <w:rPr>
          <w:rFonts w:ascii="楷体_GB2312" w:hAnsi="楷体_GB2312" w:eastAsia="楷体_GB2312"/>
          <w:b/>
          <w:sz w:val="32"/>
        </w:rPr>
        <w:t>（一）一般公共预算财政拨款支出决算总体情况</w:t>
      </w:r>
    </w:p>
    <w:p w14:paraId="2D1F1F63">
      <w:pPr>
        <w:spacing w:line="580" w:lineRule="exact"/>
        <w:ind w:firstLine="640"/>
        <w:jc w:val="both"/>
      </w:pPr>
      <w:r>
        <w:rPr>
          <w:rFonts w:ascii="仿宋_GB2312" w:hAnsi="仿宋_GB2312" w:eastAsia="仿宋_GB2312"/>
          <w:b/>
          <w:sz w:val="32"/>
        </w:rPr>
        <w:t>2024年度一般公共预算财政拨款支出180.24万元，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增加3.85万元，增长2.18%，主要原因是：本年在职人员工资调薪，工资、社保、公积金等相关人员经费增加。本年新增政务大数据服务平台项目。</w:t>
      </w:r>
      <w:r>
        <w:rPr>
          <w:rFonts w:ascii="仿宋_GB2312" w:hAnsi="仿宋_GB2312" w:eastAsia="仿宋_GB2312"/>
          <w:b/>
          <w:sz w:val="32"/>
        </w:rPr>
        <w:t>与年初预算相比,</w:t>
      </w:r>
      <w:r>
        <w:rPr>
          <w:rFonts w:ascii="仿宋_GB2312" w:hAnsi="仿宋_GB2312" w:eastAsia="仿宋_GB2312"/>
          <w:b w:val="0"/>
          <w:sz w:val="32"/>
        </w:rPr>
        <w:t>年初预算数179.58万元，决算数180.24万元，预决算差异率0.37%，主要原因是：</w:t>
      </w:r>
      <w:r>
        <w:rPr>
          <w:rFonts w:ascii="仿宋_GB2312" w:hAnsi="仿宋_GB2312" w:eastAsia="仿宋_GB2312"/>
          <w:b w:val="0"/>
          <w:sz w:val="36"/>
          <w:szCs w:val="36"/>
        </w:rPr>
        <w:t>年中追加</w:t>
      </w:r>
      <w:r>
        <w:rPr>
          <w:rFonts w:ascii="仿宋_GB2312" w:hAnsi="仿宋_GB2312" w:eastAsia="仿宋_GB2312"/>
          <w:b w:val="0"/>
          <w:sz w:val="32"/>
        </w:rPr>
        <w:t>政务</w:t>
      </w:r>
      <w:r>
        <w:rPr>
          <w:rFonts w:hint="eastAsia" w:ascii="仿宋_GB2312" w:hAnsi="仿宋_GB2312" w:eastAsia="仿宋_GB2312"/>
          <w:b w:val="0"/>
          <w:sz w:val="36"/>
          <w:szCs w:val="36"/>
        </w:rPr>
        <w:t>大数据服务平台</w:t>
      </w:r>
      <w:r>
        <w:rPr>
          <w:rFonts w:hint="eastAsia" w:ascii="仿宋_GB2312" w:hAnsi="仿宋_GB2312" w:eastAsia="仿宋_GB2312"/>
          <w:b w:val="0"/>
          <w:sz w:val="36"/>
          <w:szCs w:val="36"/>
          <w:lang w:val="en-US" w:eastAsia="zh-CN"/>
        </w:rPr>
        <w:t>项目经费</w:t>
      </w:r>
      <w:r>
        <w:rPr>
          <w:rFonts w:ascii="仿宋_GB2312" w:hAnsi="仿宋_GB2312" w:eastAsia="仿宋_GB2312"/>
          <w:b w:val="0"/>
          <w:sz w:val="36"/>
          <w:szCs w:val="36"/>
        </w:rPr>
        <w:t>，导致预决算存在差异</w:t>
      </w:r>
      <w:r>
        <w:rPr>
          <w:rFonts w:ascii="仿宋_GB2312" w:hAnsi="仿宋_GB2312" w:eastAsia="仿宋_GB2312"/>
          <w:b w:val="0"/>
          <w:sz w:val="32"/>
        </w:rPr>
        <w:t>。</w:t>
      </w:r>
    </w:p>
    <w:p w14:paraId="0C76AE85">
      <w:pPr>
        <w:spacing w:line="640" w:lineRule="exact"/>
        <w:ind w:firstLine="640"/>
        <w:jc w:val="both"/>
        <w:outlineLvl w:val="3"/>
      </w:pPr>
      <w:r>
        <w:rPr>
          <w:rFonts w:ascii="楷体_GB2312" w:hAnsi="楷体_GB2312" w:eastAsia="楷体_GB2312"/>
          <w:b/>
          <w:sz w:val="32"/>
        </w:rPr>
        <w:t>（二）一般公共预算财政拨款支出决算结构情况</w:t>
      </w:r>
    </w:p>
    <w:p w14:paraId="78E824FB">
      <w:pPr>
        <w:spacing w:line="580" w:lineRule="exact"/>
        <w:ind w:firstLine="640"/>
        <w:jc w:val="both"/>
      </w:pPr>
      <w:r>
        <w:rPr>
          <w:rFonts w:ascii="仿宋_GB2312" w:hAnsi="仿宋_GB2312" w:eastAsia="仿宋_GB2312"/>
          <w:b w:val="0"/>
          <w:sz w:val="32"/>
        </w:rPr>
        <w:t>1.一般公共服务支出(类)136.68万元,占75.83%。</w:t>
      </w:r>
    </w:p>
    <w:p w14:paraId="655F794C">
      <w:pPr>
        <w:spacing w:line="580" w:lineRule="exact"/>
        <w:ind w:firstLine="640"/>
        <w:jc w:val="both"/>
      </w:pPr>
      <w:r>
        <w:rPr>
          <w:rFonts w:ascii="仿宋_GB2312" w:hAnsi="仿宋_GB2312" w:eastAsia="仿宋_GB2312"/>
          <w:b w:val="0"/>
          <w:sz w:val="32"/>
        </w:rPr>
        <w:t>2.科学技术支出(类)4.00万元,占2.22%。</w:t>
      </w:r>
    </w:p>
    <w:p w14:paraId="03EA305A">
      <w:pPr>
        <w:spacing w:line="580" w:lineRule="exact"/>
        <w:ind w:firstLine="640"/>
        <w:jc w:val="both"/>
      </w:pPr>
      <w:r>
        <w:rPr>
          <w:rFonts w:ascii="仿宋_GB2312" w:hAnsi="仿宋_GB2312" w:eastAsia="仿宋_GB2312"/>
          <w:b w:val="0"/>
          <w:sz w:val="32"/>
        </w:rPr>
        <w:t>3.社会保障和就业支出(类)17.39万元,占9.65%。</w:t>
      </w:r>
    </w:p>
    <w:p w14:paraId="6563A60D">
      <w:pPr>
        <w:spacing w:line="580" w:lineRule="exact"/>
        <w:ind w:firstLine="640"/>
        <w:jc w:val="both"/>
      </w:pPr>
      <w:r>
        <w:rPr>
          <w:rFonts w:ascii="仿宋_GB2312" w:hAnsi="仿宋_GB2312" w:eastAsia="仿宋_GB2312"/>
          <w:b w:val="0"/>
          <w:sz w:val="32"/>
        </w:rPr>
        <w:t>4.卫生健康支出(类)8.00万元,占4.44%。</w:t>
      </w:r>
    </w:p>
    <w:p w14:paraId="61656CB6">
      <w:pPr>
        <w:spacing w:line="580" w:lineRule="exact"/>
        <w:ind w:firstLine="640"/>
        <w:jc w:val="both"/>
      </w:pPr>
      <w:r>
        <w:rPr>
          <w:rFonts w:ascii="仿宋_GB2312" w:hAnsi="仿宋_GB2312" w:eastAsia="仿宋_GB2312"/>
          <w:b w:val="0"/>
          <w:sz w:val="32"/>
        </w:rPr>
        <w:t>5.住房保障支出(类)14.16万元,占7.86%。</w:t>
      </w:r>
    </w:p>
    <w:p w14:paraId="42ED1E35">
      <w:pPr>
        <w:spacing w:line="640" w:lineRule="exact"/>
        <w:ind w:firstLine="640"/>
        <w:jc w:val="both"/>
        <w:outlineLvl w:val="3"/>
      </w:pPr>
      <w:r>
        <w:rPr>
          <w:rFonts w:ascii="楷体_GB2312" w:hAnsi="楷体_GB2312" w:eastAsia="楷体_GB2312"/>
          <w:b/>
          <w:sz w:val="32"/>
        </w:rPr>
        <w:t>（三）一般公共预算财政拨款支出决算具体情况</w:t>
      </w:r>
    </w:p>
    <w:p w14:paraId="0A20FCFF">
      <w:pPr>
        <w:spacing w:line="580" w:lineRule="exact"/>
        <w:ind w:firstLine="640"/>
        <w:jc w:val="both"/>
      </w:pPr>
      <w:r>
        <w:rPr>
          <w:rFonts w:ascii="仿宋_GB2312" w:hAnsi="仿宋_GB2312" w:eastAsia="仿宋_GB2312"/>
          <w:b w:val="0"/>
          <w:sz w:val="32"/>
        </w:rPr>
        <w:t>1.一般公共服务支出(类)网信事务(款)行政运行(项):支出决算数为136.68万元，比上年决算增加0.05万元，增长0.04%,主要原因是：本年在职人员工资调薪，工资等相关人员经费增加。</w:t>
      </w:r>
    </w:p>
    <w:p w14:paraId="6161B4A4">
      <w:pPr>
        <w:spacing w:line="580" w:lineRule="exact"/>
        <w:ind w:firstLine="640"/>
        <w:jc w:val="both"/>
      </w:pPr>
      <w:r>
        <w:rPr>
          <w:rFonts w:ascii="仿宋_GB2312" w:hAnsi="仿宋_GB2312" w:eastAsia="仿宋_GB2312"/>
          <w:b w:val="0"/>
          <w:sz w:val="32"/>
        </w:rPr>
        <w:t>2.科学技术支出(类)技术研究与开发(款)其他技术研究与开发支出(项):支出决算数为4.00万元，比上年决算增加4.00万元，增长100.00%,主要原因是：本年新增政务大数据服务平台项目。</w:t>
      </w:r>
    </w:p>
    <w:p w14:paraId="2FDD39D3">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3.社会保障和就业支出(类)行政事业单位养老支出(款)机关事业单位基本养老保险缴费支出(项):支出决算数为17.39万元，比上年决算增加2.03万元，增长13.22%,主要原因是：本年在职人员调薪，养老保险缴费增加。</w:t>
      </w:r>
    </w:p>
    <w:p w14:paraId="2C757322">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4.社会保障和就业支出(类)行政事业单位养老支出(款)机关事业单位职业年金缴费支出(项):支出决算数为0.00万元，比上年决算减少4.83万元，下降100.00%,主要原因是：本年</w:t>
      </w:r>
      <w:r>
        <w:rPr>
          <w:rFonts w:hint="eastAsia" w:ascii="仿宋_GB2312" w:hAnsi="仿宋_GB2312" w:eastAsia="仿宋_GB2312"/>
          <w:b w:val="0"/>
          <w:sz w:val="32"/>
          <w:lang w:val="en-US" w:eastAsia="zh-CN"/>
        </w:rPr>
        <w:t>无</w:t>
      </w:r>
      <w:r>
        <w:rPr>
          <w:rFonts w:ascii="仿宋_GB2312" w:hAnsi="仿宋_GB2312" w:eastAsia="仿宋_GB2312"/>
          <w:b w:val="0"/>
          <w:sz w:val="32"/>
        </w:rPr>
        <w:t>调出人员</w:t>
      </w:r>
      <w:bookmarkStart w:id="0" w:name="_GoBack"/>
      <w:bookmarkEnd w:id="0"/>
      <w:r>
        <w:rPr>
          <w:rFonts w:ascii="仿宋_GB2312" w:hAnsi="仿宋_GB2312" w:eastAsia="仿宋_GB2312"/>
          <w:b w:val="0"/>
          <w:sz w:val="32"/>
        </w:rPr>
        <w:t>，职业年金缴费较上年减少。</w:t>
      </w:r>
    </w:p>
    <w:p w14:paraId="0EAACDD0">
      <w:pPr>
        <w:spacing w:line="580" w:lineRule="exact"/>
        <w:ind w:firstLine="640"/>
        <w:jc w:val="both"/>
      </w:pPr>
      <w:r>
        <w:rPr>
          <w:rFonts w:ascii="仿宋_GB2312" w:hAnsi="仿宋_GB2312" w:eastAsia="仿宋_GB2312"/>
          <w:b w:val="0"/>
          <w:sz w:val="32"/>
        </w:rPr>
        <w:t>5.卫生健康支出(类)行政事业单位医疗(款)行政单位医疗(项):支出决算数为7.39万元，比上年决算增加0.72万元，增长10.79%,主要原因是：本年在职人员调薪，行政单位医疗保险缴费增加。</w:t>
      </w:r>
    </w:p>
    <w:p w14:paraId="24FBA24A">
      <w:pPr>
        <w:spacing w:line="580" w:lineRule="exact"/>
        <w:ind w:firstLine="640"/>
        <w:jc w:val="both"/>
      </w:pPr>
      <w:r>
        <w:rPr>
          <w:rFonts w:ascii="仿宋_GB2312" w:hAnsi="仿宋_GB2312" w:eastAsia="仿宋_GB2312"/>
          <w:b w:val="0"/>
          <w:sz w:val="32"/>
        </w:rPr>
        <w:t>6.卫生健康支出(类)行政事业单位医疗(款)公务员医疗补助(项):支出决算数为0.61万元，比上年决算增加0.06万元，增长10.91%,主要原因是：本年在职人员调薪，公务员医疗补助缴费增加。</w:t>
      </w:r>
    </w:p>
    <w:p w14:paraId="722CF330">
      <w:pPr>
        <w:spacing w:line="580" w:lineRule="exact"/>
        <w:ind w:firstLine="640"/>
        <w:jc w:val="both"/>
      </w:pPr>
      <w:r>
        <w:rPr>
          <w:rFonts w:ascii="仿宋_GB2312" w:hAnsi="仿宋_GB2312" w:eastAsia="仿宋_GB2312"/>
          <w:b w:val="0"/>
          <w:sz w:val="32"/>
        </w:rPr>
        <w:t>7.住房保障支出(类)住房改革支出(款)住房公积金(项):支出决算数为14.16万元，比上年决算增加1.81万元，增长14.66%,主要原因是：本年在职人员调薪，住房公积金缴费增加。</w:t>
      </w:r>
    </w:p>
    <w:p w14:paraId="6BA1A236">
      <w:pPr>
        <w:spacing w:line="640" w:lineRule="exact"/>
        <w:ind w:firstLine="640"/>
        <w:jc w:val="both"/>
        <w:outlineLvl w:val="2"/>
      </w:pPr>
      <w:r>
        <w:rPr>
          <w:rFonts w:ascii="黑体" w:hAnsi="黑体" w:eastAsia="黑体"/>
          <w:sz w:val="32"/>
        </w:rPr>
        <w:t>六、一般公共预算财政拨款基本支出决算情况说明</w:t>
      </w:r>
    </w:p>
    <w:p w14:paraId="4DE8EC24">
      <w:pPr>
        <w:spacing w:line="580" w:lineRule="exact"/>
        <w:ind w:firstLine="640"/>
        <w:jc w:val="both"/>
      </w:pPr>
      <w:r>
        <w:rPr>
          <w:rFonts w:ascii="仿宋_GB2312" w:hAnsi="仿宋_GB2312" w:eastAsia="仿宋_GB2312"/>
          <w:b w:val="0"/>
          <w:sz w:val="32"/>
        </w:rPr>
        <w:t>2024年度一般公共预算财政拨款基本支出176.24万元，其中：</w:t>
      </w:r>
      <w:r>
        <w:rPr>
          <w:rFonts w:ascii="仿宋_GB2312" w:hAnsi="仿宋_GB2312" w:eastAsia="仿宋_GB2312"/>
          <w:b/>
          <w:sz w:val="32"/>
        </w:rPr>
        <w:t>人员经费171.82万元，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w:t>
      </w:r>
    </w:p>
    <w:p w14:paraId="1839D578">
      <w:pPr>
        <w:spacing w:line="580" w:lineRule="exact"/>
        <w:ind w:firstLine="640"/>
        <w:jc w:val="both"/>
      </w:pPr>
      <w:r>
        <w:rPr>
          <w:rFonts w:ascii="仿宋_GB2312" w:hAnsi="仿宋_GB2312" w:eastAsia="仿宋_GB2312"/>
          <w:b/>
          <w:sz w:val="32"/>
        </w:rPr>
        <w:t>公用经费4.42万元，</w:t>
      </w:r>
      <w:r>
        <w:rPr>
          <w:rFonts w:ascii="仿宋_GB2312" w:hAnsi="仿宋_GB2312" w:eastAsia="仿宋_GB2312"/>
          <w:b w:val="0"/>
          <w:sz w:val="32"/>
        </w:rPr>
        <w:t>包括：办公费、水费、邮电费、物业管理费、培训费、公务用车运行维护费。</w:t>
      </w:r>
    </w:p>
    <w:p w14:paraId="13D8187D">
      <w:pPr>
        <w:spacing w:line="640" w:lineRule="exact"/>
        <w:ind w:firstLine="640"/>
        <w:jc w:val="both"/>
        <w:outlineLvl w:val="2"/>
      </w:pPr>
      <w:r>
        <w:rPr>
          <w:rFonts w:ascii="黑体" w:hAnsi="黑体" w:eastAsia="黑体"/>
          <w:sz w:val="32"/>
        </w:rPr>
        <w:t>七、政府性基金预算财政拨款收入支出决算情况说明</w:t>
      </w:r>
    </w:p>
    <w:p w14:paraId="41EC9AC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82632E6">
      <w:pPr>
        <w:spacing w:line="640" w:lineRule="exact"/>
        <w:ind w:firstLine="640"/>
        <w:jc w:val="both"/>
        <w:outlineLvl w:val="2"/>
      </w:pPr>
      <w:r>
        <w:rPr>
          <w:rFonts w:ascii="黑体" w:hAnsi="黑体" w:eastAsia="黑体"/>
          <w:sz w:val="32"/>
        </w:rPr>
        <w:t>八、国有资本经营预算财政拨款收入支出决算情况说明</w:t>
      </w:r>
    </w:p>
    <w:p w14:paraId="4394D3F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12AD890">
      <w:pPr>
        <w:spacing w:line="640" w:lineRule="exact"/>
        <w:ind w:firstLine="640"/>
        <w:jc w:val="both"/>
        <w:outlineLvl w:val="2"/>
      </w:pPr>
      <w:r>
        <w:rPr>
          <w:rFonts w:ascii="黑体" w:hAnsi="黑体" w:eastAsia="黑体"/>
          <w:sz w:val="32"/>
        </w:rPr>
        <w:t>九、财政拨款“三公”经费支出决算情况说明</w:t>
      </w:r>
    </w:p>
    <w:p w14:paraId="749BBA25">
      <w:pPr>
        <w:spacing w:line="580" w:lineRule="exact"/>
        <w:ind w:firstLine="640"/>
        <w:jc w:val="both"/>
      </w:pPr>
      <w:r>
        <w:rPr>
          <w:rFonts w:ascii="仿宋_GB2312" w:hAnsi="仿宋_GB2312" w:eastAsia="仿宋_GB2312"/>
          <w:b/>
          <w:sz w:val="32"/>
        </w:rPr>
        <w:t>2024年度财政拨款“三公”经费支出0.52万元，</w:t>
      </w:r>
      <w:r>
        <w:rPr>
          <w:rFonts w:ascii="仿宋_GB2312" w:hAnsi="仿宋_GB2312" w:eastAsia="仿宋_GB2312"/>
          <w:b w:val="0"/>
          <w:sz w:val="32"/>
        </w:rPr>
        <w:t>比上年增加0.18万元，增长52.94%，主要原因是：本年车辆使用次数增多，车辆老化，车辆运行维护费增加。其中：因公出国（境）费支出0.00万元，占0.00%，比上年增加0.00万元，增长0.00%，主要原因是：2023年与2024年均未安排因公出国（境）费支出。公务用车购置及运行维护费支出0.52万元，占100.00%，比上年增加0.18万元，增长52.94%，主要原因是：本年车辆使用次数增多，车辆老化，车辆运行维护费增加。公务接待费支出0.00万元，占0.00%，比上年增加0.00万元，增长0.00%，主要原因是：2023年与2024年均未安排公务接待费支出。</w:t>
      </w:r>
    </w:p>
    <w:p w14:paraId="62964796">
      <w:pPr>
        <w:spacing w:line="580" w:lineRule="exact"/>
        <w:ind w:firstLine="640"/>
        <w:jc w:val="both"/>
      </w:pPr>
      <w:r>
        <w:rPr>
          <w:rFonts w:ascii="仿宋_GB2312" w:hAnsi="仿宋_GB2312" w:eastAsia="仿宋_GB2312"/>
          <w:b/>
          <w:sz w:val="32"/>
        </w:rPr>
        <w:t>具体情况如下：</w:t>
      </w:r>
    </w:p>
    <w:p w14:paraId="320D66B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CD2BF0F">
      <w:pPr>
        <w:spacing w:line="580" w:lineRule="exact"/>
        <w:ind w:firstLine="640"/>
        <w:jc w:val="both"/>
      </w:pPr>
      <w:r>
        <w:rPr>
          <w:rFonts w:ascii="仿宋_GB2312" w:hAnsi="仿宋_GB2312" w:eastAsia="仿宋_GB2312"/>
          <w:b w:val="0"/>
          <w:sz w:val="32"/>
        </w:rPr>
        <w:t>公务用车购置及运行维护费0.52万元，其中：公务用车购置费0.00万元，公务用车运行维护费0.52万元。公务用车运行维护费开支内容包括车辆维修费、车辆年审费、保险费。公务用车购置数0辆，公务用车保有量1辆。国有资产占用情况中固定资产车辆1辆，与公务用车保有量差异原因是：本单位固定资产车辆与公务用车保有量一致无差异。</w:t>
      </w:r>
    </w:p>
    <w:p w14:paraId="441C262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F7990F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0.52万元，决算数0.52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0.52万元，决算数0.52万元，预决算差异率0.00%，主要原因是：严格按照预算执行，预决算无差异。公务接待费全年预算数0.00万元，决算数0.00万元，预决算差异率0.00%，主要原因是：本单位无公务接待费。</w:t>
      </w:r>
    </w:p>
    <w:p w14:paraId="316002A8">
      <w:pPr>
        <w:spacing w:line="640" w:lineRule="exact"/>
        <w:ind w:firstLine="640"/>
        <w:jc w:val="both"/>
        <w:outlineLvl w:val="2"/>
      </w:pPr>
      <w:r>
        <w:rPr>
          <w:rFonts w:ascii="黑体" w:hAnsi="黑体" w:eastAsia="黑体"/>
          <w:sz w:val="32"/>
        </w:rPr>
        <w:t>十、其他重要事项的情况说明</w:t>
      </w:r>
    </w:p>
    <w:p w14:paraId="2816B339">
      <w:pPr>
        <w:spacing w:line="640" w:lineRule="exact"/>
        <w:ind w:firstLine="640"/>
        <w:jc w:val="both"/>
        <w:outlineLvl w:val="3"/>
      </w:pPr>
      <w:r>
        <w:rPr>
          <w:rFonts w:ascii="楷体_GB2312" w:hAnsi="楷体_GB2312" w:eastAsia="楷体_GB2312"/>
          <w:b/>
          <w:sz w:val="32"/>
        </w:rPr>
        <w:t>（一）机关运行经费及公用经费支出情况</w:t>
      </w:r>
    </w:p>
    <w:p w14:paraId="6EA8E2A7">
      <w:pPr>
        <w:spacing w:line="580" w:lineRule="exact"/>
        <w:ind w:firstLine="640"/>
        <w:jc w:val="both"/>
      </w:pPr>
      <w:r>
        <w:rPr>
          <w:rFonts w:ascii="仿宋_GB2312" w:hAnsi="仿宋_GB2312" w:eastAsia="仿宋_GB2312"/>
          <w:b w:val="0"/>
          <w:sz w:val="32"/>
        </w:rPr>
        <w:t>2024年度中共岳普湖县委员会网络安全和信息化委员会办公室（行政单位和参照公务员法管理事业单位）机关运行经费支出4.42万元，比上年减少3.22万元，下降42.15%，主要原因是：严格执行</w:t>
      </w:r>
      <w:r>
        <w:rPr>
          <w:rFonts w:hint="eastAsia" w:ascii="仿宋_GB2312" w:hAnsi="仿宋_GB2312" w:eastAsia="仿宋_GB2312"/>
          <w:b w:val="0"/>
          <w:sz w:val="32"/>
          <w:lang w:eastAsia="zh-CN"/>
        </w:rPr>
        <w:t>中央八项规定</w:t>
      </w:r>
      <w:r>
        <w:rPr>
          <w:rFonts w:ascii="仿宋_GB2312" w:hAnsi="仿宋_GB2312" w:eastAsia="仿宋_GB2312"/>
          <w:b w:val="0"/>
          <w:sz w:val="32"/>
        </w:rPr>
        <w:t>，厉行节约，印刷费减少，相应机关运行经费减少。</w:t>
      </w:r>
    </w:p>
    <w:p w14:paraId="628762D7">
      <w:pPr>
        <w:spacing w:line="640" w:lineRule="exact"/>
        <w:ind w:firstLine="640"/>
        <w:jc w:val="both"/>
        <w:outlineLvl w:val="3"/>
      </w:pPr>
      <w:r>
        <w:rPr>
          <w:rFonts w:ascii="楷体_GB2312" w:hAnsi="楷体_GB2312" w:eastAsia="楷体_GB2312"/>
          <w:b/>
          <w:sz w:val="32"/>
        </w:rPr>
        <w:t>（二）政府采购情况</w:t>
      </w:r>
    </w:p>
    <w:p w14:paraId="45E0131A">
      <w:pPr>
        <w:spacing w:line="580" w:lineRule="exact"/>
        <w:ind w:firstLine="640"/>
        <w:jc w:val="both"/>
      </w:pPr>
      <w:r>
        <w:rPr>
          <w:rFonts w:ascii="仿宋_GB2312" w:hAnsi="仿宋_GB2312" w:eastAsia="仿宋_GB2312"/>
          <w:b w:val="0"/>
          <w:sz w:val="32"/>
        </w:rPr>
        <w:t>2024年度政府采购支出总额0.50万元，其中：政府采购货物支出0.00万元、政府采购工程支出0.00万元、政府采购服务支出0.50万元。</w:t>
      </w:r>
    </w:p>
    <w:p w14:paraId="32A31FBE">
      <w:pPr>
        <w:spacing w:line="580" w:lineRule="exact"/>
        <w:ind w:firstLine="640"/>
        <w:jc w:val="both"/>
      </w:pPr>
      <w:r>
        <w:rPr>
          <w:rFonts w:ascii="仿宋_GB2312" w:hAnsi="仿宋_GB2312" w:eastAsia="仿宋_GB2312"/>
          <w:b w:val="0"/>
          <w:sz w:val="32"/>
        </w:rPr>
        <w:t>授予中小企业合同金额0.50万元，占政府采购支出总额的100.00%，其中：授予小微企业合同金额0.50万元，占政府采购支出总额的100.00%。</w:t>
      </w:r>
    </w:p>
    <w:p w14:paraId="25775D92">
      <w:pPr>
        <w:spacing w:line="640" w:lineRule="exact"/>
        <w:ind w:firstLine="640"/>
        <w:jc w:val="both"/>
        <w:outlineLvl w:val="3"/>
      </w:pPr>
      <w:r>
        <w:rPr>
          <w:rFonts w:ascii="楷体_GB2312" w:hAnsi="楷体_GB2312" w:eastAsia="楷体_GB2312"/>
          <w:b/>
          <w:sz w:val="32"/>
        </w:rPr>
        <w:t>（三）国有资产占用情况说明</w:t>
      </w:r>
    </w:p>
    <w:p w14:paraId="3F3E3745">
      <w:pPr>
        <w:spacing w:line="580" w:lineRule="exact"/>
        <w:ind w:firstLine="640"/>
        <w:jc w:val="both"/>
      </w:pPr>
      <w:r>
        <w:rPr>
          <w:rFonts w:ascii="仿宋_GB2312" w:hAnsi="仿宋_GB2312" w:eastAsia="仿宋_GB2312"/>
          <w:b w:val="0"/>
          <w:sz w:val="32"/>
        </w:rPr>
        <w:t>截至2024年12月31日，房屋0.00平方米，价值0.00万元。车辆1辆，价值18.00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78A0CE20">
      <w:pPr>
        <w:spacing w:line="640" w:lineRule="exact"/>
        <w:ind w:firstLine="640"/>
        <w:jc w:val="both"/>
        <w:outlineLvl w:val="2"/>
      </w:pPr>
      <w:r>
        <w:rPr>
          <w:rFonts w:ascii="黑体" w:hAnsi="黑体" w:eastAsia="黑体"/>
          <w:sz w:val="32"/>
        </w:rPr>
        <w:t>十一、预算绩效的情况说明</w:t>
      </w:r>
    </w:p>
    <w:p w14:paraId="25233EE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根据预算绩效管理要求，本单位2024年度预算绩效管理形成整体支出绩效自评表1个，全年预算总额180.24万元，实际执行总额180.24万元；预算绩效评价项目</w:t>
      </w:r>
      <w:r>
        <w:rPr>
          <w:rFonts w:hint="eastAsia" w:ascii="仿宋_GB2312" w:hAnsi="仿宋_GB2312" w:eastAsia="仿宋_GB2312"/>
          <w:b w:val="0"/>
          <w:sz w:val="32"/>
          <w:lang w:val="en-US" w:eastAsia="zh-CN"/>
        </w:rPr>
        <w:t>1</w:t>
      </w:r>
      <w:r>
        <w:rPr>
          <w:rFonts w:ascii="仿宋_GB2312" w:hAnsi="仿宋_GB2312" w:eastAsia="仿宋_GB2312"/>
          <w:b w:val="0"/>
          <w:sz w:val="32"/>
        </w:rPr>
        <w:t>个，全年预算数</w:t>
      </w:r>
      <w:r>
        <w:rPr>
          <w:rFonts w:hint="eastAsia" w:ascii="仿宋_GB2312" w:hAnsi="仿宋_GB2312" w:eastAsia="仿宋_GB2312"/>
          <w:b w:val="0"/>
          <w:sz w:val="32"/>
          <w:lang w:val="en-US" w:eastAsia="zh-CN"/>
        </w:rPr>
        <w:t>4</w:t>
      </w:r>
      <w:r>
        <w:rPr>
          <w:rFonts w:ascii="仿宋_GB2312" w:hAnsi="仿宋_GB2312" w:eastAsia="仿宋_GB2312"/>
          <w:b w:val="0"/>
          <w:sz w:val="32"/>
        </w:rPr>
        <w:t>.00万元，全年执行数</w:t>
      </w:r>
      <w:r>
        <w:rPr>
          <w:rFonts w:hint="eastAsia" w:ascii="仿宋_GB2312" w:hAnsi="仿宋_GB2312" w:eastAsia="仿宋_GB2312"/>
          <w:b w:val="0"/>
          <w:sz w:val="32"/>
          <w:lang w:val="en-US" w:eastAsia="zh-CN"/>
        </w:rPr>
        <w:t>4</w:t>
      </w:r>
      <w:r>
        <w:rPr>
          <w:rFonts w:ascii="仿宋_GB2312" w:hAnsi="仿宋_GB2312" w:eastAsia="仿宋_GB2312"/>
          <w:b w:val="0"/>
          <w:sz w:val="32"/>
        </w:rPr>
        <w:t>.00万元。预算绩效管理取得的成效：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预算绩效自评表不予公开。发现的问题及原因：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预算绩效自评表不予公开。下一步改进措施：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预算绩效自评表不予公开。具体附整体支出绩效自评表。</w:t>
      </w:r>
    </w:p>
    <w:p w14:paraId="75ABA72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22B4C9B">
        <w:tblPrEx>
          <w:tblCellMar>
            <w:top w:w="0" w:type="dxa"/>
            <w:left w:w="108" w:type="dxa"/>
            <w:bottom w:w="0" w:type="dxa"/>
            <w:right w:w="108" w:type="dxa"/>
          </w:tblCellMar>
        </w:tblPrEx>
        <w:tc>
          <w:tcPr>
            <w:tcW w:w="8847" w:type="dxa"/>
            <w:gridSpan w:val="9"/>
            <w:vAlign w:val="center"/>
          </w:tcPr>
          <w:p w14:paraId="2EED1D08">
            <w:pPr>
              <w:jc w:val="center"/>
            </w:pPr>
            <w:r>
              <w:rPr>
                <w:rFonts w:ascii="宋体" w:hAnsi="宋体" w:eastAsia="宋体"/>
                <w:sz w:val="24"/>
              </w:rPr>
              <w:t>单位整体支出绩效自评表</w:t>
            </w:r>
          </w:p>
        </w:tc>
      </w:tr>
      <w:tr w14:paraId="77187AAA">
        <w:tblPrEx>
          <w:tblCellMar>
            <w:top w:w="0" w:type="dxa"/>
            <w:left w:w="108" w:type="dxa"/>
            <w:bottom w:w="0" w:type="dxa"/>
            <w:right w:w="108" w:type="dxa"/>
          </w:tblCellMar>
        </w:tblPrEx>
        <w:tc>
          <w:tcPr>
            <w:tcW w:w="8847" w:type="dxa"/>
            <w:gridSpan w:val="9"/>
            <w:vAlign w:val="center"/>
          </w:tcPr>
          <w:p w14:paraId="1FCAE8B5">
            <w:pPr>
              <w:jc w:val="center"/>
            </w:pPr>
            <w:r>
              <w:rPr>
                <w:rFonts w:ascii="宋体" w:hAnsi="宋体" w:eastAsia="宋体"/>
                <w:sz w:val="24"/>
              </w:rPr>
              <w:t>（2024年度）</w:t>
            </w:r>
          </w:p>
        </w:tc>
      </w:tr>
      <w:tr w14:paraId="259650A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0BE4A">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6108C60">
            <w:pPr>
              <w:jc w:val="center"/>
            </w:pPr>
            <w:r>
              <w:rPr>
                <w:rFonts w:ascii="宋体" w:hAnsi="宋体" w:eastAsia="宋体"/>
                <w:sz w:val="16"/>
              </w:rPr>
              <w:t>中共岳普湖县委员会网络安全和信息化委员会办公室</w:t>
            </w:r>
          </w:p>
        </w:tc>
      </w:tr>
      <w:tr w14:paraId="2B3D934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26E83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06BC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44E2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EAA0E">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2014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F9B6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532C1">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89E40">
            <w:pPr>
              <w:jc w:val="center"/>
            </w:pPr>
            <w:r>
              <w:rPr>
                <w:rFonts w:ascii="宋体" w:hAnsi="宋体" w:eastAsia="宋体"/>
                <w:sz w:val="16"/>
              </w:rPr>
              <w:t>得分</w:t>
            </w:r>
          </w:p>
        </w:tc>
      </w:tr>
      <w:tr w14:paraId="1165EB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FD92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04CE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69C18">
            <w:pPr>
              <w:jc w:val="center"/>
            </w:pPr>
            <w:r>
              <w:rPr>
                <w:rFonts w:ascii="宋体" w:hAnsi="宋体" w:eastAsia="宋体"/>
                <w:sz w:val="16"/>
              </w:rPr>
              <w:t>179.58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66525">
            <w:pPr>
              <w:jc w:val="center"/>
            </w:pPr>
            <w:r>
              <w:rPr>
                <w:rFonts w:ascii="宋体" w:hAnsi="宋体" w:eastAsia="宋体"/>
                <w:sz w:val="16"/>
              </w:rPr>
              <w:t>180.24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597F8">
            <w:pPr>
              <w:jc w:val="center"/>
            </w:pPr>
            <w:r>
              <w:rPr>
                <w:rFonts w:ascii="宋体" w:hAnsi="宋体" w:eastAsia="宋体"/>
                <w:sz w:val="16"/>
              </w:rPr>
              <w:t>180.24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0F7E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0B921">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6FFD4">
            <w:pPr>
              <w:jc w:val="center"/>
            </w:pPr>
            <w:r>
              <w:rPr>
                <w:rFonts w:ascii="宋体" w:hAnsi="宋体" w:eastAsia="宋体"/>
                <w:sz w:val="16"/>
              </w:rPr>
              <w:t>10</w:t>
            </w:r>
          </w:p>
        </w:tc>
      </w:tr>
      <w:tr w14:paraId="00B7A7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0B62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01D78">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6D74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94BC1">
            <w:pPr>
              <w:jc w:val="center"/>
            </w:pPr>
            <w:r>
              <w:rPr>
                <w:rFonts w:ascii="宋体" w:hAnsi="宋体" w:eastAsia="宋体"/>
                <w:sz w:val="16"/>
              </w:rPr>
              <w:t>2.43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1114F">
            <w:pPr>
              <w:jc w:val="center"/>
            </w:pPr>
            <w:r>
              <w:rPr>
                <w:rFonts w:ascii="宋体" w:hAnsi="宋体" w:eastAsia="宋体"/>
                <w:sz w:val="16"/>
              </w:rPr>
              <w:t>2.43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F794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13C8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F0F94">
            <w:pPr>
              <w:jc w:val="center"/>
            </w:pPr>
            <w:r>
              <w:rPr>
                <w:rFonts w:ascii="宋体" w:hAnsi="宋体" w:eastAsia="宋体"/>
                <w:sz w:val="16"/>
              </w:rPr>
              <w:t>—</w:t>
            </w:r>
          </w:p>
        </w:tc>
      </w:tr>
      <w:tr w14:paraId="6761F0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19EB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C11B9">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EE581">
            <w:pPr>
              <w:jc w:val="center"/>
            </w:pPr>
            <w:r>
              <w:rPr>
                <w:rFonts w:ascii="宋体" w:hAnsi="宋体" w:eastAsia="宋体"/>
                <w:sz w:val="16"/>
              </w:rPr>
              <w:t>179.58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55C19">
            <w:pPr>
              <w:jc w:val="center"/>
            </w:pPr>
            <w:r>
              <w:rPr>
                <w:rFonts w:ascii="宋体" w:hAnsi="宋体" w:eastAsia="宋体"/>
                <w:sz w:val="16"/>
              </w:rPr>
              <w:t>177.81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B662B">
            <w:pPr>
              <w:jc w:val="center"/>
            </w:pPr>
            <w:r>
              <w:rPr>
                <w:rFonts w:ascii="宋体" w:hAnsi="宋体" w:eastAsia="宋体"/>
                <w:sz w:val="16"/>
              </w:rPr>
              <w:t>177.81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F83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59AA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F9103">
            <w:pPr>
              <w:jc w:val="center"/>
            </w:pPr>
            <w:r>
              <w:rPr>
                <w:rFonts w:ascii="宋体" w:hAnsi="宋体" w:eastAsia="宋体"/>
                <w:sz w:val="16"/>
              </w:rPr>
              <w:t>—</w:t>
            </w:r>
          </w:p>
        </w:tc>
      </w:tr>
      <w:tr w14:paraId="5E2252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928D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ADEA5">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A1B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5C65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85D6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4F3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338E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6AF4E">
            <w:pPr>
              <w:jc w:val="center"/>
            </w:pPr>
            <w:r>
              <w:rPr>
                <w:rFonts w:ascii="宋体" w:hAnsi="宋体" w:eastAsia="宋体"/>
                <w:sz w:val="16"/>
              </w:rPr>
              <w:t>—</w:t>
            </w:r>
          </w:p>
        </w:tc>
      </w:tr>
      <w:tr w14:paraId="7406844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5A80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F3D1F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66D722">
            <w:pPr>
              <w:jc w:val="center"/>
            </w:pPr>
            <w:r>
              <w:rPr>
                <w:rFonts w:ascii="宋体" w:hAnsi="宋体" w:eastAsia="宋体"/>
                <w:sz w:val="16"/>
              </w:rPr>
              <w:t>实际完成情况</w:t>
            </w:r>
          </w:p>
        </w:tc>
      </w:tr>
      <w:tr w14:paraId="638F58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0DFB1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EFE540">
            <w:pPr>
              <w:jc w:val="both"/>
            </w:pPr>
            <w:r>
              <w:rPr>
                <w:rFonts w:ascii="宋体" w:hAnsi="宋体" w:eastAsia="宋体"/>
                <w:sz w:val="16"/>
              </w:rPr>
              <w:t>提升依法治网管网能力，营造良好的网络空间。强化网络生态维护治理，加强全县关键信息基础设施安全保护，运用联合保障工作机制，保障属地网络内容安全、运行安全、数据安全，防范发生邮件攻击、病毒入侵、数据被窃等事件。</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EDB492">
            <w:pPr>
              <w:jc w:val="both"/>
            </w:pPr>
            <w:r>
              <w:rPr>
                <w:rFonts w:ascii="宋体" w:hAnsi="宋体" w:eastAsia="宋体"/>
                <w:sz w:val="16"/>
              </w:rPr>
              <w:t>互联网生态治理达标率实际达到了90%，关键基础设施保护指数达到了90%，重要数据和个人信息均得到了有效保护，基层监管信息化做到了辖区全覆盖，反馈问题均及时响应处置。进一步提升了依法治网管网能力，营造了良好的网络空间。强化了网络生态维护治理，加强了岳普湖县全县关键信息基础设施安全保护，运用联合保障工作机制，保障了属地网络内容安全、运行安全、数据安全，有效防范了邮件攻击、病毒入侵、数据被窃等事件。</w:t>
            </w:r>
          </w:p>
        </w:tc>
      </w:tr>
      <w:tr w14:paraId="0DB387D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5631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0611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68A7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55863">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17A4B">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8726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C973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83A57">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C4C19">
            <w:pPr>
              <w:jc w:val="center"/>
            </w:pPr>
            <w:r>
              <w:rPr>
                <w:rFonts w:ascii="宋体" w:hAnsi="宋体" w:eastAsia="宋体"/>
                <w:sz w:val="16"/>
              </w:rPr>
              <w:t>得分</w:t>
            </w:r>
          </w:p>
        </w:tc>
      </w:tr>
      <w:tr w14:paraId="3570287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1A0EB2">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D1E98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4C25B">
            <w:pPr>
              <w:jc w:val="center"/>
            </w:pPr>
            <w:r>
              <w:rPr>
                <w:rFonts w:ascii="宋体" w:hAnsi="宋体" w:eastAsia="宋体"/>
                <w:sz w:val="16"/>
              </w:rPr>
              <w:t>互联网生态治理达标率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8648F">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56B6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D13C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27E09">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D52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1C257">
            <w:pPr>
              <w:jc w:val="center"/>
            </w:pPr>
            <w:r>
              <w:rPr>
                <w:rFonts w:ascii="宋体" w:hAnsi="宋体" w:eastAsia="宋体"/>
                <w:sz w:val="16"/>
              </w:rPr>
              <w:t>18</w:t>
            </w:r>
          </w:p>
        </w:tc>
      </w:tr>
      <w:tr w14:paraId="4CA373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784C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0148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531A4">
            <w:pPr>
              <w:jc w:val="center"/>
            </w:pPr>
            <w:r>
              <w:rPr>
                <w:rFonts w:ascii="宋体" w:hAnsi="宋体" w:eastAsia="宋体"/>
                <w:sz w:val="16"/>
              </w:rPr>
              <w:t>关键基础设施保护指数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41DA6">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F089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6973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0669F">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8433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0F201">
            <w:pPr>
              <w:jc w:val="center"/>
            </w:pPr>
            <w:r>
              <w:rPr>
                <w:rFonts w:ascii="宋体" w:hAnsi="宋体" w:eastAsia="宋体"/>
                <w:sz w:val="16"/>
              </w:rPr>
              <w:t>18</w:t>
            </w:r>
          </w:p>
        </w:tc>
      </w:tr>
      <w:tr w14:paraId="574572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A227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5397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494F8">
            <w:pPr>
              <w:jc w:val="center"/>
            </w:pPr>
            <w:r>
              <w:rPr>
                <w:rFonts w:ascii="宋体" w:hAnsi="宋体" w:eastAsia="宋体"/>
                <w:sz w:val="16"/>
              </w:rPr>
              <w:t>重要数据和个人信息保护率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82E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1150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E7BA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2AD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B83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82DE8">
            <w:pPr>
              <w:jc w:val="center"/>
            </w:pPr>
            <w:r>
              <w:rPr>
                <w:rFonts w:ascii="宋体" w:hAnsi="宋体" w:eastAsia="宋体"/>
                <w:sz w:val="16"/>
              </w:rPr>
              <w:t>18</w:t>
            </w:r>
          </w:p>
        </w:tc>
      </w:tr>
      <w:tr w14:paraId="5793E0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08B0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262E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4AF54">
            <w:pPr>
              <w:jc w:val="center"/>
            </w:pPr>
            <w:r>
              <w:rPr>
                <w:rFonts w:ascii="宋体" w:hAnsi="宋体" w:eastAsia="宋体"/>
                <w:sz w:val="16"/>
              </w:rPr>
              <w:t>基层监管信息化覆盖率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D8EC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C59A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3EB6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D4A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4FD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66F39">
            <w:pPr>
              <w:jc w:val="center"/>
            </w:pPr>
            <w:r>
              <w:rPr>
                <w:rFonts w:ascii="宋体" w:hAnsi="宋体" w:eastAsia="宋体"/>
                <w:sz w:val="16"/>
              </w:rPr>
              <w:t>18</w:t>
            </w:r>
          </w:p>
        </w:tc>
      </w:tr>
      <w:tr w14:paraId="6AEC13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591F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F359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E37E6">
            <w:pPr>
              <w:jc w:val="center"/>
            </w:pPr>
            <w:r>
              <w:rPr>
                <w:rFonts w:ascii="宋体" w:hAnsi="宋体" w:eastAsia="宋体"/>
                <w:sz w:val="16"/>
              </w:rPr>
              <w:t>反馈问题响应处置及时率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5A8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3949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DDA1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DF2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3243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79D52">
            <w:pPr>
              <w:jc w:val="center"/>
            </w:pPr>
            <w:r>
              <w:rPr>
                <w:rFonts w:ascii="宋体" w:hAnsi="宋体" w:eastAsia="宋体"/>
                <w:sz w:val="16"/>
              </w:rPr>
              <w:t>18</w:t>
            </w:r>
          </w:p>
        </w:tc>
      </w:tr>
    </w:tbl>
    <w:p w14:paraId="0631B5F0">
      <w:r>
        <w:br w:type="page"/>
      </w:r>
    </w:p>
    <w:p w14:paraId="1290D0E7">
      <w:pPr>
        <w:spacing w:line="640" w:lineRule="exact"/>
        <w:ind w:firstLine="640"/>
        <w:jc w:val="both"/>
        <w:outlineLvl w:val="2"/>
      </w:pPr>
      <w:r>
        <w:rPr>
          <w:rFonts w:ascii="黑体" w:hAnsi="黑体" w:eastAsia="黑体"/>
          <w:sz w:val="32"/>
        </w:rPr>
        <w:t>十二、其他需说明的事项</w:t>
      </w:r>
    </w:p>
    <w:p w14:paraId="7B4F84F0">
      <w:pPr>
        <w:spacing w:line="580" w:lineRule="exact"/>
        <w:ind w:firstLine="640"/>
        <w:jc w:val="both"/>
      </w:pPr>
      <w:r>
        <w:rPr>
          <w:rFonts w:ascii="仿宋_GB2312" w:hAnsi="仿宋_GB2312" w:eastAsia="仿宋_GB2312"/>
          <w:b w:val="0"/>
          <w:sz w:val="32"/>
        </w:rPr>
        <w:t>本年本单位SM项目1个，全年预算数</w:t>
      </w:r>
      <w:r>
        <w:rPr>
          <w:rFonts w:hint="eastAsia" w:ascii="仿宋_GB2312" w:hAnsi="仿宋_GB2312" w:eastAsia="仿宋_GB2312"/>
          <w:b w:val="0"/>
          <w:sz w:val="32"/>
          <w:lang w:val="en-US" w:eastAsia="zh-CN"/>
        </w:rPr>
        <w:t>4</w:t>
      </w:r>
      <w:r>
        <w:rPr>
          <w:rFonts w:ascii="仿宋_GB2312" w:hAnsi="仿宋_GB2312" w:eastAsia="仿宋_GB2312"/>
          <w:b w:val="0"/>
          <w:sz w:val="32"/>
        </w:rPr>
        <w:t>.00万元，全年执行数</w:t>
      </w:r>
      <w:r>
        <w:rPr>
          <w:rFonts w:hint="eastAsia" w:ascii="仿宋_GB2312" w:hAnsi="仿宋_GB2312" w:eastAsia="仿宋_GB2312"/>
          <w:b w:val="0"/>
          <w:sz w:val="32"/>
          <w:lang w:val="en-US" w:eastAsia="zh-CN"/>
        </w:rPr>
        <w:t>4</w:t>
      </w:r>
      <w:r>
        <w:rPr>
          <w:rFonts w:ascii="仿宋_GB2312" w:hAnsi="仿宋_GB2312" w:eastAsia="仿宋_GB2312"/>
          <w:b w:val="0"/>
          <w:sz w:val="32"/>
        </w:rPr>
        <w:t>.00万元。</w:t>
      </w:r>
    </w:p>
    <w:p w14:paraId="1CAA9526">
      <w:r>
        <w:br w:type="page"/>
      </w:r>
    </w:p>
    <w:p w14:paraId="514767C0">
      <w:pPr>
        <w:spacing w:line="240" w:lineRule="auto"/>
        <w:jc w:val="center"/>
        <w:outlineLvl w:val="1"/>
      </w:pPr>
      <w:r>
        <w:rPr>
          <w:rFonts w:ascii="黑体" w:hAnsi="黑体" w:eastAsia="黑体"/>
          <w:sz w:val="32"/>
        </w:rPr>
        <w:t>第三部分 专业名词解释</w:t>
      </w:r>
    </w:p>
    <w:p w14:paraId="103454C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2E6FF5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B2E1B3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032191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702697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8F3FC9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097B9E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8D3848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58057A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BA08DB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81DDB6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D0AC08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FA912A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E6C85F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5372767">
      <w:r>
        <w:br w:type="page"/>
      </w:r>
    </w:p>
    <w:p w14:paraId="5FDFE1BF">
      <w:pPr>
        <w:spacing w:line="240" w:lineRule="auto"/>
        <w:jc w:val="center"/>
        <w:outlineLvl w:val="1"/>
      </w:pPr>
      <w:r>
        <w:rPr>
          <w:rFonts w:ascii="黑体" w:hAnsi="黑体" w:eastAsia="黑体"/>
          <w:sz w:val="32"/>
        </w:rPr>
        <w:t>第四部分 部门决算报表（见附表）</w:t>
      </w:r>
    </w:p>
    <w:p w14:paraId="25054E9D">
      <w:pPr>
        <w:spacing w:line="240" w:lineRule="auto"/>
        <w:ind w:firstLine="640"/>
        <w:jc w:val="both"/>
      </w:pPr>
      <w:r>
        <w:rPr>
          <w:rFonts w:ascii="仿宋_GB2312" w:hAnsi="仿宋_GB2312" w:eastAsia="仿宋_GB2312"/>
          <w:b w:val="0"/>
          <w:sz w:val="32"/>
        </w:rPr>
        <w:t>一、《收入支出决算总表》</w:t>
      </w:r>
    </w:p>
    <w:p w14:paraId="5C8EDC02">
      <w:pPr>
        <w:spacing w:line="240" w:lineRule="auto"/>
        <w:ind w:firstLine="640"/>
        <w:jc w:val="both"/>
      </w:pPr>
      <w:r>
        <w:rPr>
          <w:rFonts w:ascii="仿宋_GB2312" w:hAnsi="仿宋_GB2312" w:eastAsia="仿宋_GB2312"/>
          <w:b w:val="0"/>
          <w:sz w:val="32"/>
        </w:rPr>
        <w:t>二、《收入决算表》</w:t>
      </w:r>
    </w:p>
    <w:p w14:paraId="6B017773">
      <w:pPr>
        <w:spacing w:line="240" w:lineRule="auto"/>
        <w:ind w:firstLine="640"/>
        <w:jc w:val="both"/>
      </w:pPr>
      <w:r>
        <w:rPr>
          <w:rFonts w:ascii="仿宋_GB2312" w:hAnsi="仿宋_GB2312" w:eastAsia="仿宋_GB2312"/>
          <w:b w:val="0"/>
          <w:sz w:val="32"/>
        </w:rPr>
        <w:t>三、《支出决算表》</w:t>
      </w:r>
    </w:p>
    <w:p w14:paraId="1AED42CE">
      <w:pPr>
        <w:spacing w:line="240" w:lineRule="auto"/>
        <w:ind w:firstLine="640"/>
        <w:jc w:val="both"/>
      </w:pPr>
      <w:r>
        <w:rPr>
          <w:rFonts w:ascii="仿宋_GB2312" w:hAnsi="仿宋_GB2312" w:eastAsia="仿宋_GB2312"/>
          <w:b w:val="0"/>
          <w:sz w:val="32"/>
        </w:rPr>
        <w:t>四、《财政拨款收入支出决算总表》</w:t>
      </w:r>
    </w:p>
    <w:p w14:paraId="56D2B3D7">
      <w:pPr>
        <w:spacing w:line="240" w:lineRule="auto"/>
        <w:ind w:firstLine="640"/>
        <w:jc w:val="both"/>
      </w:pPr>
      <w:r>
        <w:rPr>
          <w:rFonts w:ascii="仿宋_GB2312" w:hAnsi="仿宋_GB2312" w:eastAsia="仿宋_GB2312"/>
          <w:b w:val="0"/>
          <w:sz w:val="32"/>
        </w:rPr>
        <w:t>五、《一般公共预算财政拨款支出决算表》</w:t>
      </w:r>
    </w:p>
    <w:p w14:paraId="0E3D0122">
      <w:pPr>
        <w:spacing w:line="240" w:lineRule="auto"/>
        <w:ind w:firstLine="640"/>
        <w:jc w:val="both"/>
      </w:pPr>
      <w:r>
        <w:rPr>
          <w:rFonts w:ascii="仿宋_GB2312" w:hAnsi="仿宋_GB2312" w:eastAsia="仿宋_GB2312"/>
          <w:b w:val="0"/>
          <w:sz w:val="32"/>
        </w:rPr>
        <w:t>六、《一般公共预算财政拨款基本支出决算表》</w:t>
      </w:r>
    </w:p>
    <w:p w14:paraId="2C001283">
      <w:pPr>
        <w:spacing w:line="240" w:lineRule="auto"/>
        <w:ind w:firstLine="640"/>
        <w:jc w:val="both"/>
      </w:pPr>
      <w:r>
        <w:rPr>
          <w:rFonts w:ascii="仿宋_GB2312" w:hAnsi="仿宋_GB2312" w:eastAsia="仿宋_GB2312"/>
          <w:b w:val="0"/>
          <w:sz w:val="32"/>
        </w:rPr>
        <w:t>七、《政府性基金预算财政拨款收入支出决算表》</w:t>
      </w:r>
    </w:p>
    <w:p w14:paraId="3F45812F">
      <w:pPr>
        <w:spacing w:line="240" w:lineRule="auto"/>
        <w:ind w:firstLine="640"/>
        <w:jc w:val="both"/>
      </w:pPr>
      <w:r>
        <w:rPr>
          <w:rFonts w:ascii="仿宋_GB2312" w:hAnsi="仿宋_GB2312" w:eastAsia="仿宋_GB2312"/>
          <w:b w:val="0"/>
          <w:sz w:val="32"/>
        </w:rPr>
        <w:t>八、《国有资本经营预算财政拨款收入支出决算表》</w:t>
      </w:r>
    </w:p>
    <w:p w14:paraId="5EBD2DB1">
      <w:pPr>
        <w:spacing w:line="240" w:lineRule="auto"/>
        <w:ind w:firstLine="640"/>
        <w:jc w:val="both"/>
      </w:pPr>
      <w:r>
        <w:rPr>
          <w:rFonts w:ascii="仿宋_GB2312" w:hAnsi="仿宋_GB2312" w:eastAsia="仿宋_GB2312"/>
          <w:b w:val="0"/>
          <w:sz w:val="32"/>
        </w:rPr>
        <w:t>九、《财政拨款“三公”经费支出决算表》</w:t>
      </w:r>
    </w:p>
    <w:p w14:paraId="4F3C3E7E">
      <w:pPr>
        <w:spacing w:line="240" w:lineRule="auto"/>
        <w:ind w:firstLine="640"/>
        <w:jc w:val="both"/>
      </w:pPr>
    </w:p>
    <w:p w14:paraId="682F5F5A">
      <w:pPr>
        <w:spacing w:line="240" w:lineRule="auto"/>
        <w:ind w:firstLine="640"/>
        <w:jc w:val="both"/>
      </w:pPr>
    </w:p>
    <w:p w14:paraId="16A30BD6">
      <w:pPr>
        <w:spacing w:line="240" w:lineRule="auto"/>
        <w:ind w:firstLine="640"/>
        <w:jc w:val="both"/>
      </w:pPr>
    </w:p>
    <w:p w14:paraId="35902B8F">
      <w:pPr>
        <w:spacing w:line="240" w:lineRule="auto"/>
        <w:ind w:firstLine="640"/>
        <w:jc w:val="both"/>
      </w:pPr>
    </w:p>
    <w:p w14:paraId="0E72E0C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418D404-ED4F-449F-85CD-2162A3CB0F3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0F9734A-1F23-4190-B22D-69A6379518E6}"/>
  </w:font>
  <w:font w:name="仿宋_GB2312">
    <w:panose1 w:val="02010609030101010101"/>
    <w:charset w:val="86"/>
    <w:family w:val="modern"/>
    <w:pitch w:val="default"/>
    <w:sig w:usb0="00000001" w:usb1="080E0000" w:usb2="00000000" w:usb3="00000000" w:csb0="00040000" w:csb1="00000000"/>
    <w:embedRegular r:id="rId3" w:fontKey="{72E37CAE-5D64-467E-B4DE-ACB3316F450E}"/>
  </w:font>
  <w:font w:name="楷体_GB2312">
    <w:panose1 w:val="02010609030101010101"/>
    <w:charset w:val="86"/>
    <w:family w:val="auto"/>
    <w:pitch w:val="default"/>
    <w:sig w:usb0="00000001" w:usb1="080E0000" w:usb2="00000000" w:usb3="00000000" w:csb0="00040000" w:csb1="00000000"/>
    <w:embedRegular r:id="rId4" w:fontKey="{82AE7B9D-F9B3-4B42-8023-2E933D13FB7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DE20F4"/>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2D09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5651</Words>
  <Characters>6395</Characters>
  <Lines>0</Lines>
  <Paragraphs>0</Paragraphs>
  <TotalTime>3</TotalTime>
  <ScaleCrop>false</ScaleCrop>
  <LinksUpToDate>false</LinksUpToDate>
  <CharactersWithSpaces>6405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