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中共岳普湖县委政法委员会2024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22BFCCA">
      <w:r>
        <w:br w:type="page"/>
      </w:r>
    </w:p>
    <w:p w14:paraId="7A5D9B85">
      <w:pPr>
        <w:spacing w:line="640" w:lineRule="exact"/>
        <w:jc w:val="center"/>
        <w:outlineLvl w:val="1"/>
      </w:pPr>
      <w:r>
        <w:rPr>
          <w:rFonts w:ascii="黑体" w:hAnsi="黑体" w:eastAsia="黑体"/>
          <w:sz w:val="32"/>
        </w:rPr>
        <w:t>第一部分 单位概况</w:t>
      </w:r>
    </w:p>
    <w:p w14:paraId="45C7A3D5">
      <w:pPr>
        <w:spacing w:line="640" w:lineRule="exact"/>
        <w:ind w:firstLine="640"/>
        <w:jc w:val="both"/>
        <w:outlineLvl w:val="2"/>
      </w:pPr>
      <w:r>
        <w:rPr>
          <w:rFonts w:ascii="黑体" w:hAnsi="黑体" w:eastAsia="黑体"/>
          <w:sz w:val="32"/>
        </w:rPr>
        <w:t>一、主要职能</w:t>
      </w:r>
    </w:p>
    <w:p w14:paraId="21FB91CF">
      <w:pPr>
        <w:spacing w:line="580" w:lineRule="exact"/>
        <w:ind w:firstLine="640"/>
        <w:jc w:val="both"/>
      </w:pPr>
      <w:r>
        <w:rPr>
          <w:rFonts w:hint="eastAsia" w:ascii="仿宋_GB2312" w:hAnsi="仿宋_GB2312" w:eastAsia="仿宋_GB2312"/>
          <w:sz w:val="32"/>
          <w:lang w:val="en-US" w:eastAsia="zh-CN"/>
        </w:rPr>
        <w:t>本</w:t>
      </w:r>
      <w:r>
        <w:rPr>
          <w:rFonts w:ascii="仿宋_GB2312" w:hAnsi="仿宋_GB2312" w:eastAsia="仿宋_GB2312"/>
          <w:sz w:val="32"/>
        </w:rPr>
        <w:t>单位主要职能情况不予公开。</w:t>
      </w:r>
    </w:p>
    <w:p w14:paraId="6E54DF96">
      <w:pPr>
        <w:spacing w:line="640" w:lineRule="exact"/>
        <w:ind w:firstLine="640"/>
        <w:jc w:val="both"/>
        <w:outlineLvl w:val="2"/>
      </w:pPr>
      <w:r>
        <w:rPr>
          <w:rFonts w:ascii="黑体" w:hAnsi="黑体" w:eastAsia="黑体"/>
          <w:sz w:val="32"/>
        </w:rPr>
        <w:t>二、机构设置及人员情况</w:t>
      </w:r>
    </w:p>
    <w:p w14:paraId="56869904">
      <w:pPr>
        <w:spacing w:line="580" w:lineRule="exact"/>
        <w:ind w:firstLine="640"/>
        <w:jc w:val="both"/>
      </w:pPr>
      <w:r>
        <w:rPr>
          <w:rFonts w:ascii="仿宋_GB2312" w:hAnsi="仿宋_GB2312" w:eastAsia="仿宋_GB2312"/>
          <w:sz w:val="32"/>
        </w:rPr>
        <w:t>中共岳普湖县委政法委员会2024年度，实有人数36人，其中：在职人员28人，减少3人；离休人员0人，增加0人；退休人员8人,增加1人。</w:t>
      </w:r>
    </w:p>
    <w:p w14:paraId="7ECA4FD0">
      <w:pPr>
        <w:spacing w:line="580" w:lineRule="exact"/>
        <w:ind w:firstLine="640"/>
        <w:jc w:val="both"/>
      </w:pPr>
      <w:r>
        <w:rPr>
          <w:rFonts w:ascii="仿宋_GB2312" w:hAnsi="仿宋_GB2312" w:eastAsia="仿宋_GB2312"/>
          <w:sz w:val="32"/>
        </w:rPr>
        <w:t>中共岳普湖县委政法委员会无下属预算单位，下设4个科室，分别是：综合督导室、行政办公室、财务室、副书记办公室。</w:t>
      </w:r>
    </w:p>
    <w:p w14:paraId="32092BA2">
      <w:r>
        <w:br w:type="page"/>
      </w:r>
    </w:p>
    <w:p w14:paraId="68050B9E">
      <w:pPr>
        <w:spacing w:line="240" w:lineRule="auto"/>
        <w:jc w:val="center"/>
        <w:outlineLvl w:val="1"/>
      </w:pPr>
      <w:r>
        <w:rPr>
          <w:rFonts w:ascii="黑体" w:hAnsi="黑体" w:eastAsia="黑体"/>
          <w:sz w:val="32"/>
        </w:rPr>
        <w:t>第二部分 部门决算情况说明</w:t>
      </w:r>
    </w:p>
    <w:p w14:paraId="65116C5F">
      <w:pPr>
        <w:spacing w:line="640" w:lineRule="exact"/>
        <w:ind w:firstLine="640"/>
        <w:jc w:val="both"/>
        <w:outlineLvl w:val="2"/>
      </w:pPr>
      <w:r>
        <w:rPr>
          <w:rFonts w:ascii="黑体" w:hAnsi="黑体" w:eastAsia="黑体"/>
          <w:sz w:val="32"/>
        </w:rPr>
        <w:t>一、收入支出决算总体情况说明</w:t>
      </w:r>
    </w:p>
    <w:p w14:paraId="44596BE4">
      <w:pPr>
        <w:spacing w:line="580" w:lineRule="exact"/>
        <w:ind w:firstLine="640"/>
        <w:jc w:val="both"/>
      </w:pPr>
      <w:r>
        <w:rPr>
          <w:rFonts w:ascii="仿宋_GB2312" w:hAnsi="仿宋_GB2312" w:eastAsia="仿宋_GB2312"/>
          <w:b/>
          <w:sz w:val="32"/>
        </w:rPr>
        <w:t>2024年度收入总计1,979.97万元，</w:t>
      </w:r>
      <w:r>
        <w:rPr>
          <w:rFonts w:ascii="仿宋_GB2312" w:hAnsi="仿宋_GB2312" w:eastAsia="仿宋_GB2312"/>
          <w:b w:val="0"/>
          <w:sz w:val="32"/>
        </w:rPr>
        <w:t>其中：本年收入合计1,979.97万元，使用非财政拨款结余（含专用结余）0.00万元，年初结转和结余0.00万元。</w:t>
      </w:r>
    </w:p>
    <w:p w14:paraId="05290880">
      <w:pPr>
        <w:spacing w:line="580" w:lineRule="exact"/>
        <w:ind w:firstLine="640"/>
        <w:jc w:val="both"/>
      </w:pPr>
      <w:r>
        <w:rPr>
          <w:rFonts w:ascii="仿宋_GB2312" w:hAnsi="仿宋_GB2312" w:eastAsia="仿宋_GB2312"/>
          <w:b/>
          <w:sz w:val="32"/>
        </w:rPr>
        <w:t>2024年度支出总计1,979.97万元，</w:t>
      </w:r>
      <w:r>
        <w:rPr>
          <w:rFonts w:ascii="仿宋_GB2312" w:hAnsi="仿宋_GB2312" w:eastAsia="仿宋_GB2312"/>
          <w:b w:val="0"/>
          <w:sz w:val="32"/>
        </w:rPr>
        <w:t>其中：本年支出合计1,979.97万元，结余分配0.00万元，年末结转和结余0.00万元。</w:t>
      </w:r>
    </w:p>
    <w:p w14:paraId="15537F9D">
      <w:pPr>
        <w:spacing w:line="580" w:lineRule="exact"/>
        <w:ind w:firstLine="640"/>
        <w:jc w:val="both"/>
      </w:pPr>
      <w:r>
        <w:rPr>
          <w:rFonts w:ascii="仿宋_GB2312" w:hAnsi="仿宋_GB2312" w:eastAsia="仿宋_GB2312"/>
          <w:b w:val="0"/>
          <w:sz w:val="32"/>
        </w:rPr>
        <w:t>收入支出总体与上年相比，增加510.27万元，增长34.72%，主要原因是：本年增加岳普湖县移动联通、移动网络费；本年业务信息费用较上年增加。</w:t>
      </w:r>
    </w:p>
    <w:p w14:paraId="2250C84B">
      <w:pPr>
        <w:spacing w:line="640" w:lineRule="exact"/>
        <w:ind w:firstLine="640"/>
        <w:jc w:val="both"/>
        <w:outlineLvl w:val="2"/>
      </w:pPr>
      <w:r>
        <w:rPr>
          <w:rFonts w:ascii="黑体" w:hAnsi="黑体" w:eastAsia="黑体"/>
          <w:sz w:val="32"/>
        </w:rPr>
        <w:t>二、收入决算情况说明</w:t>
      </w:r>
    </w:p>
    <w:p w14:paraId="2CF3990E">
      <w:pPr>
        <w:spacing w:line="580" w:lineRule="exact"/>
        <w:ind w:firstLine="640"/>
        <w:jc w:val="both"/>
      </w:pPr>
      <w:r>
        <w:rPr>
          <w:rFonts w:ascii="仿宋_GB2312" w:hAnsi="仿宋_GB2312" w:eastAsia="仿宋_GB2312"/>
          <w:b/>
          <w:sz w:val="32"/>
        </w:rPr>
        <w:t>本年收入1,979.97万元，</w:t>
      </w:r>
      <w:r>
        <w:rPr>
          <w:rFonts w:ascii="仿宋_GB2312" w:hAnsi="仿宋_GB2312" w:eastAsia="仿宋_GB2312"/>
          <w:b w:val="0"/>
          <w:sz w:val="32"/>
        </w:rPr>
        <w:t>其中：财政拨款收入1,880.28万元，占94.97%；上级补助收入0.00万元，占0.00%；事业收入0.00万元，占0.00%；经营收入0.00万元，占0.00%；附属单位上缴收入0.00万元，占0.00%；其他收入99.70万元，占5.04%。</w:t>
      </w:r>
    </w:p>
    <w:p w14:paraId="1A13262D">
      <w:pPr>
        <w:spacing w:line="640" w:lineRule="exact"/>
        <w:ind w:firstLine="640"/>
        <w:jc w:val="both"/>
        <w:outlineLvl w:val="2"/>
      </w:pPr>
      <w:r>
        <w:rPr>
          <w:rFonts w:ascii="黑体" w:hAnsi="黑体" w:eastAsia="黑体"/>
          <w:sz w:val="32"/>
        </w:rPr>
        <w:t>三、支出决算情况说明</w:t>
      </w:r>
    </w:p>
    <w:p w14:paraId="495B5097">
      <w:pPr>
        <w:spacing w:line="580" w:lineRule="exact"/>
        <w:ind w:firstLine="640"/>
        <w:jc w:val="both"/>
      </w:pPr>
      <w:r>
        <w:rPr>
          <w:rFonts w:ascii="仿宋_GB2312" w:hAnsi="仿宋_GB2312" w:eastAsia="仿宋_GB2312"/>
          <w:b/>
          <w:sz w:val="32"/>
        </w:rPr>
        <w:t>本年支出1,979.97万元，</w:t>
      </w:r>
      <w:r>
        <w:rPr>
          <w:rFonts w:ascii="仿宋_GB2312" w:hAnsi="仿宋_GB2312" w:eastAsia="仿宋_GB2312"/>
          <w:b w:val="0"/>
          <w:sz w:val="32"/>
        </w:rPr>
        <w:t>其中：基本支出565.58万元，占28.57%；项目支出1,414.40万元，占71.44%；上缴上级支出0.00万元，占0.00%；经营支出0.00万元，占0.00%；对附属单位补助支出0.00万元，占0.00%。</w:t>
      </w:r>
    </w:p>
    <w:p w14:paraId="493AFF21">
      <w:pPr>
        <w:spacing w:line="640" w:lineRule="exact"/>
        <w:ind w:firstLine="640"/>
        <w:jc w:val="both"/>
        <w:outlineLvl w:val="2"/>
      </w:pPr>
      <w:r>
        <w:rPr>
          <w:rFonts w:ascii="黑体" w:hAnsi="黑体" w:eastAsia="黑体"/>
          <w:sz w:val="32"/>
        </w:rPr>
        <w:t>四、财政拨款收入支出决算总体情况说明</w:t>
      </w:r>
    </w:p>
    <w:p w14:paraId="50529473">
      <w:pPr>
        <w:spacing w:line="580" w:lineRule="exact"/>
        <w:ind w:firstLine="640"/>
        <w:jc w:val="both"/>
      </w:pPr>
      <w:r>
        <w:rPr>
          <w:rFonts w:ascii="仿宋_GB2312" w:hAnsi="仿宋_GB2312" w:eastAsia="仿宋_GB2312"/>
          <w:b/>
          <w:sz w:val="32"/>
        </w:rPr>
        <w:t>2024年度财政拨款收入总计1,880.28万元，</w:t>
      </w:r>
      <w:r>
        <w:rPr>
          <w:rFonts w:ascii="仿宋_GB2312" w:hAnsi="仿宋_GB2312" w:eastAsia="仿宋_GB2312"/>
          <w:b w:val="0"/>
          <w:sz w:val="32"/>
        </w:rPr>
        <w:t>其中：年初财政拨款结转和结余0.00万元，本年财政拨款收入1,880.28万元。</w:t>
      </w:r>
      <w:r>
        <w:rPr>
          <w:rFonts w:ascii="仿宋_GB2312" w:hAnsi="仿宋_GB2312" w:eastAsia="仿宋_GB2312"/>
          <w:b/>
          <w:sz w:val="32"/>
        </w:rPr>
        <w:t>财政拨款支出总计1,880.28万元，</w:t>
      </w:r>
      <w:r>
        <w:rPr>
          <w:rFonts w:ascii="仿宋_GB2312" w:hAnsi="仿宋_GB2312" w:eastAsia="仿宋_GB2312"/>
          <w:b w:val="0"/>
          <w:sz w:val="32"/>
        </w:rPr>
        <w:t>其中：年末财政拨款结转和结余0.00万元，本年财政拨款支出1,880.28万元。</w:t>
      </w:r>
    </w:p>
    <w:p w14:paraId="53B7AC0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增加476.33万元，增长33.93%，主要原因是：本年增加岳普湖县移动联通、移动网络费项目。</w:t>
      </w:r>
      <w:r>
        <w:rPr>
          <w:rFonts w:ascii="仿宋_GB2312" w:hAnsi="仿宋_GB2312" w:eastAsia="仿宋_GB2312"/>
          <w:b/>
          <w:sz w:val="32"/>
        </w:rPr>
        <w:t>与年初预算相比，</w:t>
      </w:r>
      <w:r>
        <w:rPr>
          <w:rFonts w:ascii="仿宋_GB2312" w:hAnsi="仿宋_GB2312" w:eastAsia="仿宋_GB2312"/>
          <w:b w:val="0"/>
          <w:sz w:val="32"/>
        </w:rPr>
        <w:t>年初预算数1,915.63万元，决算数1,880.28万元，预决算差异率-1.85%，主要原因是：年中调减岳普湖县AZ教育学校监控改造项目、岳普湖县工业园区二期监控项目、岳普湖县雪亮工程项目资金，导致预决算存在差异。</w:t>
      </w:r>
    </w:p>
    <w:p w14:paraId="5E2AD0AC">
      <w:pPr>
        <w:spacing w:line="640" w:lineRule="exact"/>
        <w:ind w:firstLine="640"/>
        <w:jc w:val="both"/>
        <w:outlineLvl w:val="2"/>
      </w:pPr>
      <w:r>
        <w:rPr>
          <w:rFonts w:ascii="黑体" w:hAnsi="黑体" w:eastAsia="黑体"/>
          <w:sz w:val="32"/>
        </w:rPr>
        <w:t>五、一般公共预算财政拨款支出决算情况说明</w:t>
      </w:r>
    </w:p>
    <w:p w14:paraId="437F9A39">
      <w:pPr>
        <w:spacing w:line="640" w:lineRule="exact"/>
        <w:ind w:firstLine="640"/>
        <w:jc w:val="both"/>
        <w:outlineLvl w:val="3"/>
      </w:pPr>
      <w:r>
        <w:rPr>
          <w:rFonts w:ascii="楷体_GB2312" w:hAnsi="楷体_GB2312" w:eastAsia="楷体_GB2312"/>
          <w:b/>
          <w:sz w:val="32"/>
        </w:rPr>
        <w:t>（一）一般公共预算财政拨款支出决算总体情况</w:t>
      </w:r>
    </w:p>
    <w:p w14:paraId="0269B266">
      <w:pPr>
        <w:spacing w:line="580" w:lineRule="exact"/>
        <w:ind w:firstLine="640"/>
        <w:jc w:val="both"/>
      </w:pPr>
      <w:r>
        <w:rPr>
          <w:rFonts w:ascii="仿宋_GB2312" w:hAnsi="仿宋_GB2312" w:eastAsia="仿宋_GB2312"/>
          <w:b/>
          <w:sz w:val="32"/>
        </w:rPr>
        <w:t>2024年度一般公共预算财政拨款支出1,880.28万元，</w:t>
      </w:r>
      <w:r>
        <w:rPr>
          <w:rFonts w:ascii="仿宋_GB2312" w:hAnsi="仿宋_GB2312" w:eastAsia="仿宋_GB2312"/>
          <w:b w:val="0"/>
          <w:sz w:val="32"/>
        </w:rPr>
        <w:t>占本年支出合计的94.97%。</w:t>
      </w:r>
      <w:r>
        <w:rPr>
          <w:rFonts w:ascii="仿宋_GB2312" w:hAnsi="仿宋_GB2312" w:eastAsia="仿宋_GB2312"/>
          <w:b/>
          <w:sz w:val="32"/>
        </w:rPr>
        <w:t>与上年相比，</w:t>
      </w:r>
      <w:r>
        <w:rPr>
          <w:rFonts w:ascii="仿宋_GB2312" w:hAnsi="仿宋_GB2312" w:eastAsia="仿宋_GB2312"/>
          <w:b w:val="0"/>
          <w:sz w:val="32"/>
        </w:rPr>
        <w:t>增加476.33万元，增长33.93%，主要原因是：本年增加岳普湖县移动联通、移动网络费项目。</w:t>
      </w:r>
      <w:r>
        <w:rPr>
          <w:rFonts w:ascii="仿宋_GB2312" w:hAnsi="仿宋_GB2312" w:eastAsia="仿宋_GB2312"/>
          <w:b/>
          <w:sz w:val="32"/>
        </w:rPr>
        <w:t>与年初预算相比,</w:t>
      </w:r>
      <w:r>
        <w:rPr>
          <w:rFonts w:ascii="仿宋_GB2312" w:hAnsi="仿宋_GB2312" w:eastAsia="仿宋_GB2312"/>
          <w:b w:val="0"/>
          <w:sz w:val="32"/>
        </w:rPr>
        <w:t>年初预算数1,915.63万元，决算数1,880.28万元，预决算差异率-1.85%，主要原因是：年中调减岳普湖县AZ教育学校监控改造项目、岳普湖县工业园区二期监控项目、岳普湖县雪亮工程项目资金，导致预决算存在差异。</w:t>
      </w:r>
    </w:p>
    <w:p w14:paraId="3C57622C">
      <w:pPr>
        <w:spacing w:line="640" w:lineRule="exact"/>
        <w:ind w:firstLine="640"/>
        <w:jc w:val="both"/>
        <w:outlineLvl w:val="3"/>
      </w:pPr>
      <w:r>
        <w:rPr>
          <w:rFonts w:ascii="楷体_GB2312" w:hAnsi="楷体_GB2312" w:eastAsia="楷体_GB2312"/>
          <w:b/>
          <w:sz w:val="32"/>
        </w:rPr>
        <w:t>（二）一般公共预算财政拨款支出决算结构情况</w:t>
      </w:r>
    </w:p>
    <w:p w14:paraId="66B2A23D">
      <w:pPr>
        <w:spacing w:line="580" w:lineRule="exact"/>
        <w:ind w:firstLine="640"/>
        <w:jc w:val="both"/>
      </w:pPr>
      <w:r>
        <w:rPr>
          <w:rFonts w:ascii="仿宋_GB2312" w:hAnsi="仿宋_GB2312" w:eastAsia="仿宋_GB2312"/>
          <w:b w:val="0"/>
          <w:sz w:val="32"/>
        </w:rPr>
        <w:t>1.一般公共服务支出(类)1,743.17万元,占92.71%。</w:t>
      </w:r>
    </w:p>
    <w:p w14:paraId="232A9A43">
      <w:pPr>
        <w:spacing w:line="580" w:lineRule="exact"/>
        <w:ind w:firstLine="640"/>
        <w:jc w:val="both"/>
      </w:pPr>
      <w:r>
        <w:rPr>
          <w:rFonts w:ascii="仿宋_GB2312" w:hAnsi="仿宋_GB2312" w:eastAsia="仿宋_GB2312"/>
          <w:b w:val="0"/>
          <w:sz w:val="32"/>
        </w:rPr>
        <w:t>2.社会保障和就业支出(类)74.56万元,占3.97%。</w:t>
      </w:r>
    </w:p>
    <w:p w14:paraId="07808DCD">
      <w:pPr>
        <w:spacing w:line="580" w:lineRule="exact"/>
        <w:ind w:firstLine="640"/>
        <w:jc w:val="both"/>
      </w:pPr>
      <w:r>
        <w:rPr>
          <w:rFonts w:ascii="仿宋_GB2312" w:hAnsi="仿宋_GB2312" w:eastAsia="仿宋_GB2312"/>
          <w:b w:val="0"/>
          <w:sz w:val="32"/>
        </w:rPr>
        <w:t>3.卫生健康支出(类)23.37万元,占1.24%。</w:t>
      </w:r>
    </w:p>
    <w:p w14:paraId="6F8AFEE8">
      <w:pPr>
        <w:spacing w:line="580" w:lineRule="exact"/>
        <w:ind w:firstLine="640"/>
        <w:jc w:val="both"/>
      </w:pPr>
      <w:r>
        <w:rPr>
          <w:rFonts w:ascii="仿宋_GB2312" w:hAnsi="仿宋_GB2312" w:eastAsia="仿宋_GB2312"/>
          <w:b w:val="0"/>
          <w:sz w:val="32"/>
        </w:rPr>
        <w:t>4.住房保障支出(类)39.18万元,占2.08%。</w:t>
      </w:r>
    </w:p>
    <w:p w14:paraId="6D42B737">
      <w:pPr>
        <w:spacing w:line="640" w:lineRule="exact"/>
        <w:ind w:firstLine="640"/>
        <w:jc w:val="both"/>
        <w:outlineLvl w:val="3"/>
      </w:pPr>
      <w:r>
        <w:rPr>
          <w:rFonts w:ascii="楷体_GB2312" w:hAnsi="楷体_GB2312" w:eastAsia="楷体_GB2312"/>
          <w:b/>
          <w:sz w:val="32"/>
        </w:rPr>
        <w:t>（三）一般公共预算财政拨款支出决算具体情况</w:t>
      </w:r>
    </w:p>
    <w:p w14:paraId="05AE1DD6">
      <w:pPr>
        <w:spacing w:line="580" w:lineRule="exact"/>
        <w:ind w:firstLine="640"/>
        <w:jc w:val="both"/>
        <w:rPr>
          <w:rFonts w:hint="default" w:eastAsia="仿宋_GB2312"/>
          <w:lang w:val="en-US" w:eastAsia="zh-CN"/>
        </w:rPr>
      </w:pPr>
      <w:r>
        <w:rPr>
          <w:rFonts w:ascii="仿宋_GB2312" w:hAnsi="仿宋_GB2312" w:eastAsia="仿宋_GB2312"/>
          <w:b w:val="0"/>
          <w:sz w:val="32"/>
        </w:rPr>
        <w:t>1.一般公共服务支出(类)党委办公厅（室）及相关机构事务(款)行政运行(项):支出决算数为428.47万元，比上年决算减少73.78万元，下降14.69%,主要原因是：本年在职人员减少，相应人员经费较上年减少。</w:t>
      </w:r>
      <w:r>
        <w:rPr>
          <w:rFonts w:hint="eastAsia" w:ascii="仿宋_GB2312" w:hAnsi="仿宋_GB2312" w:eastAsia="仿宋_GB2312"/>
          <w:b w:val="0"/>
          <w:sz w:val="32"/>
          <w:lang w:val="en-US" w:eastAsia="zh-CN"/>
        </w:rPr>
        <w:t>本年减少办公费、取暖费等经费，相关支出减少。</w:t>
      </w:r>
    </w:p>
    <w:p w14:paraId="1A39BF8D">
      <w:pPr>
        <w:spacing w:line="580" w:lineRule="exact"/>
        <w:ind w:firstLine="640"/>
        <w:jc w:val="both"/>
      </w:pPr>
      <w:r>
        <w:rPr>
          <w:rFonts w:ascii="仿宋_GB2312" w:hAnsi="仿宋_GB2312" w:eastAsia="仿宋_GB2312"/>
          <w:b w:val="0"/>
          <w:sz w:val="32"/>
        </w:rPr>
        <w:t>2.一般公共服务支出(类)党委办公厅（室）及相关机构事务(款)其他党委办公厅（室）及相关机构事务支出(项):支出决算数为1,314.70万元，比上年决算增加596.33万元，增长83.01%,主要原因是：本年增加岳普湖县移动联通、移动网络费。</w:t>
      </w:r>
    </w:p>
    <w:p w14:paraId="1FF9BFD7">
      <w:pPr>
        <w:spacing w:line="580" w:lineRule="exact"/>
        <w:ind w:firstLine="640"/>
        <w:jc w:val="both"/>
      </w:pPr>
      <w:r>
        <w:rPr>
          <w:rFonts w:ascii="仿宋_GB2312" w:hAnsi="仿宋_GB2312" w:eastAsia="仿宋_GB2312"/>
          <w:b w:val="0"/>
          <w:sz w:val="32"/>
        </w:rPr>
        <w:t>3.科学技术支出(类)技术研究与开发(款)其他技术研究与开发支出(项):支出决算数为0.00万元，比上年决算减少31.61万元，下降100.00%,主要原因是：本年减少岳普湖县视联网维保项目。</w:t>
      </w:r>
    </w:p>
    <w:p w14:paraId="32DC509C">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4.社会保障和就业支出(类)行政事业单位养老支出(款)行政单位离退休(项):支出决算数为9.87万元，比上年决算增加3.85万元，增长63.95%,主要原因是：本年退休人员增加，增加退休人员基础绩效奖，退休费支出增加。</w:t>
      </w:r>
    </w:p>
    <w:p w14:paraId="54602074">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48.07万元，比上年决算减少2.10万元，下降4.19%,主要原因是：本年在职人员减少，单位基本养老保险缴费较上年减少。</w:t>
      </w:r>
    </w:p>
    <w:p w14:paraId="309A004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16.62万元，比上年决算减少11.36万元，下降40.60%,主要原因是：本年新增退休人员较上年减少，职业年金缴费较上年减少。</w:t>
      </w:r>
    </w:p>
    <w:p w14:paraId="1ABC1E68">
      <w:pPr>
        <w:spacing w:line="580" w:lineRule="exact"/>
        <w:ind w:firstLine="640"/>
        <w:jc w:val="both"/>
      </w:pPr>
      <w:r>
        <w:rPr>
          <w:rFonts w:ascii="仿宋_GB2312" w:hAnsi="仿宋_GB2312" w:eastAsia="仿宋_GB2312"/>
          <w:b w:val="0"/>
          <w:sz w:val="32"/>
        </w:rPr>
        <w:t>7.卫生健康支出(类)行政事业单位医疗(款)行政单位医疗(项):支出决算数为20.99万元，比上年决算减少3.00万元，下降12.51%,主要原因是：本年在职人员减少，行政单位医疗支出较上年减少。</w:t>
      </w:r>
    </w:p>
    <w:p w14:paraId="2E8ED29B">
      <w:pPr>
        <w:spacing w:line="580" w:lineRule="exact"/>
        <w:ind w:firstLine="640"/>
        <w:jc w:val="both"/>
      </w:pPr>
      <w:r>
        <w:rPr>
          <w:rFonts w:ascii="仿宋_GB2312" w:hAnsi="仿宋_GB2312" w:eastAsia="仿宋_GB2312"/>
          <w:b w:val="0"/>
          <w:sz w:val="32"/>
        </w:rPr>
        <w:t>8.卫生健康支出(类)行政事业单位医疗(款)公务员医疗补助(项):支出决算数为2.38万元，比上年决算减少1.07万元，下降31.01%,主要原因是：本年在职人员减少，公务员医疗补助较上年减少。</w:t>
      </w:r>
    </w:p>
    <w:p w14:paraId="318B527D">
      <w:pPr>
        <w:spacing w:line="580" w:lineRule="exact"/>
        <w:ind w:firstLine="640"/>
        <w:jc w:val="both"/>
      </w:pPr>
      <w:r>
        <w:rPr>
          <w:rFonts w:ascii="仿宋_GB2312" w:hAnsi="仿宋_GB2312" w:eastAsia="仿宋_GB2312"/>
          <w:b w:val="0"/>
          <w:sz w:val="32"/>
        </w:rPr>
        <w:t>9.住房保障支出(类)住房改革支出(款)住房公积金(项):支出决算数为39.18万元，比上年决算减少0.93万元，下降2.32%,主要原因是：本年在职人员减少，住房公积金缴费较上年减少。</w:t>
      </w:r>
    </w:p>
    <w:p w14:paraId="0B735657">
      <w:pPr>
        <w:spacing w:line="640" w:lineRule="exact"/>
        <w:ind w:firstLine="640"/>
        <w:jc w:val="both"/>
        <w:outlineLvl w:val="2"/>
      </w:pPr>
      <w:r>
        <w:rPr>
          <w:rFonts w:ascii="黑体" w:hAnsi="黑体" w:eastAsia="黑体"/>
          <w:sz w:val="32"/>
        </w:rPr>
        <w:t>六、一般公共预算财政拨款基本支出决算情况说明</w:t>
      </w:r>
    </w:p>
    <w:p w14:paraId="5B3AFE8A">
      <w:pPr>
        <w:spacing w:line="580" w:lineRule="exact"/>
        <w:ind w:firstLine="640"/>
        <w:jc w:val="both"/>
      </w:pPr>
      <w:r>
        <w:rPr>
          <w:rFonts w:ascii="仿宋_GB2312" w:hAnsi="仿宋_GB2312" w:eastAsia="仿宋_GB2312"/>
          <w:b w:val="0"/>
          <w:sz w:val="32"/>
        </w:rPr>
        <w:t>2024年度一般公共预算财政拨款基本支出565.58万元，其中：</w:t>
      </w:r>
      <w:r>
        <w:rPr>
          <w:rFonts w:ascii="仿宋_GB2312" w:hAnsi="仿宋_GB2312" w:eastAsia="仿宋_GB2312"/>
          <w:b/>
          <w:sz w:val="32"/>
        </w:rPr>
        <w:t>人员经费503.34万元，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w:t>
      </w:r>
    </w:p>
    <w:p w14:paraId="7CC4B269">
      <w:pPr>
        <w:spacing w:line="580" w:lineRule="exact"/>
        <w:ind w:firstLine="640"/>
        <w:jc w:val="both"/>
      </w:pPr>
      <w:r>
        <w:rPr>
          <w:rFonts w:ascii="仿宋_GB2312" w:hAnsi="仿宋_GB2312" w:eastAsia="仿宋_GB2312"/>
          <w:b/>
          <w:sz w:val="32"/>
        </w:rPr>
        <w:t>公用经费62.24万元，</w:t>
      </w:r>
      <w:r>
        <w:rPr>
          <w:rFonts w:ascii="仿宋_GB2312" w:hAnsi="仿宋_GB2312" w:eastAsia="仿宋_GB2312"/>
          <w:b w:val="0"/>
          <w:sz w:val="32"/>
        </w:rPr>
        <w:t>包括：办公费、水费、电费、邮电费、取暖费、物业管理费、差旅费、劳务费、公务用车运行维护费。</w:t>
      </w:r>
    </w:p>
    <w:p w14:paraId="3E37558C">
      <w:pPr>
        <w:spacing w:line="640" w:lineRule="exact"/>
        <w:ind w:firstLine="640"/>
        <w:jc w:val="both"/>
        <w:outlineLvl w:val="2"/>
      </w:pPr>
      <w:r>
        <w:rPr>
          <w:rFonts w:ascii="黑体" w:hAnsi="黑体" w:eastAsia="黑体"/>
          <w:sz w:val="32"/>
        </w:rPr>
        <w:t>七、政府性基金预算财政拨款收入支出决算情况说明</w:t>
      </w:r>
    </w:p>
    <w:p w14:paraId="4668BD9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01C12F8">
      <w:pPr>
        <w:spacing w:line="640" w:lineRule="exact"/>
        <w:ind w:firstLine="640"/>
        <w:jc w:val="both"/>
        <w:outlineLvl w:val="2"/>
      </w:pPr>
      <w:r>
        <w:rPr>
          <w:rFonts w:ascii="黑体" w:hAnsi="黑体" w:eastAsia="黑体"/>
          <w:sz w:val="32"/>
        </w:rPr>
        <w:t>八、国有资本经营预算财政拨款收入支出决算情况说明</w:t>
      </w:r>
    </w:p>
    <w:p w14:paraId="58A9221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F3CBE6">
      <w:pPr>
        <w:spacing w:line="640" w:lineRule="exact"/>
        <w:ind w:firstLine="640"/>
        <w:jc w:val="both"/>
        <w:outlineLvl w:val="2"/>
      </w:pPr>
      <w:r>
        <w:rPr>
          <w:rFonts w:ascii="黑体" w:hAnsi="黑体" w:eastAsia="黑体"/>
          <w:sz w:val="32"/>
        </w:rPr>
        <w:t>九、财政拨款“三公”经费支出决算情况说明</w:t>
      </w:r>
    </w:p>
    <w:p w14:paraId="13AEA89A">
      <w:pPr>
        <w:spacing w:line="580" w:lineRule="exact"/>
        <w:ind w:firstLine="640"/>
        <w:jc w:val="both"/>
      </w:pPr>
      <w:r>
        <w:rPr>
          <w:rFonts w:ascii="仿宋_GB2312" w:hAnsi="仿宋_GB2312" w:eastAsia="仿宋_GB2312"/>
          <w:b/>
          <w:sz w:val="32"/>
        </w:rPr>
        <w:t>2024年度财政拨款“三公”经费支出11.98万元，</w:t>
      </w:r>
      <w:r>
        <w:rPr>
          <w:rFonts w:ascii="仿宋_GB2312" w:hAnsi="仿宋_GB2312" w:eastAsia="仿宋_GB2312"/>
          <w:b w:val="0"/>
          <w:sz w:val="32"/>
        </w:rPr>
        <w:t>比上年增加8.98万元，增长299.33%，主要原因是：本年调剂调入公务用车，公务用车费较上年增加。其中：因公出国（境）费支出0.00万元，占0.00%，比上年增加0.00万元，增长0.00%，主要原因是：2023年与2024年均未安排因公出国（境）费支出。公务用车购置及运行维护费支出11.98万元，占100.00%，比上年增加8.98万元，增长299.33%，主要原因是：本年调剂调入公务用车，公务用车费较上年增加。公务接待费支出0.00万元，占0.00%，比上年增加0.00万元，增长0.00%，主要原因是：2023年与2024年均未安排公务接待费支出。</w:t>
      </w:r>
    </w:p>
    <w:p w14:paraId="146EEF40">
      <w:pPr>
        <w:spacing w:line="580" w:lineRule="exact"/>
        <w:ind w:firstLine="640"/>
        <w:jc w:val="both"/>
      </w:pPr>
      <w:r>
        <w:rPr>
          <w:rFonts w:ascii="仿宋_GB2312" w:hAnsi="仿宋_GB2312" w:eastAsia="仿宋_GB2312"/>
          <w:b/>
          <w:sz w:val="32"/>
        </w:rPr>
        <w:t>具体情况如下：</w:t>
      </w:r>
    </w:p>
    <w:p w14:paraId="6B4D319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98EA12">
      <w:pPr>
        <w:spacing w:line="580" w:lineRule="exact"/>
        <w:ind w:firstLine="640"/>
        <w:jc w:val="both"/>
      </w:pPr>
      <w:r>
        <w:rPr>
          <w:rFonts w:ascii="仿宋_GB2312" w:hAnsi="仿宋_GB2312" w:eastAsia="仿宋_GB2312"/>
          <w:b w:val="0"/>
          <w:sz w:val="32"/>
        </w:rPr>
        <w:t>公务用车购置及运行维护费11.98万元，其中：公务用车购置费0.00万元，公务用车运行维护费11.98万元。公务用车运行维护费开支内容包括车辆加油费、维修费、保险费、审车费、过路费等。公务用车购置数0辆，公务用车保有量6辆。国有资产占用情况中固定资产车辆15辆，与公务用车保有量差异原因是：差异车辆，借用给其他单位使用，车辆费用不在本单位支付。</w:t>
      </w:r>
    </w:p>
    <w:p w14:paraId="189990D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A6E7E8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11.98万元，决算数11.98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11.98万元，决算数11.98万元，预决算差异率0.00%，主要原因是：严格按照预算执行，预决算无差异。公务接待费全年预算数0.00万元，决算数0.00万元，预决算差异率0.00%，主要原因是：本单位无公务接待费。</w:t>
      </w:r>
    </w:p>
    <w:p w14:paraId="06382142">
      <w:pPr>
        <w:spacing w:line="640" w:lineRule="exact"/>
        <w:ind w:firstLine="640"/>
        <w:jc w:val="both"/>
        <w:outlineLvl w:val="2"/>
      </w:pPr>
      <w:r>
        <w:rPr>
          <w:rFonts w:ascii="黑体" w:hAnsi="黑体" w:eastAsia="黑体"/>
          <w:sz w:val="32"/>
        </w:rPr>
        <w:t>十、其他重要事项的情况说明</w:t>
      </w:r>
    </w:p>
    <w:p w14:paraId="153B50C8">
      <w:pPr>
        <w:spacing w:line="640" w:lineRule="exact"/>
        <w:ind w:firstLine="640"/>
        <w:jc w:val="both"/>
        <w:outlineLvl w:val="3"/>
      </w:pPr>
      <w:r>
        <w:rPr>
          <w:rFonts w:ascii="楷体_GB2312" w:hAnsi="楷体_GB2312" w:eastAsia="楷体_GB2312"/>
          <w:b/>
          <w:sz w:val="32"/>
        </w:rPr>
        <w:t>（一）机关运行经费及公用经费支出情况</w:t>
      </w:r>
    </w:p>
    <w:p w14:paraId="1215B245">
      <w:pPr>
        <w:spacing w:line="580" w:lineRule="exact"/>
        <w:ind w:firstLine="640"/>
        <w:jc w:val="both"/>
      </w:pPr>
      <w:r>
        <w:rPr>
          <w:rFonts w:ascii="仿宋_GB2312" w:hAnsi="仿宋_GB2312" w:eastAsia="仿宋_GB2312"/>
          <w:b w:val="0"/>
          <w:sz w:val="32"/>
        </w:rPr>
        <w:t>2024年度中共岳普湖县委政法委员会（行政单位和参照公务员法管理事业单位）机关运行经费支出62.24万元，比上年减少13.87万元，下降18.22%，主要原因是：本年减少</w:t>
      </w:r>
      <w:r>
        <w:rPr>
          <w:rFonts w:hint="eastAsia" w:ascii="仿宋_GB2312" w:hAnsi="仿宋_GB2312" w:eastAsia="仿宋_GB2312"/>
          <w:b w:val="0"/>
          <w:sz w:val="32"/>
          <w:lang w:val="en-US" w:eastAsia="zh-CN"/>
        </w:rPr>
        <w:t>办公费、</w:t>
      </w:r>
      <w:r>
        <w:rPr>
          <w:rFonts w:ascii="仿宋_GB2312" w:hAnsi="仿宋_GB2312" w:eastAsia="仿宋_GB2312"/>
          <w:b w:val="0"/>
          <w:sz w:val="32"/>
        </w:rPr>
        <w:t>暖气费</w:t>
      </w:r>
      <w:r>
        <w:rPr>
          <w:rFonts w:hint="eastAsia" w:ascii="仿宋_GB2312" w:hAnsi="仿宋_GB2312" w:eastAsia="仿宋_GB2312"/>
          <w:b w:val="0"/>
          <w:sz w:val="32"/>
          <w:lang w:val="en-US" w:eastAsia="zh-CN"/>
        </w:rPr>
        <w:t>等经费</w:t>
      </w:r>
      <w:r>
        <w:rPr>
          <w:rFonts w:ascii="仿宋_GB2312" w:hAnsi="仿宋_GB2312" w:eastAsia="仿宋_GB2312"/>
          <w:b w:val="0"/>
          <w:sz w:val="32"/>
        </w:rPr>
        <w:t>，导致机关运行经费减少。</w:t>
      </w:r>
    </w:p>
    <w:p w14:paraId="68A6D80B">
      <w:pPr>
        <w:spacing w:line="640" w:lineRule="exact"/>
        <w:ind w:firstLine="640"/>
        <w:jc w:val="both"/>
        <w:outlineLvl w:val="3"/>
      </w:pPr>
      <w:r>
        <w:rPr>
          <w:rFonts w:ascii="楷体_GB2312" w:hAnsi="楷体_GB2312" w:eastAsia="楷体_GB2312"/>
          <w:b/>
          <w:sz w:val="32"/>
        </w:rPr>
        <w:t>（二）政府采购情况</w:t>
      </w:r>
    </w:p>
    <w:p w14:paraId="65146EB0">
      <w:pPr>
        <w:spacing w:line="580" w:lineRule="exact"/>
        <w:ind w:firstLine="640"/>
        <w:jc w:val="both"/>
      </w:pPr>
      <w:r>
        <w:rPr>
          <w:rFonts w:ascii="仿宋_GB2312" w:hAnsi="仿宋_GB2312" w:eastAsia="仿宋_GB2312"/>
          <w:b w:val="0"/>
          <w:sz w:val="32"/>
        </w:rPr>
        <w:t>2024年度政府采购支出总额4.84万元，其中：政府采购货物支出0.00万元、政府采购工程支出0.00万元、政府采购服务支出4.84万元。</w:t>
      </w:r>
    </w:p>
    <w:p w14:paraId="611885C3">
      <w:pPr>
        <w:spacing w:line="580" w:lineRule="exact"/>
        <w:ind w:firstLine="640"/>
        <w:jc w:val="both"/>
      </w:pPr>
      <w:r>
        <w:rPr>
          <w:rFonts w:ascii="仿宋_GB2312" w:hAnsi="仿宋_GB2312" w:eastAsia="仿宋_GB2312"/>
          <w:b w:val="0"/>
          <w:sz w:val="32"/>
        </w:rPr>
        <w:t>授予中小企业合同金额4.84万元，占政府采购支出总额的100.00%，其中：授予小微企业合同金额4.84万元，占政府采购支出总额的100.00%。</w:t>
      </w:r>
    </w:p>
    <w:p w14:paraId="0EAC735C">
      <w:pPr>
        <w:spacing w:line="640" w:lineRule="exact"/>
        <w:ind w:firstLine="640"/>
        <w:jc w:val="both"/>
        <w:outlineLvl w:val="3"/>
      </w:pPr>
      <w:r>
        <w:rPr>
          <w:rFonts w:ascii="楷体_GB2312" w:hAnsi="楷体_GB2312" w:eastAsia="楷体_GB2312"/>
          <w:b/>
          <w:sz w:val="32"/>
        </w:rPr>
        <w:t>（三）国有资产占用情况说明</w:t>
      </w:r>
    </w:p>
    <w:p w14:paraId="7EAE4A66">
      <w:pPr>
        <w:spacing w:line="580" w:lineRule="exact"/>
        <w:ind w:firstLine="640"/>
        <w:jc w:val="both"/>
      </w:pPr>
      <w:r>
        <w:rPr>
          <w:rFonts w:ascii="仿宋_GB2312" w:hAnsi="仿宋_GB2312" w:eastAsia="仿宋_GB2312"/>
          <w:b w:val="0"/>
          <w:sz w:val="32"/>
        </w:rPr>
        <w:t>截至2024年12月31日，房屋1,100.00平方米，价值128.18万元。车辆15辆，价值101.23万元，其中：副部（省）级及以上领导用车0辆、主要负责人用车0辆、机要通信用车0辆、应急保障用车0辆、执法执勤用车14辆、特种专业技术用车0辆、离退休干部服务用车0辆、其他用车1辆，其他用车主要是：一般公务用车。单价100万元（含）以上设备（不含车辆）4台（套）。</w:t>
      </w:r>
    </w:p>
    <w:p w14:paraId="2610F33E">
      <w:pPr>
        <w:spacing w:line="640" w:lineRule="exact"/>
        <w:ind w:firstLine="640"/>
        <w:jc w:val="both"/>
        <w:outlineLvl w:val="2"/>
      </w:pPr>
      <w:r>
        <w:rPr>
          <w:rFonts w:ascii="黑体" w:hAnsi="黑体" w:eastAsia="黑体"/>
          <w:sz w:val="32"/>
        </w:rPr>
        <w:t>十一、预算绩效的情况说明</w:t>
      </w:r>
    </w:p>
    <w:p w14:paraId="70D5C2C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根据预算绩效管理要求，本单位2024年度预算绩效管理形成整体支出绩效自评表1个，全年预算总额1,979.98万元，实际执行总额1,979.98万元；预算绩效评价项目</w:t>
      </w:r>
      <w:r>
        <w:rPr>
          <w:rFonts w:hint="eastAsia" w:ascii="仿宋_GB2312" w:hAnsi="仿宋_GB2312" w:eastAsia="仿宋_GB2312"/>
          <w:b w:val="0"/>
          <w:sz w:val="32"/>
          <w:lang w:val="en-US" w:eastAsia="zh-CN"/>
        </w:rPr>
        <w:t>12</w:t>
      </w:r>
      <w:r>
        <w:rPr>
          <w:rFonts w:ascii="仿宋_GB2312" w:hAnsi="仿宋_GB2312" w:eastAsia="仿宋_GB2312"/>
          <w:b w:val="0"/>
          <w:sz w:val="32"/>
        </w:rPr>
        <w:t>个，全年预算数1414.47万元，全年执行数1414.47万元。预算绩效管理取得的成效：</w:t>
      </w:r>
      <w:r>
        <w:rPr>
          <w:rFonts w:hint="eastAsia" w:ascii="仿宋_GB2312" w:hAnsi="仿宋_GB2312" w:eastAsia="仿宋_GB2312"/>
          <w:b w:val="0"/>
          <w:sz w:val="32"/>
          <w:lang w:val="en-US" w:eastAsia="zh-CN"/>
        </w:rPr>
        <w:t>本</w:t>
      </w:r>
      <w:r>
        <w:rPr>
          <w:rFonts w:ascii="仿宋_GB2312" w:hAnsi="仿宋_GB2312" w:eastAsia="仿宋_GB2312"/>
          <w:b w:val="0"/>
          <w:sz w:val="32"/>
        </w:rPr>
        <w:t>单位预算绩效项目不予公开。发现的问题及原因：</w:t>
      </w:r>
      <w:r>
        <w:rPr>
          <w:rFonts w:hint="eastAsia" w:ascii="仿宋_GB2312" w:hAnsi="仿宋_GB2312" w:eastAsia="仿宋_GB2312"/>
          <w:b w:val="0"/>
          <w:sz w:val="32"/>
          <w:lang w:val="en-US" w:eastAsia="zh-CN"/>
        </w:rPr>
        <w:t>本</w:t>
      </w:r>
      <w:r>
        <w:rPr>
          <w:rFonts w:ascii="仿宋_GB2312" w:hAnsi="仿宋_GB2312" w:eastAsia="仿宋_GB2312"/>
          <w:b w:val="0"/>
          <w:sz w:val="32"/>
        </w:rPr>
        <w:t>单位预算绩效项目不予公开。下一步改进措施：</w:t>
      </w:r>
      <w:r>
        <w:rPr>
          <w:rFonts w:hint="eastAsia" w:ascii="仿宋_GB2312" w:hAnsi="仿宋_GB2312" w:eastAsia="仿宋_GB2312"/>
          <w:b w:val="0"/>
          <w:sz w:val="32"/>
          <w:lang w:val="en-US" w:eastAsia="zh-CN"/>
        </w:rPr>
        <w:t>本</w:t>
      </w:r>
      <w:bookmarkStart w:id="0" w:name="_GoBack"/>
      <w:bookmarkEnd w:id="0"/>
      <w:r>
        <w:rPr>
          <w:rFonts w:ascii="仿宋_GB2312" w:hAnsi="仿宋_GB2312" w:eastAsia="仿宋_GB2312"/>
          <w:b w:val="0"/>
          <w:sz w:val="32"/>
        </w:rPr>
        <w:t>单位预算绩效项目不予公开。具体附整体支出绩效自评表。</w:t>
      </w:r>
    </w:p>
    <w:p w14:paraId="3C159F4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23D3861">
        <w:tblPrEx>
          <w:tblCellMar>
            <w:top w:w="0" w:type="dxa"/>
            <w:left w:w="108" w:type="dxa"/>
            <w:bottom w:w="0" w:type="dxa"/>
            <w:right w:w="108" w:type="dxa"/>
          </w:tblCellMar>
        </w:tblPrEx>
        <w:tc>
          <w:tcPr>
            <w:tcW w:w="8847" w:type="dxa"/>
            <w:gridSpan w:val="9"/>
            <w:vAlign w:val="center"/>
          </w:tcPr>
          <w:p w14:paraId="2BD281BE">
            <w:pPr>
              <w:jc w:val="center"/>
            </w:pPr>
            <w:r>
              <w:rPr>
                <w:rFonts w:ascii="宋体" w:hAnsi="宋体" w:eastAsia="宋体"/>
                <w:sz w:val="24"/>
              </w:rPr>
              <w:t>单位整体支出绩效自评表</w:t>
            </w:r>
          </w:p>
        </w:tc>
      </w:tr>
      <w:tr w14:paraId="268B5742">
        <w:tblPrEx>
          <w:tblCellMar>
            <w:top w:w="0" w:type="dxa"/>
            <w:left w:w="108" w:type="dxa"/>
            <w:bottom w:w="0" w:type="dxa"/>
            <w:right w:w="108" w:type="dxa"/>
          </w:tblCellMar>
        </w:tblPrEx>
        <w:tc>
          <w:tcPr>
            <w:tcW w:w="8847" w:type="dxa"/>
            <w:gridSpan w:val="9"/>
            <w:vAlign w:val="center"/>
          </w:tcPr>
          <w:p w14:paraId="6167B96B">
            <w:pPr>
              <w:jc w:val="center"/>
            </w:pPr>
            <w:r>
              <w:rPr>
                <w:rFonts w:ascii="宋体" w:hAnsi="宋体" w:eastAsia="宋体"/>
                <w:sz w:val="24"/>
              </w:rPr>
              <w:t>（2024年度）</w:t>
            </w:r>
          </w:p>
        </w:tc>
      </w:tr>
      <w:tr w14:paraId="1B36B6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A0108">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A6C0AA">
            <w:pPr>
              <w:jc w:val="center"/>
            </w:pPr>
            <w:r>
              <w:rPr>
                <w:rFonts w:ascii="宋体" w:hAnsi="宋体" w:eastAsia="宋体"/>
                <w:sz w:val="16"/>
              </w:rPr>
              <w:t>中共岳普湖县委政法委员会</w:t>
            </w:r>
          </w:p>
        </w:tc>
      </w:tr>
      <w:tr w14:paraId="29B8F6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0418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0F36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C226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A47C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AD45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235F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E441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21825">
            <w:pPr>
              <w:jc w:val="center"/>
            </w:pPr>
            <w:r>
              <w:rPr>
                <w:rFonts w:ascii="宋体" w:hAnsi="宋体" w:eastAsia="宋体"/>
                <w:sz w:val="16"/>
              </w:rPr>
              <w:t>得分</w:t>
            </w:r>
          </w:p>
        </w:tc>
      </w:tr>
      <w:tr w14:paraId="36A3C4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62C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6305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97EE3">
            <w:pPr>
              <w:jc w:val="center"/>
            </w:pPr>
            <w:r>
              <w:rPr>
                <w:rFonts w:ascii="宋体" w:hAnsi="宋体" w:eastAsia="宋体"/>
                <w:sz w:val="16"/>
              </w:rPr>
              <w:t>1,915.63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D0064">
            <w:pPr>
              <w:jc w:val="center"/>
            </w:pPr>
            <w:r>
              <w:rPr>
                <w:rFonts w:ascii="宋体" w:hAnsi="宋体" w:eastAsia="宋体"/>
                <w:sz w:val="16"/>
              </w:rPr>
              <w:t>1,979.98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4E406">
            <w:pPr>
              <w:jc w:val="center"/>
            </w:pPr>
            <w:r>
              <w:rPr>
                <w:rFonts w:ascii="宋体" w:hAnsi="宋体" w:eastAsia="宋体"/>
                <w:sz w:val="16"/>
              </w:rPr>
              <w:t>1,979.98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0DB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1CAED">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E33AE">
            <w:pPr>
              <w:jc w:val="center"/>
            </w:pPr>
            <w:r>
              <w:rPr>
                <w:rFonts w:ascii="宋体" w:hAnsi="宋体" w:eastAsia="宋体"/>
                <w:sz w:val="16"/>
              </w:rPr>
              <w:t>10</w:t>
            </w:r>
          </w:p>
        </w:tc>
      </w:tr>
      <w:tr w14:paraId="62E71E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64D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25FF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6C7F9">
            <w:pPr>
              <w:jc w:val="center"/>
            </w:pPr>
            <w:r>
              <w:rPr>
                <w:rFonts w:ascii="宋体" w:hAnsi="宋体" w:eastAsia="宋体"/>
                <w:sz w:val="16"/>
              </w:rPr>
              <w:t>314.00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F9C00">
            <w:pPr>
              <w:jc w:val="center"/>
            </w:pPr>
            <w:r>
              <w:rPr>
                <w:rFonts w:ascii="宋体" w:hAnsi="宋体" w:eastAsia="宋体"/>
                <w:sz w:val="16"/>
              </w:rPr>
              <w:t>331.14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1F9A5">
            <w:pPr>
              <w:jc w:val="center"/>
            </w:pPr>
            <w:r>
              <w:rPr>
                <w:rFonts w:ascii="宋体" w:hAnsi="宋体" w:eastAsia="宋体"/>
                <w:sz w:val="16"/>
              </w:rPr>
              <w:t>331.14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279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47CA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BE9D">
            <w:pPr>
              <w:jc w:val="center"/>
            </w:pPr>
            <w:r>
              <w:rPr>
                <w:rFonts w:ascii="宋体" w:hAnsi="宋体" w:eastAsia="宋体"/>
                <w:sz w:val="16"/>
              </w:rPr>
              <w:t>—</w:t>
            </w:r>
          </w:p>
        </w:tc>
      </w:tr>
      <w:tr w14:paraId="6328C7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9EC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61D1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F46FF">
            <w:pPr>
              <w:jc w:val="center"/>
            </w:pPr>
            <w:r>
              <w:rPr>
                <w:rFonts w:ascii="宋体" w:hAnsi="宋体" w:eastAsia="宋体"/>
                <w:sz w:val="16"/>
              </w:rPr>
              <w:t>1,601.63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A8587">
            <w:pPr>
              <w:jc w:val="center"/>
            </w:pPr>
            <w:r>
              <w:rPr>
                <w:rFonts w:ascii="宋体" w:hAnsi="宋体" w:eastAsia="宋体"/>
                <w:sz w:val="16"/>
              </w:rPr>
              <w:t>1,632.74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177A5">
            <w:pPr>
              <w:jc w:val="center"/>
            </w:pPr>
            <w:r>
              <w:rPr>
                <w:rFonts w:ascii="宋体" w:hAnsi="宋体" w:eastAsia="宋体"/>
                <w:sz w:val="16"/>
              </w:rPr>
              <w:t>1,632.74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D0D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FC9C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BAB89">
            <w:pPr>
              <w:jc w:val="center"/>
            </w:pPr>
            <w:r>
              <w:rPr>
                <w:rFonts w:ascii="宋体" w:hAnsi="宋体" w:eastAsia="宋体"/>
                <w:sz w:val="16"/>
              </w:rPr>
              <w:t>—</w:t>
            </w:r>
          </w:p>
        </w:tc>
      </w:tr>
      <w:tr w14:paraId="4979C3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719B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6B87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15F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03E1C">
            <w:pPr>
              <w:jc w:val="center"/>
            </w:pPr>
            <w:r>
              <w:rPr>
                <w:rFonts w:ascii="宋体" w:hAnsi="宋体" w:eastAsia="宋体"/>
                <w:sz w:val="16"/>
              </w:rPr>
              <w:t>16.10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E1A85">
            <w:pPr>
              <w:jc w:val="center"/>
            </w:pPr>
            <w:r>
              <w:rPr>
                <w:rFonts w:ascii="宋体" w:hAnsi="宋体" w:eastAsia="宋体"/>
                <w:sz w:val="16"/>
              </w:rPr>
              <w:t>16.10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D77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8812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B878F">
            <w:pPr>
              <w:jc w:val="center"/>
            </w:pPr>
            <w:r>
              <w:rPr>
                <w:rFonts w:ascii="宋体" w:hAnsi="宋体" w:eastAsia="宋体"/>
                <w:sz w:val="16"/>
              </w:rPr>
              <w:t>—</w:t>
            </w:r>
          </w:p>
        </w:tc>
      </w:tr>
      <w:tr w14:paraId="2CDEC3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C87F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8408A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1D35AE">
            <w:pPr>
              <w:jc w:val="center"/>
            </w:pPr>
            <w:r>
              <w:rPr>
                <w:rFonts w:ascii="宋体" w:hAnsi="宋体" w:eastAsia="宋体"/>
                <w:sz w:val="16"/>
              </w:rPr>
              <w:t>实际完成情况</w:t>
            </w:r>
          </w:p>
        </w:tc>
      </w:tr>
      <w:tr w14:paraId="530787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6DA32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DD0644">
            <w:pPr>
              <w:jc w:val="both"/>
            </w:pPr>
            <w:r>
              <w:rPr>
                <w:rFonts w:ascii="宋体" w:hAnsi="宋体" w:eastAsia="宋体"/>
                <w:sz w:val="16"/>
              </w:rPr>
              <w:t>管理维护综治平台数量10个。协调落实社会治安综合治理各项措施，完善权力运行监督和制约机制。做好法治宣传工作，定期分析社会治安形势，对政法工作进行全面部署。巩固平安县创建成果，防范化解重大社会安全事件，提升社会治理现代化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1F0ED7">
            <w:pPr>
              <w:jc w:val="both"/>
            </w:pPr>
            <w:r>
              <w:rPr>
                <w:rFonts w:ascii="宋体" w:hAnsi="宋体" w:eastAsia="宋体"/>
                <w:sz w:val="16"/>
              </w:rPr>
              <w:t>管理维护综治平台数量</w:t>
            </w:r>
            <w:r>
              <w:rPr>
                <w:rFonts w:hint="eastAsia" w:ascii="宋体" w:hAnsi="宋体"/>
                <w:sz w:val="16"/>
                <w:lang w:eastAsia="zh-CN"/>
              </w:rPr>
              <w:t>达到</w:t>
            </w:r>
            <w:r>
              <w:rPr>
                <w:rFonts w:ascii="宋体" w:hAnsi="宋体" w:eastAsia="宋体"/>
                <w:sz w:val="16"/>
              </w:rPr>
              <w:t>10个。协调落实了社会治安综合治理的各项措施，立体化社会治安防控体系覆盖全县，高质量完成了综治平台巡查维修任务，进一步完善了权力运行监督和制约机制。按期做好了法治宣传工作，定期分析了社会治安形势，完成了对政法工作的全面部署。不断巩固了平安县创建成果，防范化解了重大社会安全事件，全面提升了岳普湖县社会治理现代化水平。</w:t>
            </w:r>
          </w:p>
        </w:tc>
      </w:tr>
      <w:tr w14:paraId="4A6BB6A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3A29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3A24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E182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756E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9C8F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C018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EE28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72E9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3D7D0">
            <w:pPr>
              <w:jc w:val="center"/>
            </w:pPr>
            <w:r>
              <w:rPr>
                <w:rFonts w:ascii="宋体" w:hAnsi="宋体" w:eastAsia="宋体"/>
                <w:sz w:val="16"/>
              </w:rPr>
              <w:t>得分</w:t>
            </w:r>
          </w:p>
        </w:tc>
      </w:tr>
      <w:tr w14:paraId="68BBDC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21B0A">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54D6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68DEF">
            <w:pPr>
              <w:jc w:val="center"/>
            </w:pPr>
            <w:r>
              <w:rPr>
                <w:rFonts w:ascii="宋体" w:hAnsi="宋体" w:eastAsia="宋体"/>
                <w:sz w:val="16"/>
              </w:rPr>
              <w:t>管理维护综治平台数量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C45BC">
            <w:pPr>
              <w:jc w:val="center"/>
            </w:pPr>
            <w:r>
              <w:rPr>
                <w:rFonts w:ascii="宋体" w:hAnsi="宋体" w:eastAsia="宋体"/>
                <w:sz w:val="16"/>
              </w:rPr>
              <w:t>&gt;=10个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48A1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486C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83092">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B20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1892C">
            <w:pPr>
              <w:jc w:val="center"/>
            </w:pPr>
            <w:r>
              <w:rPr>
                <w:rFonts w:ascii="宋体" w:hAnsi="宋体" w:eastAsia="宋体"/>
                <w:sz w:val="16"/>
              </w:rPr>
              <w:t>18</w:t>
            </w:r>
          </w:p>
        </w:tc>
      </w:tr>
      <w:tr w14:paraId="7D1FC7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B8EB2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C54E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7B92F">
            <w:pPr>
              <w:jc w:val="center"/>
            </w:pPr>
            <w:r>
              <w:rPr>
                <w:rFonts w:ascii="宋体" w:hAnsi="宋体" w:eastAsia="宋体"/>
                <w:sz w:val="16"/>
              </w:rPr>
              <w:t>综治平台巡查维修任务完成率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90F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0EAB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6B69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D53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E51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78EF0">
            <w:pPr>
              <w:jc w:val="center"/>
            </w:pPr>
            <w:r>
              <w:rPr>
                <w:rFonts w:ascii="宋体" w:hAnsi="宋体" w:eastAsia="宋体"/>
                <w:sz w:val="16"/>
              </w:rPr>
              <w:t>18</w:t>
            </w:r>
          </w:p>
        </w:tc>
      </w:tr>
      <w:tr w14:paraId="124D5A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AF9F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5A0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E537D">
            <w:pPr>
              <w:jc w:val="center"/>
            </w:pPr>
            <w:r>
              <w:rPr>
                <w:rFonts w:ascii="宋体" w:hAnsi="宋体" w:eastAsia="宋体"/>
                <w:sz w:val="16"/>
              </w:rPr>
              <w:t>立体化社会治安防控体系覆盖率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510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3DCD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5056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E50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B03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45400">
            <w:pPr>
              <w:jc w:val="center"/>
            </w:pPr>
            <w:r>
              <w:rPr>
                <w:rFonts w:ascii="宋体" w:hAnsi="宋体" w:eastAsia="宋体"/>
                <w:sz w:val="16"/>
              </w:rPr>
              <w:t>18</w:t>
            </w:r>
          </w:p>
        </w:tc>
      </w:tr>
      <w:tr w14:paraId="79CE36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2A15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AC3D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8F7FF">
            <w:pPr>
              <w:jc w:val="center"/>
            </w:pPr>
            <w:r>
              <w:rPr>
                <w:rFonts w:ascii="宋体" w:hAnsi="宋体" w:eastAsia="宋体"/>
                <w:sz w:val="16"/>
              </w:rPr>
              <w:t>法治宣传任务按期完成率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E9B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2AC9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B590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046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5CE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F4552">
            <w:pPr>
              <w:jc w:val="center"/>
            </w:pPr>
            <w:r>
              <w:rPr>
                <w:rFonts w:ascii="宋体" w:hAnsi="宋体" w:eastAsia="宋体"/>
                <w:sz w:val="16"/>
              </w:rPr>
              <w:t>18</w:t>
            </w:r>
          </w:p>
        </w:tc>
      </w:tr>
      <w:tr w14:paraId="18C21B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28F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EAA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2023C">
            <w:pPr>
              <w:jc w:val="center"/>
            </w:pPr>
            <w:r>
              <w:rPr>
                <w:rFonts w:ascii="宋体" w:hAnsi="宋体" w:eastAsia="宋体"/>
                <w:sz w:val="16"/>
              </w:rPr>
              <w:t>重大社会安全事件处置及时率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207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BBFA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874D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E0F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1F8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11BF4">
            <w:pPr>
              <w:jc w:val="center"/>
            </w:pPr>
            <w:r>
              <w:rPr>
                <w:rFonts w:ascii="宋体" w:hAnsi="宋体" w:eastAsia="宋体"/>
                <w:sz w:val="16"/>
              </w:rPr>
              <w:t>18</w:t>
            </w:r>
          </w:p>
        </w:tc>
      </w:tr>
    </w:tbl>
    <w:p w14:paraId="4638BE94">
      <w:r>
        <w:br w:type="page"/>
      </w:r>
    </w:p>
    <w:p w14:paraId="71E32003">
      <w:pPr>
        <w:spacing w:line="640" w:lineRule="exact"/>
        <w:ind w:firstLine="640"/>
        <w:jc w:val="both"/>
        <w:outlineLvl w:val="2"/>
      </w:pPr>
      <w:r>
        <w:rPr>
          <w:rFonts w:ascii="黑体" w:hAnsi="黑体" w:eastAsia="黑体"/>
          <w:sz w:val="32"/>
        </w:rPr>
        <w:t>十二、其他需说明的事项</w:t>
      </w:r>
    </w:p>
    <w:p w14:paraId="6BA366B8">
      <w:pPr>
        <w:spacing w:line="580" w:lineRule="exact"/>
        <w:ind w:firstLine="640"/>
        <w:jc w:val="both"/>
      </w:pPr>
      <w:r>
        <w:rPr>
          <w:rFonts w:ascii="仿宋_GB2312" w:hAnsi="仿宋_GB2312" w:eastAsia="仿宋_GB2312"/>
          <w:b w:val="0"/>
          <w:sz w:val="32"/>
        </w:rPr>
        <w:t>本年本单位SM项目12个，全年预算数1414.47万元，全年执行数1414.47万元。</w:t>
      </w:r>
    </w:p>
    <w:p w14:paraId="6F226D94">
      <w:r>
        <w:br w:type="page"/>
      </w:r>
    </w:p>
    <w:p w14:paraId="5B06AEDC">
      <w:pPr>
        <w:spacing w:line="240" w:lineRule="auto"/>
        <w:jc w:val="center"/>
        <w:outlineLvl w:val="1"/>
      </w:pPr>
      <w:r>
        <w:rPr>
          <w:rFonts w:ascii="黑体" w:hAnsi="黑体" w:eastAsia="黑体"/>
          <w:sz w:val="32"/>
        </w:rPr>
        <w:t>第三部分 专业名词解释</w:t>
      </w:r>
    </w:p>
    <w:p w14:paraId="3B2FC40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3C9103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DD427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8AB5B2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41368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139840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F7CBF2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65CC84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3C367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098BB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BE9963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04E85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75DD8E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868AB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37740D">
      <w:r>
        <w:br w:type="page"/>
      </w:r>
    </w:p>
    <w:p w14:paraId="180EBAD0">
      <w:pPr>
        <w:spacing w:line="240" w:lineRule="auto"/>
        <w:jc w:val="center"/>
        <w:outlineLvl w:val="1"/>
      </w:pPr>
      <w:r>
        <w:rPr>
          <w:rFonts w:ascii="黑体" w:hAnsi="黑体" w:eastAsia="黑体"/>
          <w:sz w:val="32"/>
        </w:rPr>
        <w:t>第四部分 部门决算报表（见附表）</w:t>
      </w:r>
    </w:p>
    <w:p w14:paraId="25B7F773">
      <w:pPr>
        <w:spacing w:line="240" w:lineRule="auto"/>
        <w:ind w:firstLine="640"/>
        <w:jc w:val="both"/>
      </w:pPr>
      <w:r>
        <w:rPr>
          <w:rFonts w:ascii="仿宋_GB2312" w:hAnsi="仿宋_GB2312" w:eastAsia="仿宋_GB2312"/>
          <w:b w:val="0"/>
          <w:sz w:val="32"/>
        </w:rPr>
        <w:t>一、《收入支出决算总表》</w:t>
      </w:r>
    </w:p>
    <w:p w14:paraId="0D36FED8">
      <w:pPr>
        <w:spacing w:line="240" w:lineRule="auto"/>
        <w:ind w:firstLine="640"/>
        <w:jc w:val="both"/>
      </w:pPr>
      <w:r>
        <w:rPr>
          <w:rFonts w:ascii="仿宋_GB2312" w:hAnsi="仿宋_GB2312" w:eastAsia="仿宋_GB2312"/>
          <w:b w:val="0"/>
          <w:sz w:val="32"/>
        </w:rPr>
        <w:t>二、《收入决算表》</w:t>
      </w:r>
    </w:p>
    <w:p w14:paraId="1CC7A69F">
      <w:pPr>
        <w:spacing w:line="240" w:lineRule="auto"/>
        <w:ind w:firstLine="640"/>
        <w:jc w:val="both"/>
      </w:pPr>
      <w:r>
        <w:rPr>
          <w:rFonts w:ascii="仿宋_GB2312" w:hAnsi="仿宋_GB2312" w:eastAsia="仿宋_GB2312"/>
          <w:b w:val="0"/>
          <w:sz w:val="32"/>
        </w:rPr>
        <w:t>三、《支出决算表》</w:t>
      </w:r>
    </w:p>
    <w:p w14:paraId="17783826">
      <w:pPr>
        <w:spacing w:line="240" w:lineRule="auto"/>
        <w:ind w:firstLine="640"/>
        <w:jc w:val="both"/>
      </w:pPr>
      <w:r>
        <w:rPr>
          <w:rFonts w:ascii="仿宋_GB2312" w:hAnsi="仿宋_GB2312" w:eastAsia="仿宋_GB2312"/>
          <w:b w:val="0"/>
          <w:sz w:val="32"/>
        </w:rPr>
        <w:t>四、《财政拨款收入支出决算总表》</w:t>
      </w:r>
    </w:p>
    <w:p w14:paraId="6E8C7791">
      <w:pPr>
        <w:spacing w:line="240" w:lineRule="auto"/>
        <w:ind w:firstLine="640"/>
        <w:jc w:val="both"/>
      </w:pPr>
      <w:r>
        <w:rPr>
          <w:rFonts w:ascii="仿宋_GB2312" w:hAnsi="仿宋_GB2312" w:eastAsia="仿宋_GB2312"/>
          <w:b w:val="0"/>
          <w:sz w:val="32"/>
        </w:rPr>
        <w:t>五、《一般公共预算财政拨款支出决算表》</w:t>
      </w:r>
    </w:p>
    <w:p w14:paraId="7AE925D3">
      <w:pPr>
        <w:spacing w:line="240" w:lineRule="auto"/>
        <w:ind w:firstLine="640"/>
        <w:jc w:val="both"/>
      </w:pPr>
      <w:r>
        <w:rPr>
          <w:rFonts w:ascii="仿宋_GB2312" w:hAnsi="仿宋_GB2312" w:eastAsia="仿宋_GB2312"/>
          <w:b w:val="0"/>
          <w:sz w:val="32"/>
        </w:rPr>
        <w:t>六、《一般公共预算财政拨款基本支出决算表》</w:t>
      </w:r>
    </w:p>
    <w:p w14:paraId="73C91E88">
      <w:pPr>
        <w:spacing w:line="240" w:lineRule="auto"/>
        <w:ind w:firstLine="640"/>
        <w:jc w:val="both"/>
      </w:pPr>
      <w:r>
        <w:rPr>
          <w:rFonts w:ascii="仿宋_GB2312" w:hAnsi="仿宋_GB2312" w:eastAsia="仿宋_GB2312"/>
          <w:b w:val="0"/>
          <w:sz w:val="32"/>
        </w:rPr>
        <w:t>七、《政府性基金预算财政拨款收入支出决算表》</w:t>
      </w:r>
    </w:p>
    <w:p w14:paraId="57AAE276">
      <w:pPr>
        <w:spacing w:line="240" w:lineRule="auto"/>
        <w:ind w:firstLine="640"/>
        <w:jc w:val="both"/>
      </w:pPr>
      <w:r>
        <w:rPr>
          <w:rFonts w:ascii="仿宋_GB2312" w:hAnsi="仿宋_GB2312" w:eastAsia="仿宋_GB2312"/>
          <w:b w:val="0"/>
          <w:sz w:val="32"/>
        </w:rPr>
        <w:t>八、《国有资本经营预算财政拨款收入支出决算表》</w:t>
      </w:r>
    </w:p>
    <w:p w14:paraId="0FF2151A">
      <w:pPr>
        <w:spacing w:line="240" w:lineRule="auto"/>
        <w:ind w:firstLine="640"/>
        <w:jc w:val="both"/>
      </w:pPr>
      <w:r>
        <w:rPr>
          <w:rFonts w:ascii="仿宋_GB2312" w:hAnsi="仿宋_GB2312" w:eastAsia="仿宋_GB2312"/>
          <w:b w:val="0"/>
          <w:sz w:val="32"/>
        </w:rPr>
        <w:t>九、《财政拨款“三公”经费支出决算表》</w:t>
      </w:r>
    </w:p>
    <w:p w14:paraId="18FD0365">
      <w:pPr>
        <w:spacing w:line="240" w:lineRule="auto"/>
        <w:ind w:firstLine="640"/>
        <w:jc w:val="both"/>
      </w:pPr>
    </w:p>
    <w:p w14:paraId="091028C2">
      <w:pPr>
        <w:spacing w:line="240" w:lineRule="auto"/>
        <w:ind w:firstLine="640"/>
        <w:jc w:val="both"/>
      </w:pPr>
    </w:p>
    <w:p w14:paraId="63B8ACD0">
      <w:pPr>
        <w:spacing w:line="240" w:lineRule="auto"/>
        <w:ind w:firstLine="640"/>
        <w:jc w:val="both"/>
      </w:pPr>
    </w:p>
    <w:p w14:paraId="70E7D3BE">
      <w:pPr>
        <w:spacing w:line="240" w:lineRule="auto"/>
        <w:ind w:firstLine="640"/>
        <w:jc w:val="both"/>
      </w:pPr>
    </w:p>
    <w:p w14:paraId="708A03E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BD70E6-D8F4-412B-B3CF-0194B8556A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2472246-A42F-4094-800F-31BDBAF2D4A3}"/>
  </w:font>
  <w:font w:name="仿宋_GB2312">
    <w:panose1 w:val="02010609030101010101"/>
    <w:charset w:val="86"/>
    <w:family w:val="modern"/>
    <w:pitch w:val="default"/>
    <w:sig w:usb0="00000001" w:usb1="080E0000" w:usb2="00000000" w:usb3="00000000" w:csb0="00040000" w:csb1="00000000"/>
    <w:embedRegular r:id="rId3" w:fontKey="{B6E8E5CA-A322-42B6-9725-43DD1C4D85D4}"/>
  </w:font>
  <w:font w:name="楷体_GB2312">
    <w:panose1 w:val="02010609030101010101"/>
    <w:charset w:val="86"/>
    <w:family w:val="auto"/>
    <w:pitch w:val="default"/>
    <w:sig w:usb0="00000001" w:usb1="080E0000" w:usb2="00000000" w:usb3="00000000" w:csb0="00040000" w:csb1="00000000"/>
    <w:embedRegular r:id="rId4" w:fontKey="{0B019ED5-5B53-450A-AD07-8612C45619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EF5129"/>
    <w:rsid w:val="09A729D8"/>
    <w:rsid w:val="0A3C58E8"/>
    <w:rsid w:val="0A7B4867"/>
    <w:rsid w:val="0B8C3ECC"/>
    <w:rsid w:val="0C3613A3"/>
    <w:rsid w:val="0C7227A7"/>
    <w:rsid w:val="0DCA6EF7"/>
    <w:rsid w:val="0E4B1576"/>
    <w:rsid w:val="0EA04331"/>
    <w:rsid w:val="0F9811B3"/>
    <w:rsid w:val="1167353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26217F"/>
    <w:rsid w:val="67D111AB"/>
    <w:rsid w:val="68DB0208"/>
    <w:rsid w:val="68DF36D5"/>
    <w:rsid w:val="69846A0E"/>
    <w:rsid w:val="69AD798C"/>
    <w:rsid w:val="6B68175F"/>
    <w:rsid w:val="6B8B5C99"/>
    <w:rsid w:val="6CA7198F"/>
    <w:rsid w:val="6D1E7998"/>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5785</Words>
  <Characters>6666</Characters>
  <Lines>0</Lines>
  <Paragraphs>0</Paragraphs>
  <TotalTime>5</TotalTime>
  <ScaleCrop>false</ScaleCrop>
  <LinksUpToDate>false</LinksUpToDate>
  <CharactersWithSpaces>6676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2025-09-12T10:04:47Z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