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EFD31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中共岳普湖县委统一战线工作部2024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549D3B">
      <w:r>
        <w:br w:type="page"/>
      </w:r>
    </w:p>
    <w:p w14:paraId="5D7B754F">
      <w:pPr>
        <w:spacing w:line="640" w:lineRule="exact"/>
        <w:jc w:val="center"/>
        <w:outlineLvl w:val="1"/>
      </w:pPr>
      <w:r>
        <w:rPr>
          <w:rFonts w:ascii="黑体" w:hAnsi="黑体" w:eastAsia="黑体"/>
          <w:sz w:val="32"/>
        </w:rPr>
        <w:t>第一部分 单位概况</w:t>
      </w:r>
    </w:p>
    <w:p w14:paraId="740EDBC0">
      <w:pPr>
        <w:spacing w:line="640" w:lineRule="exact"/>
        <w:ind w:firstLine="640"/>
        <w:jc w:val="both"/>
        <w:outlineLvl w:val="2"/>
      </w:pPr>
      <w:r>
        <w:rPr>
          <w:rFonts w:ascii="黑体" w:hAnsi="黑体" w:eastAsia="黑体"/>
          <w:sz w:val="32"/>
        </w:rPr>
        <w:t>一、主要职能</w:t>
      </w:r>
    </w:p>
    <w:p w14:paraId="59D3E211">
      <w:pPr>
        <w:spacing w:line="580" w:lineRule="exact"/>
        <w:ind w:firstLine="640"/>
        <w:jc w:val="both"/>
      </w:pPr>
      <w:r>
        <w:rPr>
          <w:rFonts w:ascii="仿宋_GB2312" w:hAnsi="仿宋_GB2312" w:eastAsia="仿宋_GB2312"/>
          <w:sz w:val="32"/>
        </w:rPr>
        <w:t>本单位主要职能SM不予公开。</w:t>
      </w:r>
    </w:p>
    <w:p w14:paraId="1223FE0E">
      <w:pPr>
        <w:spacing w:line="640" w:lineRule="exact"/>
        <w:ind w:firstLine="640"/>
        <w:jc w:val="both"/>
        <w:outlineLvl w:val="2"/>
      </w:pPr>
      <w:r>
        <w:rPr>
          <w:rFonts w:ascii="黑体" w:hAnsi="黑体" w:eastAsia="黑体"/>
          <w:sz w:val="32"/>
        </w:rPr>
        <w:t>二、机构设置及人员情况</w:t>
      </w:r>
    </w:p>
    <w:p w14:paraId="0014E8FD">
      <w:pPr>
        <w:spacing w:line="580" w:lineRule="exact"/>
        <w:ind w:firstLine="640"/>
        <w:jc w:val="both"/>
      </w:pPr>
      <w:r>
        <w:rPr>
          <w:rFonts w:ascii="仿宋_GB2312" w:hAnsi="仿宋_GB2312" w:eastAsia="仿宋_GB2312"/>
          <w:sz w:val="32"/>
        </w:rPr>
        <w:t>中共岳普湖县委统一战线工作部2024年度，实有人数24人，其中：在职人员12人，减少1人；离休人员0人，增加0人；退休人员12人,增加1人。</w:t>
      </w:r>
    </w:p>
    <w:p w14:paraId="6EF59225">
      <w:pPr>
        <w:spacing w:line="580" w:lineRule="exact"/>
        <w:ind w:firstLine="640"/>
        <w:jc w:val="both"/>
      </w:pPr>
      <w:r>
        <w:rPr>
          <w:rFonts w:ascii="仿宋_GB2312" w:hAnsi="仿宋_GB2312" w:eastAsia="仿宋_GB2312"/>
          <w:sz w:val="32"/>
        </w:rPr>
        <w:t>中共岳普湖县委统一战线工作部无下属预算单位，下设4个科室，分别是：统一战线工作部、民族工作股、ZJ工作股、综合办公室。</w:t>
      </w:r>
    </w:p>
    <w:p w14:paraId="58F836E4">
      <w:r>
        <w:br w:type="page"/>
      </w:r>
    </w:p>
    <w:p w14:paraId="74F7EE05">
      <w:pPr>
        <w:spacing w:line="240" w:lineRule="auto"/>
        <w:jc w:val="center"/>
        <w:outlineLvl w:val="1"/>
      </w:pPr>
      <w:r>
        <w:rPr>
          <w:rFonts w:ascii="黑体" w:hAnsi="黑体" w:eastAsia="黑体"/>
          <w:sz w:val="32"/>
        </w:rPr>
        <w:t>第二部分 部门决算情况说明</w:t>
      </w:r>
    </w:p>
    <w:p w14:paraId="6DC67DC2">
      <w:pPr>
        <w:spacing w:line="640" w:lineRule="exact"/>
        <w:ind w:firstLine="640"/>
        <w:jc w:val="both"/>
        <w:outlineLvl w:val="2"/>
      </w:pPr>
      <w:r>
        <w:rPr>
          <w:rFonts w:ascii="黑体" w:hAnsi="黑体" w:eastAsia="黑体"/>
          <w:sz w:val="32"/>
        </w:rPr>
        <w:t>一、收入支出决算总体情况说明</w:t>
      </w:r>
    </w:p>
    <w:p w14:paraId="65298F58">
      <w:pPr>
        <w:spacing w:line="580" w:lineRule="exact"/>
        <w:ind w:firstLine="640"/>
        <w:jc w:val="both"/>
      </w:pPr>
      <w:r>
        <w:rPr>
          <w:rFonts w:ascii="仿宋_GB2312" w:hAnsi="仿宋_GB2312" w:eastAsia="仿宋_GB2312"/>
          <w:b/>
          <w:sz w:val="32"/>
        </w:rPr>
        <w:t>2024年度收入总计1,844.84万元，</w:t>
      </w:r>
      <w:r>
        <w:rPr>
          <w:rFonts w:ascii="仿宋_GB2312" w:hAnsi="仿宋_GB2312" w:eastAsia="仿宋_GB2312"/>
          <w:b w:val="0"/>
          <w:sz w:val="32"/>
        </w:rPr>
        <w:t>其中：本年收入合计1,844.84万元，使用非财政拨款结余（含专用结余）0.00万元，年初结转和结余0.00万元。</w:t>
      </w:r>
    </w:p>
    <w:p w14:paraId="5563034B">
      <w:pPr>
        <w:spacing w:line="580" w:lineRule="exact"/>
        <w:ind w:firstLine="640"/>
        <w:jc w:val="both"/>
      </w:pPr>
      <w:r>
        <w:rPr>
          <w:rFonts w:ascii="仿宋_GB2312" w:hAnsi="仿宋_GB2312" w:eastAsia="仿宋_GB2312"/>
          <w:b/>
          <w:sz w:val="32"/>
        </w:rPr>
        <w:t>2024年度支出总计1,844.84万元，</w:t>
      </w:r>
      <w:r>
        <w:rPr>
          <w:rFonts w:ascii="仿宋_GB2312" w:hAnsi="仿宋_GB2312" w:eastAsia="仿宋_GB2312"/>
          <w:b w:val="0"/>
          <w:sz w:val="32"/>
        </w:rPr>
        <w:t>其中：本年支出合计1,844.84万元，结余分配0.00万元，年末结转和结余0.00万元。</w:t>
      </w:r>
    </w:p>
    <w:p w14:paraId="614B5A8F">
      <w:pPr>
        <w:spacing w:line="580" w:lineRule="exact"/>
        <w:ind w:firstLine="640"/>
        <w:jc w:val="both"/>
      </w:pPr>
      <w:r>
        <w:rPr>
          <w:rFonts w:ascii="仿宋_GB2312" w:hAnsi="仿宋_GB2312" w:eastAsia="仿宋_GB2312"/>
          <w:b w:val="0"/>
          <w:sz w:val="32"/>
        </w:rPr>
        <w:t>收入支出总体与上年相比，增加909.65万元，增长97.27%，主要原因是：本年增加民贸民品贷款贴息资金，教育基地建设项目。</w:t>
      </w:r>
    </w:p>
    <w:p w14:paraId="17A75B2B">
      <w:pPr>
        <w:spacing w:line="640" w:lineRule="exact"/>
        <w:ind w:firstLine="640"/>
        <w:jc w:val="both"/>
        <w:outlineLvl w:val="2"/>
      </w:pPr>
      <w:r>
        <w:rPr>
          <w:rFonts w:ascii="黑体" w:hAnsi="黑体" w:eastAsia="黑体"/>
          <w:sz w:val="32"/>
        </w:rPr>
        <w:t>二、收入决算情况说明</w:t>
      </w:r>
    </w:p>
    <w:p w14:paraId="323ACC81">
      <w:pPr>
        <w:spacing w:line="580" w:lineRule="exact"/>
        <w:ind w:firstLine="640"/>
        <w:jc w:val="both"/>
      </w:pPr>
      <w:r>
        <w:rPr>
          <w:rFonts w:ascii="仿宋_GB2312" w:hAnsi="仿宋_GB2312" w:eastAsia="仿宋_GB2312"/>
          <w:b/>
          <w:sz w:val="32"/>
        </w:rPr>
        <w:t>本年收入1,844.84万元，</w:t>
      </w:r>
      <w:r>
        <w:rPr>
          <w:rFonts w:ascii="仿宋_GB2312" w:hAnsi="仿宋_GB2312" w:eastAsia="仿宋_GB2312"/>
          <w:b w:val="0"/>
          <w:sz w:val="32"/>
        </w:rPr>
        <w:t>其中：财政拨款收入1,672.06万元，占90.63%；上级补助收入0.00万元，占0.00%；事业收入0.00万元，占0.00%；经营收入0.00万元，占0.00%；附属单位上缴收入0.00万元，占0.00%；其他收入172.78万元，占9.37%。</w:t>
      </w:r>
    </w:p>
    <w:p w14:paraId="74526DD2">
      <w:pPr>
        <w:spacing w:line="640" w:lineRule="exact"/>
        <w:ind w:firstLine="640"/>
        <w:jc w:val="both"/>
        <w:outlineLvl w:val="2"/>
      </w:pPr>
      <w:r>
        <w:rPr>
          <w:rFonts w:ascii="黑体" w:hAnsi="黑体" w:eastAsia="黑体"/>
          <w:sz w:val="32"/>
        </w:rPr>
        <w:t>三、支出决算情况说明</w:t>
      </w:r>
    </w:p>
    <w:p w14:paraId="51DB8304">
      <w:pPr>
        <w:spacing w:line="580" w:lineRule="exact"/>
        <w:ind w:firstLine="640"/>
        <w:jc w:val="both"/>
      </w:pPr>
      <w:r>
        <w:rPr>
          <w:rFonts w:ascii="仿宋_GB2312" w:hAnsi="仿宋_GB2312" w:eastAsia="仿宋_GB2312"/>
          <w:b/>
          <w:sz w:val="32"/>
        </w:rPr>
        <w:t>本年支出1,844.84万元，</w:t>
      </w:r>
      <w:r>
        <w:rPr>
          <w:rFonts w:ascii="仿宋_GB2312" w:hAnsi="仿宋_GB2312" w:eastAsia="仿宋_GB2312"/>
          <w:b w:val="0"/>
          <w:sz w:val="32"/>
        </w:rPr>
        <w:t>其中：基本支出302.54万元，占16.40%；项目支出1,542.30万元，占83.60%；上缴上级支出0.00万元，占0.00%；经营支出0.00万元，占0.00%；对附属单位补助支出0.00万元，占0.00%。</w:t>
      </w:r>
    </w:p>
    <w:p w14:paraId="100057AF">
      <w:pPr>
        <w:spacing w:line="640" w:lineRule="exact"/>
        <w:ind w:firstLine="640"/>
        <w:jc w:val="both"/>
        <w:outlineLvl w:val="2"/>
      </w:pPr>
      <w:r>
        <w:rPr>
          <w:rFonts w:ascii="黑体" w:hAnsi="黑体" w:eastAsia="黑体"/>
          <w:sz w:val="32"/>
        </w:rPr>
        <w:t>四、财政拨款收入支出决算总体情况说明</w:t>
      </w:r>
    </w:p>
    <w:p w14:paraId="300E2449">
      <w:pPr>
        <w:spacing w:line="580" w:lineRule="exact"/>
        <w:ind w:firstLine="640"/>
        <w:jc w:val="both"/>
      </w:pPr>
      <w:r>
        <w:rPr>
          <w:rFonts w:ascii="仿宋_GB2312" w:hAnsi="仿宋_GB2312" w:eastAsia="仿宋_GB2312"/>
          <w:b/>
          <w:sz w:val="32"/>
        </w:rPr>
        <w:t>2024年度财政拨款收入总计1,672.06万元，</w:t>
      </w:r>
      <w:r>
        <w:rPr>
          <w:rFonts w:ascii="仿宋_GB2312" w:hAnsi="仿宋_GB2312" w:eastAsia="仿宋_GB2312"/>
          <w:b w:val="0"/>
          <w:sz w:val="32"/>
        </w:rPr>
        <w:t>其中：年初财政拨款结转和结余0.00万元，本年财政拨款收入1,672.06万元。</w:t>
      </w:r>
      <w:r>
        <w:rPr>
          <w:rFonts w:ascii="仿宋_GB2312" w:hAnsi="仿宋_GB2312" w:eastAsia="仿宋_GB2312"/>
          <w:b/>
          <w:sz w:val="32"/>
        </w:rPr>
        <w:t>财政拨款支出总计1,672.06万元，</w:t>
      </w:r>
      <w:r>
        <w:rPr>
          <w:rFonts w:ascii="仿宋_GB2312" w:hAnsi="仿宋_GB2312" w:eastAsia="仿宋_GB2312"/>
          <w:b w:val="0"/>
          <w:sz w:val="32"/>
        </w:rPr>
        <w:t>其中：年末财政拨款结转和结余0.00万元，本年财政拨款支出1,672.06万元。</w:t>
      </w:r>
    </w:p>
    <w:p w14:paraId="343B39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增加765.20万元，增长84.38%，主要原因是：本年增加民贸民品贷款贴息资金项目。</w:t>
      </w:r>
      <w:r>
        <w:rPr>
          <w:rFonts w:ascii="仿宋_GB2312" w:hAnsi="仿宋_GB2312" w:eastAsia="仿宋_GB2312"/>
          <w:b/>
          <w:sz w:val="32"/>
        </w:rPr>
        <w:t>与年初预算相比，</w:t>
      </w:r>
      <w:r>
        <w:rPr>
          <w:rFonts w:ascii="仿宋_GB2312" w:hAnsi="仿宋_GB2312" w:eastAsia="仿宋_GB2312"/>
          <w:b w:val="0"/>
          <w:sz w:val="32"/>
        </w:rPr>
        <w:t>年初预算数1,803.04万元，决算数1,672.06万元，预决算差异率-7.26%，主要原因是：年中调减管委会干部生活补贴项目资金。</w:t>
      </w:r>
    </w:p>
    <w:p w14:paraId="65DC9B61">
      <w:pPr>
        <w:spacing w:line="640" w:lineRule="exact"/>
        <w:ind w:firstLine="640"/>
        <w:jc w:val="both"/>
        <w:outlineLvl w:val="2"/>
      </w:pPr>
      <w:r>
        <w:rPr>
          <w:rFonts w:ascii="黑体" w:hAnsi="黑体" w:eastAsia="黑体"/>
          <w:sz w:val="32"/>
        </w:rPr>
        <w:t>五、一般公共预算财政拨款支出决算情况说明</w:t>
      </w:r>
    </w:p>
    <w:p w14:paraId="189F41F1">
      <w:pPr>
        <w:spacing w:line="640" w:lineRule="exact"/>
        <w:ind w:firstLine="640"/>
        <w:jc w:val="both"/>
        <w:outlineLvl w:val="3"/>
      </w:pPr>
      <w:r>
        <w:rPr>
          <w:rFonts w:ascii="楷体_GB2312" w:hAnsi="楷体_GB2312" w:eastAsia="楷体_GB2312"/>
          <w:b/>
          <w:sz w:val="32"/>
        </w:rPr>
        <w:t>（一）一般公共预算财政拨款支出决算总体情况</w:t>
      </w:r>
    </w:p>
    <w:p w14:paraId="0CDD9CA1">
      <w:pPr>
        <w:spacing w:line="580" w:lineRule="exact"/>
        <w:ind w:firstLine="640"/>
        <w:jc w:val="both"/>
      </w:pPr>
      <w:r>
        <w:rPr>
          <w:rFonts w:ascii="仿宋_GB2312" w:hAnsi="仿宋_GB2312" w:eastAsia="仿宋_GB2312"/>
          <w:b/>
          <w:sz w:val="32"/>
        </w:rPr>
        <w:t>2024年度一般公共预算财政拨款支出1,672.06万元，</w:t>
      </w:r>
      <w:r>
        <w:rPr>
          <w:rFonts w:ascii="仿宋_GB2312" w:hAnsi="仿宋_GB2312" w:eastAsia="仿宋_GB2312"/>
          <w:b w:val="0"/>
          <w:sz w:val="32"/>
        </w:rPr>
        <w:t>占本年支出合计的90.63%。</w:t>
      </w:r>
      <w:r>
        <w:rPr>
          <w:rFonts w:ascii="仿宋_GB2312" w:hAnsi="仿宋_GB2312" w:eastAsia="仿宋_GB2312"/>
          <w:b/>
          <w:sz w:val="32"/>
        </w:rPr>
        <w:t>与上年相比，</w:t>
      </w:r>
      <w:r>
        <w:rPr>
          <w:rFonts w:ascii="仿宋_GB2312" w:hAnsi="仿宋_GB2312" w:eastAsia="仿宋_GB2312"/>
          <w:b w:val="0"/>
          <w:sz w:val="32"/>
        </w:rPr>
        <w:t>增加765.20万元，增长84.38%，主要原因是：本年增加民贸民品贷款贴息资金项目。</w:t>
      </w:r>
      <w:r>
        <w:rPr>
          <w:rFonts w:ascii="仿宋_GB2312" w:hAnsi="仿宋_GB2312" w:eastAsia="仿宋_GB2312"/>
          <w:b/>
          <w:sz w:val="32"/>
        </w:rPr>
        <w:t>与年初预算相比,</w:t>
      </w:r>
      <w:r>
        <w:rPr>
          <w:rFonts w:ascii="仿宋_GB2312" w:hAnsi="仿宋_GB2312" w:eastAsia="仿宋_GB2312"/>
          <w:b w:val="0"/>
          <w:sz w:val="32"/>
        </w:rPr>
        <w:t>年初预算数1,803.04万元，决算数1,672.06万元，预决算差异率-7.26%，主要原因是：年中调减管委会干部生活补贴项目资金。</w:t>
      </w:r>
    </w:p>
    <w:p w14:paraId="68B5AA58">
      <w:pPr>
        <w:spacing w:line="640" w:lineRule="exact"/>
        <w:ind w:firstLine="640"/>
        <w:jc w:val="both"/>
        <w:outlineLvl w:val="3"/>
      </w:pPr>
      <w:r>
        <w:rPr>
          <w:rFonts w:ascii="楷体_GB2312" w:hAnsi="楷体_GB2312" w:eastAsia="楷体_GB2312"/>
          <w:b/>
          <w:sz w:val="32"/>
        </w:rPr>
        <w:t>（二）一般公共预算财政拨款支出决算结构情况</w:t>
      </w:r>
    </w:p>
    <w:p w14:paraId="644459C6">
      <w:pPr>
        <w:spacing w:line="580" w:lineRule="exact"/>
        <w:ind w:firstLine="640"/>
        <w:jc w:val="both"/>
      </w:pPr>
      <w:r>
        <w:rPr>
          <w:rFonts w:ascii="仿宋_GB2312" w:hAnsi="仿宋_GB2312" w:eastAsia="仿宋_GB2312"/>
          <w:b w:val="0"/>
          <w:sz w:val="32"/>
        </w:rPr>
        <w:t>1.一般公共服务支出(类)625.86万元,占37.43%。</w:t>
      </w:r>
    </w:p>
    <w:p w14:paraId="04CC538A">
      <w:pPr>
        <w:spacing w:line="580" w:lineRule="exact"/>
        <w:ind w:firstLine="640"/>
        <w:jc w:val="both"/>
      </w:pPr>
      <w:r>
        <w:rPr>
          <w:rFonts w:ascii="仿宋_GB2312" w:hAnsi="仿宋_GB2312" w:eastAsia="仿宋_GB2312"/>
          <w:b w:val="0"/>
          <w:sz w:val="32"/>
        </w:rPr>
        <w:t>2.社会保障和就业支出(类)46.04万元,占2.75%。</w:t>
      </w:r>
    </w:p>
    <w:p w14:paraId="600A874A">
      <w:pPr>
        <w:spacing w:line="580" w:lineRule="exact"/>
        <w:ind w:firstLine="640"/>
        <w:jc w:val="both"/>
      </w:pPr>
      <w:r>
        <w:rPr>
          <w:rFonts w:ascii="仿宋_GB2312" w:hAnsi="仿宋_GB2312" w:eastAsia="仿宋_GB2312"/>
          <w:b w:val="0"/>
          <w:sz w:val="32"/>
        </w:rPr>
        <w:t>3.卫生健康支出(类)11.52万元,占0.69%。</w:t>
      </w:r>
    </w:p>
    <w:p w14:paraId="5348C2E0">
      <w:pPr>
        <w:spacing w:line="580" w:lineRule="exact"/>
        <w:ind w:firstLine="640"/>
        <w:jc w:val="both"/>
      </w:pPr>
      <w:r>
        <w:rPr>
          <w:rFonts w:ascii="仿宋_GB2312" w:hAnsi="仿宋_GB2312" w:eastAsia="仿宋_GB2312"/>
          <w:b w:val="0"/>
          <w:sz w:val="32"/>
        </w:rPr>
        <w:t>4.农林水支出(类)26.38万元,占1.58%。</w:t>
      </w:r>
    </w:p>
    <w:p w14:paraId="5D61B367">
      <w:pPr>
        <w:spacing w:line="580" w:lineRule="exact"/>
        <w:ind w:firstLine="640"/>
        <w:jc w:val="both"/>
      </w:pPr>
      <w:r>
        <w:rPr>
          <w:rFonts w:ascii="仿宋_GB2312" w:hAnsi="仿宋_GB2312" w:eastAsia="仿宋_GB2312"/>
          <w:b w:val="0"/>
          <w:sz w:val="32"/>
        </w:rPr>
        <w:t>5.商业服务业等支出(类)945.02万元,占56.52%。</w:t>
      </w:r>
    </w:p>
    <w:p w14:paraId="678A9F35">
      <w:pPr>
        <w:spacing w:line="580" w:lineRule="exact"/>
        <w:ind w:firstLine="640"/>
        <w:jc w:val="both"/>
      </w:pPr>
      <w:r>
        <w:rPr>
          <w:rFonts w:ascii="仿宋_GB2312" w:hAnsi="仿宋_GB2312" w:eastAsia="仿宋_GB2312"/>
          <w:b w:val="0"/>
          <w:sz w:val="32"/>
        </w:rPr>
        <w:t>6.住房保障支出(类)17.25万元,占1.03%。</w:t>
      </w:r>
    </w:p>
    <w:p w14:paraId="78FBB155">
      <w:pPr>
        <w:spacing w:line="640" w:lineRule="exact"/>
        <w:ind w:firstLine="640"/>
        <w:jc w:val="both"/>
        <w:outlineLvl w:val="3"/>
      </w:pPr>
      <w:r>
        <w:rPr>
          <w:rFonts w:ascii="楷体_GB2312" w:hAnsi="楷体_GB2312" w:eastAsia="楷体_GB2312"/>
          <w:b/>
          <w:sz w:val="32"/>
        </w:rPr>
        <w:t>（三）一般公共预算财政拨款支出决算具体情况</w:t>
      </w:r>
    </w:p>
    <w:p w14:paraId="67ED868C">
      <w:pPr>
        <w:spacing w:line="580" w:lineRule="exact"/>
        <w:ind w:firstLine="640"/>
        <w:jc w:val="both"/>
      </w:pPr>
      <w:r>
        <w:rPr>
          <w:rFonts w:ascii="仿宋_GB2312" w:hAnsi="仿宋_GB2312" w:eastAsia="仿宋_GB2312"/>
          <w:b w:val="0"/>
          <w:sz w:val="32"/>
        </w:rPr>
        <w:t>1.一般公共服务支出(类)统战事务(款)行政运行(项):支出决算数为227.73万元，比上年决算减少22.91万元，下降9.14%,主要原因是：本年在职人员减少，相应人员经费较上年减少。</w:t>
      </w:r>
    </w:p>
    <w:p w14:paraId="508666A7">
      <w:pPr>
        <w:spacing w:line="580" w:lineRule="exact"/>
        <w:ind w:firstLine="640"/>
        <w:jc w:val="both"/>
      </w:pPr>
      <w:r>
        <w:rPr>
          <w:rFonts w:ascii="仿宋_GB2312" w:hAnsi="仿宋_GB2312" w:eastAsia="仿宋_GB2312"/>
          <w:b w:val="0"/>
          <w:sz w:val="32"/>
        </w:rPr>
        <w:t>2.一般公共服务支出(类)统战事务(款)宗教事务(项):支出决算数为363.12万元，比上年决算减少126.96万元，下降25.91%,主要原因是：本年减少教职人员生活补贴项目资金。</w:t>
      </w:r>
    </w:p>
    <w:p w14:paraId="711F9092">
      <w:pPr>
        <w:spacing w:line="580" w:lineRule="exact"/>
        <w:ind w:firstLine="640"/>
        <w:jc w:val="both"/>
      </w:pPr>
      <w:r>
        <w:rPr>
          <w:rFonts w:ascii="仿宋_GB2312" w:hAnsi="仿宋_GB2312" w:eastAsia="仿宋_GB2312"/>
          <w:b w:val="0"/>
          <w:sz w:val="32"/>
        </w:rPr>
        <w:t>3.一般公共服务支出(类)统战事务(款)其他统战事务支出(项):支出决算数为35.00万元，比上年决算减少21.11万元，下降37.62%,主要原因是：本年减少教职人员和管委会干部生活补贴项目资金。</w:t>
      </w:r>
    </w:p>
    <w:p w14:paraId="08DC348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4.社会保障和就业支出(类)行政事业单位养老支出(款)行政单位离退休(项):支出决算数为15.72万元，比上年决算增加3.89万元，增长32.88%,主要原因是：本年退休人员增加，退休费支出增加。</w:t>
      </w:r>
    </w:p>
    <w:p w14:paraId="58087DF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21.29万元，比上年决算减少3.77万元，下降15.04%,主要原因是：本年在职人员减少，单位基本养老保险缴费较上年减少。</w:t>
      </w:r>
    </w:p>
    <w:p w14:paraId="247348C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6.社会保障和就业支出(类)行政事业单位养老支出(款)机关事业单位职业年金缴费支出(项):支出决算数为9.03万元，比上年决算增加0.85万元，增长10.39%,主要原因是：本年新增退休人员</w:t>
      </w:r>
      <w:r>
        <w:rPr>
          <w:rFonts w:hint="eastAsia" w:ascii="仿宋_GB2312" w:hAnsi="仿宋_GB2312" w:eastAsia="仿宋_GB2312"/>
          <w:b w:val="0"/>
          <w:sz w:val="32"/>
          <w:lang w:eastAsia="zh-CN"/>
        </w:rPr>
        <w:t>基数较上年高</w:t>
      </w:r>
      <w:r>
        <w:rPr>
          <w:rFonts w:ascii="仿宋_GB2312" w:hAnsi="仿宋_GB2312" w:eastAsia="仿宋_GB2312"/>
          <w:b w:val="0"/>
          <w:sz w:val="32"/>
        </w:rPr>
        <w:t>，职业年金缴费支出增加。</w:t>
      </w:r>
    </w:p>
    <w:p w14:paraId="3A6F4DD9">
      <w:pPr>
        <w:spacing w:line="580" w:lineRule="exact"/>
        <w:ind w:firstLine="640"/>
        <w:jc w:val="both"/>
      </w:pPr>
      <w:r>
        <w:rPr>
          <w:rFonts w:ascii="仿宋_GB2312" w:hAnsi="仿宋_GB2312" w:eastAsia="仿宋_GB2312"/>
          <w:b w:val="0"/>
          <w:sz w:val="32"/>
        </w:rPr>
        <w:t>7.卫生健康支出(类)行政事业单位医疗(款)行政单位医疗(项):支出决算数为9.05万元，比上年决算减少6.18万元，下降40.58%,主要原因是：本年在职人员减少，行政单位医疗支出较上年减少。</w:t>
      </w:r>
    </w:p>
    <w:p w14:paraId="71E37C2E">
      <w:pPr>
        <w:spacing w:line="580" w:lineRule="exact"/>
        <w:ind w:firstLine="640"/>
        <w:jc w:val="both"/>
      </w:pPr>
      <w:r>
        <w:rPr>
          <w:rFonts w:ascii="仿宋_GB2312" w:hAnsi="仿宋_GB2312" w:eastAsia="仿宋_GB2312"/>
          <w:b w:val="0"/>
          <w:sz w:val="32"/>
        </w:rPr>
        <w:t>8.卫生健康支出(类)行政事业单位医疗(款)公务员医疗补助(项):支出决算数为2.47万元，比上年决算减少1.93万元，下降43.86%,主要原因是：本年在职人员减少，公务员医疗补助较上年减少。</w:t>
      </w:r>
    </w:p>
    <w:p w14:paraId="1CF14708">
      <w:pPr>
        <w:spacing w:line="580" w:lineRule="exact"/>
        <w:ind w:firstLine="640"/>
        <w:jc w:val="both"/>
      </w:pPr>
      <w:r>
        <w:rPr>
          <w:rFonts w:ascii="仿宋_GB2312" w:hAnsi="仿宋_GB2312" w:eastAsia="仿宋_GB2312"/>
          <w:b w:val="0"/>
          <w:sz w:val="32"/>
        </w:rPr>
        <w:t>9.农林水支出(类)巩固脱贫攻坚成果衔接乡村振兴(款)生产发展(项):支出决算数为0.00万元，比上年决算减少25.45万元，下降100.00%,主要原因是：本年科目调整，低氟边销茶项目由生产发展</w:t>
      </w:r>
      <w:r>
        <w:rPr>
          <w:rFonts w:hint="eastAsia" w:ascii="仿宋_GB2312" w:hAnsi="仿宋_GB2312" w:eastAsia="仿宋_GB2312"/>
          <w:b w:val="0"/>
          <w:sz w:val="32"/>
          <w:lang w:eastAsia="zh-CN"/>
        </w:rPr>
        <w:t>科目</w:t>
      </w:r>
      <w:r>
        <w:rPr>
          <w:rFonts w:ascii="仿宋_GB2312" w:hAnsi="仿宋_GB2312" w:eastAsia="仿宋_GB2312"/>
          <w:b w:val="0"/>
          <w:sz w:val="32"/>
        </w:rPr>
        <w:t>调整至其他巩固脱贫攻坚成果衔接乡村振兴支出</w:t>
      </w:r>
      <w:r>
        <w:rPr>
          <w:rFonts w:hint="eastAsia" w:ascii="仿宋_GB2312" w:hAnsi="仿宋_GB2312" w:eastAsia="仿宋_GB2312"/>
          <w:b w:val="0"/>
          <w:sz w:val="32"/>
          <w:lang w:eastAsia="zh-CN"/>
        </w:rPr>
        <w:t>科目</w:t>
      </w:r>
      <w:r>
        <w:rPr>
          <w:rFonts w:ascii="仿宋_GB2312" w:hAnsi="仿宋_GB2312" w:eastAsia="仿宋_GB2312"/>
          <w:b w:val="0"/>
          <w:sz w:val="32"/>
        </w:rPr>
        <w:t>列支，相关经费减少。</w:t>
      </w:r>
    </w:p>
    <w:p w14:paraId="7C862627">
      <w:pPr>
        <w:spacing w:line="580" w:lineRule="exact"/>
        <w:ind w:firstLine="640"/>
        <w:jc w:val="both"/>
      </w:pPr>
      <w:r>
        <w:rPr>
          <w:rFonts w:ascii="仿宋_GB2312" w:hAnsi="仿宋_GB2312" w:eastAsia="仿宋_GB2312"/>
          <w:b w:val="0"/>
          <w:sz w:val="32"/>
        </w:rPr>
        <w:t>10.农林水支出(类)巩固脱贫攻坚成果衔接乡村振兴(款)其他巩固脱贫攻坚成果衔接乡村振兴支出(项):支出决算数为26.38万元，比上年决算增加26.38万元，增长100.00%,主要原因是：本年科目调整，低氟边销茶项目由生产发展</w:t>
      </w:r>
      <w:r>
        <w:rPr>
          <w:rFonts w:hint="eastAsia" w:ascii="仿宋_GB2312" w:hAnsi="仿宋_GB2312" w:eastAsia="仿宋_GB2312"/>
          <w:b w:val="0"/>
          <w:sz w:val="32"/>
          <w:lang w:eastAsia="zh-CN"/>
        </w:rPr>
        <w:t>科目</w:t>
      </w:r>
      <w:r>
        <w:rPr>
          <w:rFonts w:ascii="仿宋_GB2312" w:hAnsi="仿宋_GB2312" w:eastAsia="仿宋_GB2312"/>
          <w:b w:val="0"/>
          <w:sz w:val="32"/>
        </w:rPr>
        <w:t>调整至其他巩固脱贫攻坚成果衔接乡村振兴支出</w:t>
      </w:r>
      <w:r>
        <w:rPr>
          <w:rFonts w:hint="eastAsia" w:ascii="仿宋_GB2312" w:hAnsi="仿宋_GB2312" w:eastAsia="仿宋_GB2312"/>
          <w:b w:val="0"/>
          <w:sz w:val="32"/>
          <w:lang w:eastAsia="zh-CN"/>
        </w:rPr>
        <w:t>科目</w:t>
      </w:r>
      <w:r>
        <w:rPr>
          <w:rFonts w:ascii="仿宋_GB2312" w:hAnsi="仿宋_GB2312" w:eastAsia="仿宋_GB2312"/>
          <w:b w:val="0"/>
          <w:sz w:val="32"/>
        </w:rPr>
        <w:t>列支，相关经费增加。</w:t>
      </w:r>
    </w:p>
    <w:p w14:paraId="3166B339">
      <w:pPr>
        <w:spacing w:line="580" w:lineRule="exact"/>
        <w:ind w:firstLine="640"/>
        <w:jc w:val="both"/>
      </w:pPr>
      <w:r>
        <w:rPr>
          <w:rFonts w:ascii="仿宋_GB2312" w:hAnsi="仿宋_GB2312" w:eastAsia="仿宋_GB2312"/>
          <w:b w:val="0"/>
          <w:sz w:val="32"/>
        </w:rPr>
        <w:t>11.商业服务业等支出(类)商业流通事务(款)民贸民品贷款贴息(项):支出决算数为945.02万元，比上年决算增加945.02万元，增长100.00%,主要原因是：本年增加民贸民品贷款贴息资金项目。</w:t>
      </w:r>
    </w:p>
    <w:p w14:paraId="6C0EABC4">
      <w:pPr>
        <w:spacing w:line="580" w:lineRule="exact"/>
        <w:ind w:firstLine="640"/>
        <w:jc w:val="both"/>
      </w:pPr>
      <w:r>
        <w:rPr>
          <w:rFonts w:ascii="仿宋_GB2312" w:hAnsi="仿宋_GB2312" w:eastAsia="仿宋_GB2312"/>
          <w:b w:val="0"/>
          <w:sz w:val="32"/>
        </w:rPr>
        <w:t>12.住房保障支出(类)住房改革支出(款)住房公积金(项):支出决算数为17.25万元，比上年决算减少2.64万元，下降13.27%,主要原因是：本年在职人员减少，住房公积金缴费较上年减少。</w:t>
      </w:r>
    </w:p>
    <w:p w14:paraId="6D2ED481">
      <w:pPr>
        <w:spacing w:line="640" w:lineRule="exact"/>
        <w:ind w:firstLine="640"/>
        <w:jc w:val="both"/>
        <w:outlineLvl w:val="2"/>
      </w:pPr>
      <w:r>
        <w:rPr>
          <w:rFonts w:ascii="黑体" w:hAnsi="黑体" w:eastAsia="黑体"/>
          <w:sz w:val="32"/>
        </w:rPr>
        <w:t>六、一般公共预算财政拨款基本支出决算情况说明</w:t>
      </w:r>
    </w:p>
    <w:p w14:paraId="2514334D">
      <w:pPr>
        <w:spacing w:line="580" w:lineRule="exact"/>
        <w:ind w:firstLine="640"/>
        <w:jc w:val="both"/>
      </w:pPr>
      <w:r>
        <w:rPr>
          <w:rFonts w:ascii="仿宋_GB2312" w:hAnsi="仿宋_GB2312" w:eastAsia="仿宋_GB2312"/>
          <w:b w:val="0"/>
          <w:sz w:val="32"/>
        </w:rPr>
        <w:t>2024年度一般公共预算财政拨款基本支出302.54万元，其中：</w:t>
      </w:r>
      <w:r>
        <w:rPr>
          <w:rFonts w:ascii="仿宋_GB2312" w:hAnsi="仿宋_GB2312" w:eastAsia="仿宋_GB2312"/>
          <w:b/>
          <w:sz w:val="32"/>
        </w:rPr>
        <w:t>人员经费294.03万元，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0EC3E6EA">
      <w:pPr>
        <w:spacing w:line="580" w:lineRule="exact"/>
        <w:ind w:firstLine="640"/>
        <w:jc w:val="both"/>
      </w:pPr>
      <w:r>
        <w:rPr>
          <w:rFonts w:ascii="仿宋_GB2312" w:hAnsi="仿宋_GB2312" w:eastAsia="仿宋_GB2312"/>
          <w:b/>
          <w:sz w:val="32"/>
        </w:rPr>
        <w:t>公用经费8.51万元，</w:t>
      </w:r>
      <w:r>
        <w:rPr>
          <w:rFonts w:ascii="仿宋_GB2312" w:hAnsi="仿宋_GB2312" w:eastAsia="仿宋_GB2312"/>
          <w:b w:val="0"/>
          <w:sz w:val="32"/>
        </w:rPr>
        <w:t>包括：办公费、邮电费、物业管理费、差旅费、专用材料费、劳务费、公务用车运行维护费。</w:t>
      </w:r>
    </w:p>
    <w:p w14:paraId="3DD5E070">
      <w:pPr>
        <w:spacing w:line="640" w:lineRule="exact"/>
        <w:ind w:firstLine="640"/>
        <w:jc w:val="both"/>
        <w:outlineLvl w:val="2"/>
      </w:pPr>
      <w:r>
        <w:rPr>
          <w:rFonts w:ascii="黑体" w:hAnsi="黑体" w:eastAsia="黑体"/>
          <w:sz w:val="32"/>
        </w:rPr>
        <w:t>七、政府性基金预算财政拨款收入支出决算情况说明</w:t>
      </w:r>
    </w:p>
    <w:p w14:paraId="7BE96F1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B7187F">
      <w:pPr>
        <w:spacing w:line="640" w:lineRule="exact"/>
        <w:ind w:firstLine="640"/>
        <w:jc w:val="both"/>
        <w:outlineLvl w:val="2"/>
      </w:pPr>
      <w:r>
        <w:rPr>
          <w:rFonts w:ascii="黑体" w:hAnsi="黑体" w:eastAsia="黑体"/>
          <w:sz w:val="32"/>
        </w:rPr>
        <w:t>八、国有资本经营预算财政拨款收入支出决算情况说明</w:t>
      </w:r>
    </w:p>
    <w:p w14:paraId="2DA8249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64F553">
      <w:pPr>
        <w:spacing w:line="640" w:lineRule="exact"/>
        <w:ind w:firstLine="640"/>
        <w:jc w:val="both"/>
        <w:outlineLvl w:val="2"/>
      </w:pPr>
      <w:r>
        <w:rPr>
          <w:rFonts w:ascii="黑体" w:hAnsi="黑体" w:eastAsia="黑体"/>
          <w:sz w:val="32"/>
        </w:rPr>
        <w:t>九、财政拨款“三公”经费支出决算情况说明</w:t>
      </w:r>
    </w:p>
    <w:p w14:paraId="531568C1">
      <w:pPr>
        <w:spacing w:line="580" w:lineRule="exact"/>
        <w:ind w:firstLine="640"/>
        <w:jc w:val="both"/>
      </w:pPr>
      <w:r>
        <w:rPr>
          <w:rFonts w:ascii="仿宋_GB2312" w:hAnsi="仿宋_GB2312" w:eastAsia="仿宋_GB2312"/>
          <w:b/>
          <w:sz w:val="32"/>
        </w:rPr>
        <w:t>2024年度财政拨款“三公”经费支出4.22万元，</w:t>
      </w:r>
      <w:r>
        <w:rPr>
          <w:rFonts w:ascii="仿宋_GB2312" w:hAnsi="仿宋_GB2312" w:eastAsia="仿宋_GB2312"/>
          <w:b w:val="0"/>
          <w:sz w:val="32"/>
        </w:rPr>
        <w:t>比上年增加3.86万元，增长1,072.22%，主要原因是：本年划转调入一辆公务车辆，增加公务用车运行维护费。其中：因公出国（境）费支出0.00万元，占0.00%，比上年增加0.00万元，增长0.00%，主要原因是：2023年与2024年均未安排因公出国（境）费支出。公务用车购置及运行维护费支出4.22万元，占100.00%，比上年增加3.86万元，增长1,072.22%，主要原因是：本年划转调入一辆公务车辆，增加公务用车运行维护费。公务接待费支出0.00万元，占0.00%，比上年增加0.00万元，增长0.00%，主要原因是：2023年与2024年均未安排公务接待费支出。</w:t>
      </w:r>
    </w:p>
    <w:p w14:paraId="213582DD">
      <w:pPr>
        <w:spacing w:line="580" w:lineRule="exact"/>
        <w:ind w:firstLine="640"/>
        <w:jc w:val="both"/>
      </w:pPr>
      <w:r>
        <w:rPr>
          <w:rFonts w:ascii="仿宋_GB2312" w:hAnsi="仿宋_GB2312" w:eastAsia="仿宋_GB2312"/>
          <w:b/>
          <w:sz w:val="32"/>
        </w:rPr>
        <w:t>具体情况如下：</w:t>
      </w:r>
    </w:p>
    <w:p w14:paraId="09BD271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EFCFE7">
      <w:pPr>
        <w:spacing w:line="580" w:lineRule="exact"/>
        <w:ind w:firstLine="640"/>
        <w:jc w:val="both"/>
      </w:pPr>
      <w:r>
        <w:rPr>
          <w:rFonts w:ascii="仿宋_GB2312" w:hAnsi="仿宋_GB2312" w:eastAsia="仿宋_GB2312"/>
          <w:b w:val="0"/>
          <w:sz w:val="32"/>
        </w:rPr>
        <w:t>公务用车购置及运行维护费4.22万元，其中：公务用车购置费0.00万元，公务用车运行维护费4.22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074ADC3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36356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4.22万元，决算数4.22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4.22万元，决算数4.22万元，预决算差异率0.00%，主要原因是：严格按照预算执行，预决算无差异。公务接待费全年预算数0.00万元，决算数0.00万元，预决算差异率0.00%，主要原因是：本单位无公务接待费。</w:t>
      </w:r>
    </w:p>
    <w:p w14:paraId="719F0915">
      <w:pPr>
        <w:spacing w:line="640" w:lineRule="exact"/>
        <w:ind w:firstLine="640"/>
        <w:jc w:val="both"/>
        <w:outlineLvl w:val="2"/>
      </w:pPr>
      <w:r>
        <w:rPr>
          <w:rFonts w:ascii="黑体" w:hAnsi="黑体" w:eastAsia="黑体"/>
          <w:sz w:val="32"/>
        </w:rPr>
        <w:t>十、其他重要事项的情况说明</w:t>
      </w:r>
    </w:p>
    <w:p w14:paraId="326EE596">
      <w:pPr>
        <w:spacing w:line="640" w:lineRule="exact"/>
        <w:ind w:firstLine="640"/>
        <w:jc w:val="both"/>
        <w:outlineLvl w:val="3"/>
      </w:pPr>
      <w:r>
        <w:rPr>
          <w:rFonts w:ascii="楷体_GB2312" w:hAnsi="楷体_GB2312" w:eastAsia="楷体_GB2312"/>
          <w:b/>
          <w:sz w:val="32"/>
        </w:rPr>
        <w:t>（一）机关运行经费及公用经费支出情况</w:t>
      </w:r>
    </w:p>
    <w:p w14:paraId="2E22C908">
      <w:pPr>
        <w:spacing w:line="580" w:lineRule="exact"/>
        <w:ind w:firstLine="640"/>
        <w:jc w:val="both"/>
      </w:pPr>
      <w:r>
        <w:rPr>
          <w:rFonts w:ascii="仿宋_GB2312" w:hAnsi="仿宋_GB2312" w:eastAsia="仿宋_GB2312"/>
          <w:b w:val="0"/>
          <w:sz w:val="32"/>
        </w:rPr>
        <w:t>2024年度中共岳普湖县委统一战线工作部（行政单位和参照公务员法管理事业单位）机关运行经费支出8.51万元，比上年增加2.86万元，增长50.62%，主要原因是：本年增加公务用车运行维护费。</w:t>
      </w:r>
    </w:p>
    <w:p w14:paraId="4CE7F369">
      <w:pPr>
        <w:spacing w:line="640" w:lineRule="exact"/>
        <w:ind w:firstLine="640"/>
        <w:jc w:val="both"/>
        <w:outlineLvl w:val="3"/>
      </w:pPr>
      <w:r>
        <w:rPr>
          <w:rFonts w:ascii="楷体_GB2312" w:hAnsi="楷体_GB2312" w:eastAsia="楷体_GB2312"/>
          <w:b/>
          <w:sz w:val="32"/>
        </w:rPr>
        <w:t>（二）政府采购情况</w:t>
      </w:r>
    </w:p>
    <w:p w14:paraId="07F30855">
      <w:pPr>
        <w:spacing w:line="580" w:lineRule="exact"/>
        <w:ind w:firstLine="640"/>
        <w:jc w:val="both"/>
      </w:pPr>
      <w:r>
        <w:rPr>
          <w:rFonts w:ascii="仿宋_GB2312" w:hAnsi="仿宋_GB2312" w:eastAsia="仿宋_GB2312"/>
          <w:b w:val="0"/>
          <w:sz w:val="32"/>
        </w:rPr>
        <w:t>2024年度政府采购支出总额2.54万元，其中：政府采购货物支出0.00万元、政府采购工程支出0.00万元、政府采购服务支出2.54万元。</w:t>
      </w:r>
    </w:p>
    <w:p w14:paraId="507C8B52">
      <w:pPr>
        <w:spacing w:line="580" w:lineRule="exact"/>
        <w:ind w:firstLine="640"/>
        <w:jc w:val="both"/>
      </w:pPr>
      <w:r>
        <w:rPr>
          <w:rFonts w:ascii="仿宋_GB2312" w:hAnsi="仿宋_GB2312" w:eastAsia="仿宋_GB2312"/>
          <w:b w:val="0"/>
          <w:sz w:val="32"/>
        </w:rPr>
        <w:t>授予中小企业合同金额2.54万元，占政府采购支出总额的100.00%，其中：授予小微企业合同金额2.54万元，占政府采购支出总额的100.00%。</w:t>
      </w:r>
    </w:p>
    <w:p w14:paraId="6628690F">
      <w:pPr>
        <w:spacing w:line="640" w:lineRule="exact"/>
        <w:ind w:firstLine="640"/>
        <w:jc w:val="both"/>
        <w:outlineLvl w:val="3"/>
      </w:pPr>
      <w:r>
        <w:rPr>
          <w:rFonts w:ascii="楷体_GB2312" w:hAnsi="楷体_GB2312" w:eastAsia="楷体_GB2312"/>
          <w:b/>
          <w:sz w:val="32"/>
        </w:rPr>
        <w:t>（三）国有资产占用情况说明</w:t>
      </w:r>
    </w:p>
    <w:p w14:paraId="6718E28B">
      <w:pPr>
        <w:spacing w:line="580" w:lineRule="exact"/>
        <w:ind w:firstLine="640"/>
        <w:jc w:val="both"/>
      </w:pPr>
      <w:r>
        <w:rPr>
          <w:rFonts w:ascii="仿宋_GB2312" w:hAnsi="仿宋_GB2312" w:eastAsia="仿宋_GB2312"/>
          <w:b w:val="0"/>
          <w:sz w:val="32"/>
        </w:rPr>
        <w:t>截至2024年12月31日，房屋0.00平方米，价值0.00万元。车辆1辆，价值21.28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BC817AD">
      <w:pPr>
        <w:spacing w:line="640" w:lineRule="exact"/>
        <w:ind w:firstLine="640"/>
        <w:jc w:val="both"/>
        <w:outlineLvl w:val="2"/>
      </w:pPr>
      <w:r>
        <w:rPr>
          <w:rFonts w:ascii="黑体" w:hAnsi="黑体" w:eastAsia="黑体"/>
          <w:sz w:val="32"/>
        </w:rPr>
        <w:t>十一、预算绩效的情况说明</w:t>
      </w:r>
    </w:p>
    <w:p w14:paraId="32B666B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根据预算绩效管理要求，本单位2024年度预算绩效管理形成整体支出绩效自评表1个，全年预算总额1,844.84万元，实际执行总额1,844.84万元；预算绩效评价项目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460.86</w:t>
      </w:r>
      <w:r>
        <w:rPr>
          <w:rFonts w:ascii="仿宋_GB2312" w:hAnsi="仿宋_GB2312" w:eastAsia="仿宋_GB2312"/>
          <w:b w:val="0"/>
          <w:sz w:val="32"/>
        </w:rPr>
        <w:t>万元，全年执行数</w:t>
      </w:r>
      <w:r>
        <w:rPr>
          <w:rFonts w:hint="eastAsia" w:ascii="仿宋_GB2312" w:hAnsi="仿宋_GB2312" w:eastAsia="仿宋_GB2312"/>
          <w:b w:val="0"/>
          <w:sz w:val="32"/>
        </w:rPr>
        <w:t>377.06</w:t>
      </w:r>
      <w:r>
        <w:rPr>
          <w:rFonts w:ascii="仿宋_GB2312" w:hAnsi="仿宋_GB2312" w:eastAsia="仿宋_GB2312"/>
          <w:b w:val="0"/>
          <w:sz w:val="32"/>
        </w:rPr>
        <w:t>万元。预算绩效管理取得的成效：一是管理意识增强，资金使用和管理逐年规范。预算部门对预算管理、资金绩效的重视程度和管理能力逐步提升，预算控制比较严格，无项目支出超预算的情况，财政部门布置的协同理财、国库集中支付、资产管理、政府采购等规定的执行总体比较规范。基本没有在项目支出中夹杂违规支出的情况。绩效目标编制的规范性、专业性和量化水平明显提高；二是绩效意识进一步增强，项目完成情况总体较好。贯彻县政府目标管理的总体要求，各单位绩效管理的意识进一步增强，评价项目的目标任务基本完成，项目成效明显；三是评价结果应用逐步深化。针对绩效评价提出的问题和整改建议，单位积极落实措施调整预算、改进管理；四是项目成本分析范围进一步拓展。积极开展成本分析，为预算安排提供了细化、充分的编制依据，部分项目内容因绩效不明显予以调整核减，部分项目实事求是提高标准予以充分的资金保障，促进了财政支出结构的进一步优化。发现的问题及原因：过于重视项目短期行为，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缺少带着问题去评价的意识，后续效益评价具体措施和方法不足。下一步改进措施：加大绩效工作宣传力度，强化绩效理念。完善绩效指标，依据对部门工作任务的分解形成工作活动层面的绩效目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0970EBC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F6E7A79">
        <w:tblPrEx>
          <w:tblCellMar>
            <w:top w:w="0" w:type="dxa"/>
            <w:left w:w="108" w:type="dxa"/>
            <w:bottom w:w="0" w:type="dxa"/>
            <w:right w:w="108" w:type="dxa"/>
          </w:tblCellMar>
        </w:tblPrEx>
        <w:tc>
          <w:tcPr>
            <w:tcW w:w="8847" w:type="dxa"/>
            <w:gridSpan w:val="9"/>
            <w:vAlign w:val="center"/>
          </w:tcPr>
          <w:p w14:paraId="17CBD7DF">
            <w:pPr>
              <w:jc w:val="center"/>
            </w:pPr>
            <w:r>
              <w:rPr>
                <w:rFonts w:ascii="宋体" w:hAnsi="宋体" w:eastAsia="宋体"/>
                <w:sz w:val="24"/>
              </w:rPr>
              <w:t>单位整体支出绩效自评表</w:t>
            </w:r>
          </w:p>
        </w:tc>
      </w:tr>
      <w:tr w14:paraId="71808B4F">
        <w:tblPrEx>
          <w:tblCellMar>
            <w:top w:w="0" w:type="dxa"/>
            <w:left w:w="108" w:type="dxa"/>
            <w:bottom w:w="0" w:type="dxa"/>
            <w:right w:w="108" w:type="dxa"/>
          </w:tblCellMar>
        </w:tblPrEx>
        <w:tc>
          <w:tcPr>
            <w:tcW w:w="8847" w:type="dxa"/>
            <w:gridSpan w:val="9"/>
            <w:vAlign w:val="center"/>
          </w:tcPr>
          <w:p w14:paraId="70CFADE2">
            <w:pPr>
              <w:jc w:val="center"/>
            </w:pPr>
            <w:r>
              <w:rPr>
                <w:rFonts w:ascii="宋体" w:hAnsi="宋体" w:eastAsia="宋体"/>
                <w:sz w:val="24"/>
              </w:rPr>
              <w:t>（2024年度）</w:t>
            </w:r>
          </w:p>
        </w:tc>
      </w:tr>
      <w:tr w14:paraId="572614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787C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B0E2A3">
            <w:pPr>
              <w:jc w:val="center"/>
            </w:pPr>
            <w:r>
              <w:rPr>
                <w:rFonts w:ascii="宋体" w:hAnsi="宋体" w:eastAsia="宋体"/>
                <w:sz w:val="16"/>
              </w:rPr>
              <w:t>中共岳普湖县委统一战线工作部</w:t>
            </w:r>
          </w:p>
        </w:tc>
      </w:tr>
      <w:tr w14:paraId="5936EF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862A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3142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BB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F8C3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EF52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E317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B0B4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A65F6">
            <w:pPr>
              <w:jc w:val="center"/>
            </w:pPr>
            <w:r>
              <w:rPr>
                <w:rFonts w:ascii="宋体" w:hAnsi="宋体" w:eastAsia="宋体"/>
                <w:sz w:val="16"/>
              </w:rPr>
              <w:t>得分</w:t>
            </w:r>
          </w:p>
        </w:tc>
      </w:tr>
      <w:tr w14:paraId="59DCDF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B94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06AE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820C0">
            <w:pPr>
              <w:jc w:val="center"/>
            </w:pPr>
            <w:r>
              <w:rPr>
                <w:rFonts w:ascii="宋体" w:hAnsi="宋体" w:eastAsia="宋体"/>
                <w:sz w:val="16"/>
              </w:rPr>
              <w:t>1,803.04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7FAB0">
            <w:pPr>
              <w:jc w:val="center"/>
            </w:pPr>
            <w:r>
              <w:rPr>
                <w:rFonts w:ascii="宋体" w:hAnsi="宋体" w:eastAsia="宋体"/>
                <w:sz w:val="16"/>
              </w:rPr>
              <w:t>1,844.84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C473A">
            <w:pPr>
              <w:jc w:val="center"/>
            </w:pPr>
            <w:r>
              <w:rPr>
                <w:rFonts w:ascii="宋体" w:hAnsi="宋体" w:eastAsia="宋体"/>
                <w:sz w:val="16"/>
              </w:rPr>
              <w:t>1,844.84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67D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5BBD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385F">
            <w:pPr>
              <w:jc w:val="center"/>
            </w:pPr>
            <w:r>
              <w:rPr>
                <w:rFonts w:ascii="宋体" w:hAnsi="宋体" w:eastAsia="宋体"/>
                <w:sz w:val="16"/>
              </w:rPr>
              <w:t>10</w:t>
            </w:r>
          </w:p>
        </w:tc>
      </w:tr>
      <w:tr w14:paraId="5CEFFC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FC3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4C9E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A15AB">
            <w:pPr>
              <w:jc w:val="center"/>
            </w:pPr>
            <w:r>
              <w:rPr>
                <w:rFonts w:ascii="宋体" w:hAnsi="宋体" w:eastAsia="宋体"/>
                <w:sz w:val="16"/>
              </w:rPr>
              <w:t>1,397.45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97B8F">
            <w:pPr>
              <w:jc w:val="center"/>
            </w:pPr>
            <w:r>
              <w:rPr>
                <w:rFonts w:ascii="宋体" w:hAnsi="宋体" w:eastAsia="宋体"/>
                <w:sz w:val="16"/>
              </w:rPr>
              <w:t>1,299.54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B4B40">
            <w:pPr>
              <w:jc w:val="center"/>
            </w:pPr>
            <w:r>
              <w:rPr>
                <w:rFonts w:ascii="宋体" w:hAnsi="宋体" w:eastAsia="宋体"/>
                <w:sz w:val="16"/>
              </w:rPr>
              <w:t>1,299.54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92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0F1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B3BF">
            <w:pPr>
              <w:jc w:val="center"/>
            </w:pPr>
            <w:r>
              <w:rPr>
                <w:rFonts w:ascii="宋体" w:hAnsi="宋体" w:eastAsia="宋体"/>
                <w:sz w:val="16"/>
              </w:rPr>
              <w:t>—</w:t>
            </w:r>
          </w:p>
        </w:tc>
      </w:tr>
      <w:tr w14:paraId="4173DA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79B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B297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042C5">
            <w:pPr>
              <w:jc w:val="center"/>
            </w:pPr>
            <w:r>
              <w:rPr>
                <w:rFonts w:ascii="宋体" w:hAnsi="宋体" w:eastAsia="宋体"/>
                <w:sz w:val="16"/>
              </w:rPr>
              <w:t>405.59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5FD82">
            <w:pPr>
              <w:jc w:val="center"/>
            </w:pPr>
            <w:r>
              <w:rPr>
                <w:rFonts w:ascii="宋体" w:hAnsi="宋体" w:eastAsia="宋体"/>
                <w:sz w:val="16"/>
              </w:rPr>
              <w:t>472.95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0E861">
            <w:pPr>
              <w:jc w:val="center"/>
            </w:pPr>
            <w:r>
              <w:rPr>
                <w:rFonts w:ascii="宋体" w:hAnsi="宋体" w:eastAsia="宋体"/>
                <w:sz w:val="16"/>
              </w:rPr>
              <w:t>472.95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5BD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C5EB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8B4EF">
            <w:pPr>
              <w:jc w:val="center"/>
            </w:pPr>
            <w:r>
              <w:rPr>
                <w:rFonts w:ascii="宋体" w:hAnsi="宋体" w:eastAsia="宋体"/>
                <w:sz w:val="16"/>
              </w:rPr>
              <w:t>—</w:t>
            </w:r>
          </w:p>
        </w:tc>
      </w:tr>
      <w:tr w14:paraId="5DE6AF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E2B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EC9B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116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24625">
            <w:pPr>
              <w:jc w:val="center"/>
            </w:pPr>
            <w:r>
              <w:rPr>
                <w:rFonts w:ascii="宋体" w:hAnsi="宋体" w:eastAsia="宋体"/>
                <w:sz w:val="16"/>
              </w:rPr>
              <w:t>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638F5">
            <w:pPr>
              <w:jc w:val="center"/>
            </w:pPr>
            <w:r>
              <w:rPr>
                <w:rFonts w:ascii="宋体" w:hAnsi="宋体" w:eastAsia="宋体"/>
                <w:sz w:val="16"/>
              </w:rPr>
              <w:t>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820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D8DF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35DD">
            <w:pPr>
              <w:jc w:val="center"/>
            </w:pPr>
            <w:r>
              <w:rPr>
                <w:rFonts w:ascii="宋体" w:hAnsi="宋体" w:eastAsia="宋体"/>
                <w:sz w:val="16"/>
              </w:rPr>
              <w:t>—</w:t>
            </w:r>
          </w:p>
        </w:tc>
      </w:tr>
      <w:tr w14:paraId="7C81AD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84B6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22295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AF06A">
            <w:pPr>
              <w:jc w:val="center"/>
            </w:pPr>
            <w:r>
              <w:rPr>
                <w:rFonts w:ascii="宋体" w:hAnsi="宋体" w:eastAsia="宋体"/>
                <w:sz w:val="16"/>
              </w:rPr>
              <w:t>实际完成情况</w:t>
            </w:r>
          </w:p>
        </w:tc>
      </w:tr>
      <w:tr w14:paraId="42DBC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5212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9866A4">
            <w:pPr>
              <w:jc w:val="both"/>
            </w:pPr>
            <w:r>
              <w:rPr>
                <w:rFonts w:ascii="宋体" w:hAnsi="宋体" w:eastAsia="宋体"/>
                <w:sz w:val="16"/>
              </w:rPr>
              <w:t>帮扶指导民族贸易企业31家，引导金融机构加</w:t>
            </w:r>
            <w:bookmarkStart w:id="0" w:name="_GoBack"/>
            <w:bookmarkEnd w:id="0"/>
            <w:r>
              <w:rPr>
                <w:rFonts w:ascii="宋体" w:hAnsi="宋体" w:eastAsia="宋体"/>
                <w:sz w:val="16"/>
              </w:rPr>
              <w:t>大对民族贸易和民族特需商品生产企业的支持，引导融资担保机构加大对民族贸易和民族特需商品生产企业的担保支持；开展2次民族团结一家亲活动，提升统战民宗干部服务群众工作的主动性和积极性。全面深化统战格局，推进统一战线各领域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0FDF3">
            <w:pPr>
              <w:jc w:val="both"/>
            </w:pPr>
            <w:r>
              <w:rPr>
                <w:rFonts w:ascii="宋体" w:hAnsi="宋体" w:eastAsia="宋体"/>
                <w:sz w:val="16"/>
              </w:rPr>
              <w:t>帮扶指导民贸民品企业数量达到了31家，岳普湖县民贸民品企业优惠政策均全方位有效落实，引导金融机构加大了对民族贸易和民族特需商品生产企业的支持，引导融资担保机构加大了对民族贸易和民族特需商品生产企业的担保支持；开展了民族团结一家亲活动达到了2次，民族团结一家亲活动任务按期完成，提升了统战民宗干部服务群众工作的主动性和积极性。民族团结政策得到了全方位的宣传普及，全面深化了统战格局，推进了统一战线各领域工作稳步提升。</w:t>
            </w:r>
          </w:p>
        </w:tc>
      </w:tr>
      <w:tr w14:paraId="29ABA3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D367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0200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0963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20AC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9CF7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6F2B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FA0C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5067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4F86A">
            <w:pPr>
              <w:jc w:val="center"/>
            </w:pPr>
            <w:r>
              <w:rPr>
                <w:rFonts w:ascii="宋体" w:hAnsi="宋体" w:eastAsia="宋体"/>
                <w:sz w:val="16"/>
              </w:rPr>
              <w:t>得分</w:t>
            </w:r>
          </w:p>
        </w:tc>
      </w:tr>
      <w:tr w14:paraId="4CF933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7EF2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ADBD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086AD">
            <w:pPr>
              <w:jc w:val="center"/>
            </w:pPr>
            <w:r>
              <w:rPr>
                <w:rFonts w:ascii="宋体" w:hAnsi="宋体" w:eastAsia="宋体"/>
                <w:sz w:val="16"/>
              </w:rPr>
              <w:t>帮扶指导民族贸易企业数量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0F982">
            <w:pPr>
              <w:jc w:val="center"/>
            </w:pPr>
            <w:r>
              <w:rPr>
                <w:rFonts w:ascii="宋体" w:hAnsi="宋体" w:eastAsia="宋体"/>
                <w:sz w:val="16"/>
              </w:rPr>
              <w:t>&gt;=31家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270C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6E3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D6DE0">
            <w:pPr>
              <w:jc w:val="center"/>
            </w:pPr>
            <w:r>
              <w:rPr>
                <w:rFonts w:ascii="宋体" w:hAnsi="宋体" w:eastAsia="宋体"/>
                <w:sz w:val="16"/>
              </w:rPr>
              <w:t>31家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939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8EB11">
            <w:pPr>
              <w:jc w:val="center"/>
            </w:pPr>
            <w:r>
              <w:rPr>
                <w:rFonts w:ascii="宋体" w:hAnsi="宋体" w:eastAsia="宋体"/>
                <w:sz w:val="16"/>
              </w:rPr>
              <w:t>18</w:t>
            </w:r>
          </w:p>
        </w:tc>
      </w:tr>
      <w:tr w14:paraId="146D9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161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454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4107C">
            <w:pPr>
              <w:jc w:val="center"/>
            </w:pPr>
            <w:r>
              <w:rPr>
                <w:rFonts w:ascii="宋体" w:hAnsi="宋体" w:eastAsia="宋体"/>
                <w:sz w:val="16"/>
              </w:rPr>
              <w:t>开展中华儿女一家亲活动次数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0EE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686D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9B3D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FDB84">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DA1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AB701">
            <w:pPr>
              <w:jc w:val="center"/>
            </w:pPr>
            <w:r>
              <w:rPr>
                <w:rFonts w:ascii="宋体" w:hAnsi="宋体" w:eastAsia="宋体"/>
                <w:sz w:val="16"/>
              </w:rPr>
              <w:t>18</w:t>
            </w:r>
          </w:p>
        </w:tc>
      </w:tr>
      <w:tr w14:paraId="0D6EE2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251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6D1D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0DD09">
            <w:pPr>
              <w:jc w:val="center"/>
            </w:pPr>
            <w:r>
              <w:rPr>
                <w:rFonts w:ascii="宋体" w:hAnsi="宋体" w:eastAsia="宋体"/>
                <w:sz w:val="16"/>
              </w:rPr>
              <w:t>民族团结政策宣传覆盖率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0EF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8DD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393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626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B3C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697A4">
            <w:pPr>
              <w:jc w:val="center"/>
            </w:pPr>
            <w:r>
              <w:rPr>
                <w:rFonts w:ascii="宋体" w:hAnsi="宋体" w:eastAsia="宋体"/>
                <w:sz w:val="16"/>
              </w:rPr>
              <w:t>18</w:t>
            </w:r>
          </w:p>
        </w:tc>
      </w:tr>
      <w:tr w14:paraId="4F36A3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27D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AA4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C9BCD">
            <w:pPr>
              <w:jc w:val="center"/>
            </w:pPr>
            <w:r>
              <w:rPr>
                <w:rFonts w:ascii="宋体" w:hAnsi="宋体" w:eastAsia="宋体"/>
                <w:sz w:val="16"/>
              </w:rPr>
              <w:t>民贸民品企业优惠政策落实率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03C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461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AA61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53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AD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11D81">
            <w:pPr>
              <w:jc w:val="center"/>
            </w:pPr>
            <w:r>
              <w:rPr>
                <w:rFonts w:ascii="宋体" w:hAnsi="宋体" w:eastAsia="宋体"/>
                <w:sz w:val="16"/>
              </w:rPr>
              <w:t>18</w:t>
            </w:r>
          </w:p>
        </w:tc>
      </w:tr>
      <w:tr w14:paraId="310200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687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3F0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16D3C">
            <w:pPr>
              <w:jc w:val="center"/>
            </w:pPr>
            <w:r>
              <w:rPr>
                <w:rFonts w:ascii="宋体" w:hAnsi="宋体" w:eastAsia="宋体"/>
                <w:sz w:val="16"/>
              </w:rPr>
              <w:t>中华儿女一家亲活动任务按期完成率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AF0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5717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154E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9FD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E9B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950B8">
            <w:pPr>
              <w:jc w:val="center"/>
            </w:pPr>
            <w:r>
              <w:rPr>
                <w:rFonts w:ascii="宋体" w:hAnsi="宋体" w:eastAsia="宋体"/>
                <w:sz w:val="16"/>
              </w:rPr>
              <w:t>18</w:t>
            </w:r>
          </w:p>
        </w:tc>
      </w:tr>
    </w:tbl>
    <w:p w14:paraId="6CF07199">
      <w:r>
        <w:br w:type="page"/>
      </w:r>
    </w:p>
    <w:tbl>
      <w:tblPr>
        <w:tblStyle w:val="9"/>
        <w:tblW w:w="9188" w:type="dxa"/>
        <w:tblInd w:w="0" w:type="dxa"/>
        <w:tblLayout w:type="fixed"/>
        <w:tblCellMar>
          <w:top w:w="0" w:type="dxa"/>
          <w:left w:w="108" w:type="dxa"/>
          <w:bottom w:w="0" w:type="dxa"/>
          <w:right w:w="108" w:type="dxa"/>
        </w:tblCellMar>
      </w:tblPr>
      <w:tblGrid>
        <w:gridCol w:w="632"/>
        <w:gridCol w:w="632"/>
        <w:gridCol w:w="632"/>
        <w:gridCol w:w="785"/>
        <w:gridCol w:w="623"/>
        <w:gridCol w:w="632"/>
        <w:gridCol w:w="632"/>
        <w:gridCol w:w="632"/>
        <w:gridCol w:w="632"/>
        <w:gridCol w:w="632"/>
        <w:gridCol w:w="632"/>
        <w:gridCol w:w="632"/>
        <w:gridCol w:w="632"/>
        <w:gridCol w:w="632"/>
        <w:gridCol w:w="196"/>
      </w:tblGrid>
      <w:tr w14:paraId="07A89BC3">
        <w:tblPrEx>
          <w:tblCellMar>
            <w:top w:w="0" w:type="dxa"/>
            <w:left w:w="108" w:type="dxa"/>
            <w:bottom w:w="0" w:type="dxa"/>
            <w:right w:w="108" w:type="dxa"/>
          </w:tblCellMar>
        </w:tblPrEx>
        <w:tc>
          <w:tcPr>
            <w:tcW w:w="9188" w:type="dxa"/>
            <w:gridSpan w:val="15"/>
            <w:vAlign w:val="center"/>
          </w:tcPr>
          <w:p w14:paraId="48C3F3C4">
            <w:pPr>
              <w:jc w:val="center"/>
            </w:pPr>
            <w:r>
              <w:rPr>
                <w:rFonts w:ascii="宋体" w:hAnsi="宋体" w:eastAsia="宋体"/>
                <w:sz w:val="24"/>
              </w:rPr>
              <w:t>项目支出绩效自评表</w:t>
            </w:r>
          </w:p>
        </w:tc>
      </w:tr>
      <w:tr w14:paraId="3FC17BE1">
        <w:tblPrEx>
          <w:tblCellMar>
            <w:top w:w="0" w:type="dxa"/>
            <w:left w:w="108" w:type="dxa"/>
            <w:bottom w:w="0" w:type="dxa"/>
            <w:right w:w="108" w:type="dxa"/>
          </w:tblCellMar>
        </w:tblPrEx>
        <w:tc>
          <w:tcPr>
            <w:tcW w:w="9188" w:type="dxa"/>
            <w:gridSpan w:val="15"/>
            <w:vAlign w:val="center"/>
          </w:tcPr>
          <w:p w14:paraId="660436F3">
            <w:pPr>
              <w:jc w:val="center"/>
            </w:pPr>
            <w:r>
              <w:rPr>
                <w:rFonts w:ascii="宋体" w:hAnsi="宋体" w:eastAsia="宋体"/>
                <w:sz w:val="24"/>
              </w:rPr>
              <w:t>(2024年度)</w:t>
            </w:r>
          </w:p>
        </w:tc>
      </w:tr>
      <w:tr w14:paraId="39416E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9583">
            <w:pPr>
              <w:jc w:val="center"/>
            </w:pPr>
            <w:r>
              <w:rPr>
                <w:rFonts w:ascii="宋体" w:hAnsi="宋体" w:eastAsia="宋体"/>
                <w:sz w:val="16"/>
              </w:rPr>
              <w:t>项目名称</w:t>
            </w:r>
          </w:p>
        </w:tc>
        <w:tc>
          <w:tcPr>
            <w:tcW w:w="855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4222A33">
            <w:pPr>
              <w:jc w:val="center"/>
            </w:pPr>
            <w:r>
              <w:rPr>
                <w:rFonts w:ascii="宋体" w:hAnsi="宋体" w:eastAsia="宋体"/>
                <w:sz w:val="16"/>
              </w:rPr>
              <w:t>民族贸易和民族特需商品生产贷款贴息引导支持资金项目</w:t>
            </w:r>
          </w:p>
        </w:tc>
      </w:tr>
      <w:tr w14:paraId="3A67E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3F33">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CE827">
            <w:pPr>
              <w:jc w:val="center"/>
            </w:pPr>
            <w:r>
              <w:rPr>
                <w:rFonts w:ascii="宋体" w:hAnsi="宋体" w:eastAsia="宋体"/>
                <w:sz w:val="16"/>
              </w:rPr>
              <w:t>中共岳普湖县委统一战线工作部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67ED">
            <w:pPr>
              <w:jc w:val="center"/>
            </w:pPr>
            <w:r>
              <w:rPr>
                <w:rFonts w:ascii="宋体" w:hAnsi="宋体" w:eastAsia="宋体"/>
                <w:sz w:val="16"/>
              </w:rPr>
              <w:t>实施单位</w:t>
            </w:r>
          </w:p>
        </w:tc>
        <w:tc>
          <w:tcPr>
            <w:tcW w:w="33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C96E2">
            <w:pPr>
              <w:jc w:val="center"/>
            </w:pPr>
            <w:r>
              <w:rPr>
                <w:rFonts w:ascii="宋体" w:hAnsi="宋体" w:eastAsia="宋体"/>
                <w:sz w:val="16"/>
              </w:rPr>
              <w:t>中共岳普湖县委统一战线工作部</w:t>
            </w:r>
          </w:p>
        </w:tc>
      </w:tr>
      <w:tr w14:paraId="5535C6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C55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7FFAB">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78D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1AA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E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D44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54C6">
            <w:pPr>
              <w:jc w:val="center"/>
            </w:pPr>
            <w:r>
              <w:rPr>
                <w:rFonts w:ascii="宋体" w:hAnsi="宋体" w:eastAsia="宋体"/>
                <w:sz w:val="16"/>
              </w:rPr>
              <w:t>执行率</w:t>
            </w:r>
          </w:p>
        </w:tc>
        <w:tc>
          <w:tcPr>
            <w:tcW w:w="8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9BC4">
            <w:pPr>
              <w:jc w:val="center"/>
            </w:pPr>
            <w:r>
              <w:rPr>
                <w:rFonts w:ascii="宋体" w:hAnsi="宋体" w:eastAsia="宋体"/>
                <w:sz w:val="16"/>
              </w:rPr>
              <w:t>得分</w:t>
            </w:r>
          </w:p>
        </w:tc>
      </w:tr>
      <w:tr w14:paraId="4984B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AF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5B68">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F321">
            <w:pPr>
              <w:jc w:val="center"/>
            </w:pPr>
            <w:r>
              <w:rPr>
                <w:rFonts w:ascii="宋体" w:hAnsi="宋体" w:eastAsia="宋体"/>
                <w:sz w:val="16"/>
              </w:rPr>
              <w:t>973.48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CADF">
            <w:pPr>
              <w:jc w:val="center"/>
            </w:pPr>
            <w:r>
              <w:rPr>
                <w:rFonts w:ascii="宋体" w:hAnsi="宋体" w:eastAsia="宋体"/>
                <w:sz w:val="16"/>
              </w:rPr>
              <w:t>973.48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7DC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26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B2FD8">
            <w:pPr>
              <w:jc w:val="center"/>
            </w:pPr>
            <w:r>
              <w:rPr>
                <w:rFonts w:ascii="宋体" w:hAnsi="宋体" w:eastAsia="宋体"/>
                <w:sz w:val="16"/>
              </w:rPr>
              <w:t>0.0%</w:t>
            </w:r>
          </w:p>
        </w:tc>
        <w:tc>
          <w:tcPr>
            <w:tcW w:w="8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AD13">
            <w:pPr>
              <w:jc w:val="center"/>
            </w:pPr>
            <w:r>
              <w:rPr>
                <w:rFonts w:ascii="宋体" w:hAnsi="宋体" w:eastAsia="宋体"/>
                <w:sz w:val="16"/>
              </w:rPr>
              <w:t>0.00分</w:t>
            </w:r>
          </w:p>
        </w:tc>
      </w:tr>
      <w:tr w14:paraId="27940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06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852C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B137A">
            <w:pPr>
              <w:jc w:val="center"/>
            </w:pPr>
            <w:r>
              <w:rPr>
                <w:rFonts w:ascii="宋体" w:hAnsi="宋体" w:eastAsia="宋体"/>
                <w:sz w:val="16"/>
              </w:rPr>
              <w:t>973.48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EDD4">
            <w:pPr>
              <w:jc w:val="center"/>
            </w:pPr>
            <w:r>
              <w:rPr>
                <w:rFonts w:ascii="宋体" w:hAnsi="宋体" w:eastAsia="宋体"/>
                <w:sz w:val="16"/>
              </w:rPr>
              <w:t>973.48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977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C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D92E">
            <w:pPr>
              <w:jc w:val="center"/>
            </w:pPr>
            <w:r>
              <w:rPr>
                <w:rFonts w:ascii="宋体" w:hAnsi="宋体" w:eastAsia="宋体"/>
                <w:sz w:val="16"/>
              </w:rPr>
              <w:t>—</w:t>
            </w:r>
          </w:p>
        </w:tc>
        <w:tc>
          <w:tcPr>
            <w:tcW w:w="8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BCCA9">
            <w:pPr>
              <w:jc w:val="center"/>
            </w:pPr>
            <w:r>
              <w:rPr>
                <w:rFonts w:ascii="宋体" w:hAnsi="宋体" w:eastAsia="宋体"/>
                <w:sz w:val="16"/>
              </w:rPr>
              <w:t>—</w:t>
            </w:r>
          </w:p>
        </w:tc>
      </w:tr>
      <w:tr w14:paraId="081F0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6E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3A459">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96A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CE7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70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67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13ABA">
            <w:pPr>
              <w:jc w:val="center"/>
            </w:pPr>
            <w:r>
              <w:rPr>
                <w:rFonts w:ascii="宋体" w:hAnsi="宋体" w:eastAsia="宋体"/>
                <w:sz w:val="16"/>
              </w:rPr>
              <w:t>—</w:t>
            </w:r>
          </w:p>
        </w:tc>
        <w:tc>
          <w:tcPr>
            <w:tcW w:w="8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9E38">
            <w:pPr>
              <w:jc w:val="center"/>
            </w:pPr>
            <w:r>
              <w:rPr>
                <w:rFonts w:ascii="宋体" w:hAnsi="宋体" w:eastAsia="宋体"/>
                <w:sz w:val="16"/>
              </w:rPr>
              <w:t>—</w:t>
            </w:r>
          </w:p>
        </w:tc>
      </w:tr>
      <w:tr w14:paraId="373CEF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B3139">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CE465">
            <w:pPr>
              <w:jc w:val="center"/>
            </w:pPr>
            <w:r>
              <w:rPr>
                <w:rFonts w:ascii="宋体" w:hAnsi="宋体" w:eastAsia="宋体"/>
                <w:sz w:val="16"/>
              </w:rPr>
              <w:t>预期目标</w:t>
            </w:r>
          </w:p>
        </w:tc>
        <w:tc>
          <w:tcPr>
            <w:tcW w:w="39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9E5D2">
            <w:pPr>
              <w:jc w:val="center"/>
            </w:pPr>
            <w:r>
              <w:rPr>
                <w:rFonts w:ascii="宋体" w:hAnsi="宋体" w:eastAsia="宋体"/>
                <w:sz w:val="16"/>
              </w:rPr>
              <w:t>实际完成情况</w:t>
            </w:r>
          </w:p>
        </w:tc>
      </w:tr>
      <w:tr w14:paraId="1BDC8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BCE61"/>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C2C935">
            <w:pPr>
              <w:jc w:val="both"/>
            </w:pPr>
            <w:r>
              <w:rPr>
                <w:rFonts w:ascii="宋体" w:hAnsi="宋体" w:eastAsia="宋体"/>
                <w:sz w:val="16"/>
              </w:rPr>
              <w:t>对岳普湖县23家民族贸易企业开展贴息补助。通过项目的实施降低民族贸易企业融资成本，提高民族贸易企业生产发展的积极性。切实发挥民贸民品贷款贴息资金惠企利民作用，有效支持自治区民贸民品企业生产经营和民族地区就业与经济发展。</w:t>
            </w:r>
          </w:p>
        </w:tc>
        <w:tc>
          <w:tcPr>
            <w:tcW w:w="39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7D982">
            <w:pPr>
              <w:jc w:val="both"/>
            </w:pPr>
            <w:r>
              <w:rPr>
                <w:rFonts w:ascii="宋体" w:hAnsi="宋体" w:eastAsia="宋体"/>
                <w:sz w:val="16"/>
              </w:rPr>
              <w:t>项目为民族贸易企业贷款贴息补助类项目，当年度项目未执行，贴息补助资金未支付，民族贸易企业贴息补助工作需待次年上级民族</w:t>
            </w:r>
            <w:r>
              <w:rPr>
                <w:rFonts w:hint="eastAsia" w:ascii="宋体" w:hAnsi="宋体"/>
                <w:sz w:val="16"/>
                <w:lang w:val="en-US" w:eastAsia="zh-CN"/>
              </w:rPr>
              <w:t>ZJ</w:t>
            </w:r>
            <w:r>
              <w:rPr>
                <w:rFonts w:ascii="宋体" w:hAnsi="宋体" w:eastAsia="宋体"/>
                <w:sz w:val="16"/>
              </w:rPr>
              <w:t>事务和财政部门下发贷款贴息结算文件后，方可根据上级文件核定的利率为核算依据，计算确定贷款贴息实际核定数，再由县级民宗部门向县级财政部门申请对符合条件的民族贸易企业支付核定的贴息补助。截至2024年12月31日，</w:t>
            </w:r>
            <w:r>
              <w:rPr>
                <w:rFonts w:hint="eastAsia" w:ascii="宋体" w:hAnsi="宋体"/>
                <w:sz w:val="16"/>
                <w:lang w:eastAsia="zh-CN"/>
              </w:rPr>
              <w:t>本单位</w:t>
            </w:r>
            <w:r>
              <w:rPr>
                <w:rFonts w:ascii="宋体" w:hAnsi="宋体" w:eastAsia="宋体"/>
                <w:sz w:val="16"/>
              </w:rPr>
              <w:t>已经</w:t>
            </w:r>
            <w:r>
              <w:rPr>
                <w:rFonts w:hint="eastAsia" w:ascii="宋体" w:hAnsi="宋体"/>
                <w:sz w:val="16"/>
                <w:lang w:eastAsia="zh-CN"/>
              </w:rPr>
              <w:t>组织</w:t>
            </w:r>
            <w:r>
              <w:rPr>
                <w:rFonts w:ascii="宋体" w:hAnsi="宋体" w:eastAsia="宋体"/>
                <w:sz w:val="16"/>
              </w:rPr>
              <w:t>企业召开了座谈会，进行了前期相关政策的宣讲，已经对民族贸易企业提交的各项资料进行了审核。待次年上级民族贸易企业贴息结算相关文件下达后，</w:t>
            </w:r>
            <w:r>
              <w:rPr>
                <w:rFonts w:hint="eastAsia" w:ascii="宋体" w:hAnsi="宋体"/>
                <w:sz w:val="16"/>
                <w:lang w:eastAsia="zh-CN"/>
              </w:rPr>
              <w:t>本单位</w:t>
            </w:r>
            <w:r>
              <w:rPr>
                <w:rFonts w:ascii="宋体" w:hAnsi="宋体" w:eastAsia="宋体"/>
                <w:sz w:val="16"/>
              </w:rPr>
              <w:t>将立刻组织项目人员和财务人员对各项资料进行复审，核对无误后尽快申请支付项目资金，确保项目按期推进，顺利完成。</w:t>
            </w:r>
          </w:p>
        </w:tc>
      </w:tr>
      <w:tr w14:paraId="7608E4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FBB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96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0D28">
            <w:pPr>
              <w:jc w:val="center"/>
            </w:pPr>
            <w:r>
              <w:rPr>
                <w:rFonts w:ascii="宋体" w:hAnsi="宋体" w:eastAsia="宋体"/>
                <w:sz w:val="16"/>
              </w:rPr>
              <w:t>二级指标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398AD223">
            <w:pPr>
              <w:jc w:val="center"/>
            </w:pPr>
            <w:r>
              <w:rPr>
                <w:rFonts w:ascii="宋体" w:hAnsi="宋体" w:eastAsia="宋体"/>
                <w:sz w:val="16"/>
              </w:rPr>
              <w:t>三级指标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10667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96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0F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BD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D3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16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3A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6C86">
            <w:pPr>
              <w:jc w:val="center"/>
            </w:pPr>
            <w:r>
              <w:rPr>
                <w:rFonts w:ascii="宋体" w:hAnsi="宋体" w:eastAsia="宋体"/>
                <w:sz w:val="16"/>
              </w:rPr>
              <w:t>得分</w:t>
            </w:r>
          </w:p>
        </w:tc>
        <w:tc>
          <w:tcPr>
            <w:tcW w:w="14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CB450F">
            <w:pPr>
              <w:jc w:val="center"/>
            </w:pPr>
            <w:r>
              <w:rPr>
                <w:rFonts w:ascii="宋体" w:hAnsi="宋体" w:eastAsia="宋体"/>
                <w:sz w:val="16"/>
              </w:rPr>
              <w:t>偏差原因分析及改进措施</w:t>
            </w:r>
          </w:p>
        </w:tc>
      </w:tr>
      <w:tr w14:paraId="3B29F7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5B0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037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A38D">
            <w:pPr>
              <w:jc w:val="center"/>
            </w:pPr>
            <w:r>
              <w:rPr>
                <w:rFonts w:ascii="宋体" w:hAnsi="宋体" w:eastAsia="宋体"/>
                <w:sz w:val="16"/>
              </w:rPr>
              <w:t>数量指标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6BF4F292">
            <w:pPr>
              <w:jc w:val="center"/>
            </w:pPr>
            <w:r>
              <w:rPr>
                <w:rFonts w:ascii="宋体" w:hAnsi="宋体" w:eastAsia="宋体"/>
                <w:sz w:val="16"/>
              </w:rPr>
              <w:t>支持民贸民品企业数量</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BEAD460">
            <w:pPr>
              <w:jc w:val="center"/>
            </w:pPr>
            <w:r>
              <w:rPr>
                <w:rFonts w:ascii="宋体" w:hAnsi="宋体" w:eastAsia="宋体"/>
                <w:sz w:val="16"/>
              </w:rPr>
              <w:t>&gt;=23家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6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1C76">
            <w:pPr>
              <w:jc w:val="center"/>
            </w:pPr>
            <w:r>
              <w:rPr>
                <w:rFonts w:ascii="宋体" w:hAnsi="宋体" w:eastAsia="宋体"/>
                <w:sz w:val="16"/>
              </w:rPr>
              <w:t>22家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F0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4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02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87CC">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B00F">
            <w:pPr>
              <w:jc w:val="center"/>
            </w:pPr>
            <w:r>
              <w:rPr>
                <w:rFonts w:ascii="宋体" w:hAnsi="宋体" w:eastAsia="宋体"/>
                <w:sz w:val="16"/>
              </w:rPr>
              <w:t>0</w:t>
            </w:r>
          </w:p>
        </w:tc>
        <w:tc>
          <w:tcPr>
            <w:tcW w:w="14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6B6193">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3D42EB7F">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AD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4C9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29016">
            <w:pPr>
              <w:jc w:val="center"/>
            </w:pPr>
            <w:r>
              <w:rPr>
                <w:rFonts w:ascii="宋体" w:hAnsi="宋体" w:eastAsia="宋体"/>
                <w:sz w:val="16"/>
              </w:rPr>
              <w:t>质量指标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68ECB86">
            <w:pPr>
              <w:jc w:val="center"/>
            </w:pPr>
            <w:r>
              <w:rPr>
                <w:rFonts w:ascii="宋体" w:hAnsi="宋体" w:eastAsia="宋体"/>
                <w:sz w:val="16"/>
              </w:rPr>
              <w:t>自治区民贸民品企业享受贴息政策覆盖率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6060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8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0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F0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3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3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FE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DB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9C3F">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4D10E9DE">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BD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5A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E66C"/>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65059477">
            <w:pPr>
              <w:jc w:val="center"/>
            </w:pPr>
            <w:r>
              <w:rPr>
                <w:rFonts w:ascii="宋体" w:hAnsi="宋体" w:eastAsia="宋体"/>
                <w:sz w:val="16"/>
              </w:rPr>
              <w:t>贷款贴息资金足额拨付率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29635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1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6C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1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A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72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96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8B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4194">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6967DACF">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D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4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9E92">
            <w:pPr>
              <w:jc w:val="center"/>
            </w:pPr>
            <w:r>
              <w:rPr>
                <w:rFonts w:ascii="宋体" w:hAnsi="宋体" w:eastAsia="宋体"/>
                <w:sz w:val="16"/>
              </w:rPr>
              <w:t>时效指标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42D7399">
            <w:pPr>
              <w:jc w:val="center"/>
            </w:pPr>
            <w:r>
              <w:rPr>
                <w:rFonts w:ascii="宋体" w:hAnsi="宋体" w:eastAsia="宋体"/>
                <w:sz w:val="16"/>
              </w:rPr>
              <w:t>财政部门拨付贴息资金时限</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B21842">
            <w:pPr>
              <w:jc w:val="center"/>
            </w:pPr>
            <w:r>
              <w:rPr>
                <w:rFonts w:ascii="宋体" w:hAnsi="宋体" w:eastAsia="宋体"/>
                <w:sz w:val="16"/>
              </w:rPr>
              <w:t>=2025年2月28日前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1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A916">
            <w:pPr>
              <w:jc w:val="center"/>
            </w:pPr>
            <w:r>
              <w:rPr>
                <w:rFonts w:ascii="宋体" w:hAnsi="宋体" w:eastAsia="宋体"/>
                <w:sz w:val="16"/>
              </w:rPr>
              <w:t>2024年6月24日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2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6D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F4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19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87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C9C8">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3AA8C273">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C1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C4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9EC7">
            <w:pPr>
              <w:jc w:val="center"/>
            </w:pPr>
            <w:r>
              <w:rPr>
                <w:rFonts w:ascii="宋体" w:hAnsi="宋体" w:eastAsia="宋体"/>
                <w:sz w:val="16"/>
              </w:rPr>
              <w:t>经济成本指标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38CBCB21">
            <w:pPr>
              <w:jc w:val="center"/>
            </w:pPr>
            <w:r>
              <w:rPr>
                <w:rFonts w:ascii="宋体" w:hAnsi="宋体" w:eastAsia="宋体"/>
                <w:sz w:val="16"/>
              </w:rPr>
              <w:t>民族贸易企业平均贴息成本控制数</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5CB66EE">
            <w:pPr>
              <w:jc w:val="center"/>
            </w:pPr>
            <w:r>
              <w:rPr>
                <w:rFonts w:ascii="宋体" w:hAnsi="宋体" w:eastAsia="宋体"/>
                <w:sz w:val="16"/>
              </w:rPr>
              <w:t>&lt;=42.32万元/家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DB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0970">
            <w:pPr>
              <w:jc w:val="center"/>
            </w:pPr>
            <w:r>
              <w:rPr>
                <w:rFonts w:ascii="宋体" w:hAnsi="宋体" w:eastAsia="宋体"/>
                <w:sz w:val="16"/>
              </w:rPr>
              <w:t>47.52万元/家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71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0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40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802B">
            <w:pPr>
              <w:jc w:val="center"/>
            </w:pPr>
            <w:r>
              <w:rPr>
                <w:rFonts w:ascii="宋体" w:hAnsi="宋体" w:eastAsia="宋体"/>
                <w:sz w:val="16"/>
              </w:rPr>
              <w:t>=0万元/家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EA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5BC6E">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1A3B66EE">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145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6E8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8D83">
            <w:pPr>
              <w:jc w:val="center"/>
            </w:pPr>
            <w:r>
              <w:rPr>
                <w:rFonts w:ascii="宋体" w:hAnsi="宋体" w:eastAsia="宋体"/>
                <w:sz w:val="16"/>
              </w:rPr>
              <w:t>经济效益指标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235A89A">
            <w:pPr>
              <w:jc w:val="center"/>
            </w:pPr>
            <w:r>
              <w:rPr>
                <w:rFonts w:ascii="宋体" w:hAnsi="宋体" w:eastAsia="宋体"/>
                <w:sz w:val="16"/>
              </w:rPr>
              <w:t>支持自治区民贸民品企业发展</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5553777">
            <w:pPr>
              <w:jc w:val="center"/>
            </w:pPr>
            <w:r>
              <w:rPr>
                <w:rFonts w:ascii="宋体" w:hAnsi="宋体" w:eastAsia="宋体"/>
                <w:sz w:val="16"/>
              </w:rPr>
              <w:t>有力支持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4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E09F">
            <w:pPr>
              <w:jc w:val="center"/>
            </w:pPr>
            <w:r>
              <w:rPr>
                <w:rFonts w:ascii="宋体" w:hAnsi="宋体" w:eastAsia="宋体"/>
                <w:sz w:val="16"/>
              </w:rPr>
              <w:t>有力支持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A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94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0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BC07">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20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705F">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70101C3B">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45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E7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45D0">
            <w:pPr>
              <w:jc w:val="center"/>
            </w:pPr>
            <w:r>
              <w:rPr>
                <w:rFonts w:ascii="宋体" w:hAnsi="宋体" w:eastAsia="宋体"/>
                <w:sz w:val="16"/>
              </w:rPr>
              <w:t>社会效益指标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79CD235">
            <w:pPr>
              <w:jc w:val="center"/>
            </w:pPr>
            <w:r>
              <w:rPr>
                <w:rFonts w:ascii="宋体" w:hAnsi="宋体" w:eastAsia="宋体"/>
                <w:sz w:val="16"/>
              </w:rPr>
              <w:t>民贸民品贷款贴息政策知晓率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E185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F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F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E2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A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A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69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A0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06F7">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25E5B2DD">
        <w:tblPrEx>
          <w:tblCellMar>
            <w:top w:w="0" w:type="dxa"/>
            <w:left w:w="108" w:type="dxa"/>
            <w:bottom w:w="0" w:type="dxa"/>
            <w:right w:w="108" w:type="dxa"/>
          </w:tblCellMar>
        </w:tblPrEx>
        <w:trPr>
          <w:gridAfter w:val="1"/>
          <w:wAfter w:w="19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A9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76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E4B5">
            <w:pPr>
              <w:jc w:val="center"/>
            </w:pPr>
            <w:r>
              <w:rPr>
                <w:rFonts w:ascii="宋体" w:hAnsi="宋体" w:eastAsia="宋体"/>
                <w:sz w:val="16"/>
              </w:rPr>
              <w:t>满意度指标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7252A8B">
            <w:pPr>
              <w:jc w:val="center"/>
            </w:pPr>
            <w:r>
              <w:rPr>
                <w:rFonts w:ascii="宋体" w:hAnsi="宋体" w:eastAsia="宋体"/>
                <w:sz w:val="16"/>
              </w:rPr>
              <w:t>申报贴息资金民贸企业满意度</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7CB39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6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0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C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86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A4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6C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A9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E12C">
            <w:pPr>
              <w:jc w:val="center"/>
            </w:pPr>
            <w:r>
              <w:rPr>
                <w:rFonts w:ascii="宋体" w:hAnsi="宋体" w:eastAsia="宋体"/>
                <w:sz w:val="16"/>
              </w:rPr>
              <w:t>未完成原因：2024年度未收到上级民族</w:t>
            </w:r>
            <w:r>
              <w:rPr>
                <w:rFonts w:hint="eastAsia" w:ascii="宋体" w:hAnsi="宋体"/>
                <w:sz w:val="16"/>
                <w:lang w:val="en-US" w:eastAsia="zh-CN"/>
              </w:rPr>
              <w:t>ZJ</w:t>
            </w:r>
            <w:r>
              <w:rPr>
                <w:rFonts w:ascii="宋体" w:hAnsi="宋体" w:eastAsia="宋体"/>
                <w:sz w:val="16"/>
              </w:rPr>
              <w:t>事务和财政部门下发贷款贴息结算文件，无法申请资金支付，2024年度无法对企业开展满意度调查工作。现阶段尚无法确定最终实际核定通过后的企业和贴息金额。造成指标实际完成较预期出现负偏差。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tc>
      </w:tr>
      <w:tr w14:paraId="2ED847BC">
        <w:tblPrEx>
          <w:tblCellMar>
            <w:top w:w="0" w:type="dxa"/>
            <w:left w:w="108" w:type="dxa"/>
            <w:bottom w:w="0" w:type="dxa"/>
            <w:right w:w="108" w:type="dxa"/>
          </w:tblCellMar>
        </w:tblPrEx>
        <w:trPr>
          <w:gridAfter w:val="1"/>
          <w:wAfter w:w="196" w:type="dxa"/>
        </w:trPr>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BB61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93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681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B8E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B80479"/>
        </w:tc>
      </w:tr>
    </w:tbl>
    <w:p w14:paraId="2C204736">
      <w:r>
        <w:br w:type="page"/>
      </w:r>
    </w:p>
    <w:p w14:paraId="0C1E592B">
      <w:pPr>
        <w:spacing w:line="640" w:lineRule="exact"/>
        <w:ind w:firstLine="640"/>
        <w:jc w:val="both"/>
        <w:outlineLvl w:val="2"/>
      </w:pPr>
      <w:r>
        <w:rPr>
          <w:rFonts w:ascii="黑体" w:hAnsi="黑体" w:eastAsia="黑体"/>
          <w:sz w:val="32"/>
        </w:rPr>
        <w:t>十二、其他需说明的事项</w:t>
      </w:r>
    </w:p>
    <w:p w14:paraId="1BFE8423">
      <w:pPr>
        <w:spacing w:line="580" w:lineRule="exact"/>
        <w:ind w:firstLine="640"/>
        <w:jc w:val="both"/>
      </w:pPr>
      <w:r>
        <w:rPr>
          <w:rFonts w:ascii="仿宋_GB2312" w:hAnsi="仿宋_GB2312" w:eastAsia="仿宋_GB2312"/>
          <w:b w:val="0"/>
          <w:sz w:val="32"/>
        </w:rPr>
        <w:t>本年本单位SM项目4个，全年预算数487.38万元，全年执行数377.06万元。</w:t>
      </w:r>
    </w:p>
    <w:p w14:paraId="286EDDFB">
      <w:r>
        <w:br w:type="page"/>
      </w:r>
    </w:p>
    <w:p w14:paraId="09AB703A">
      <w:pPr>
        <w:spacing w:line="240" w:lineRule="auto"/>
        <w:jc w:val="center"/>
        <w:outlineLvl w:val="1"/>
      </w:pPr>
      <w:r>
        <w:rPr>
          <w:rFonts w:ascii="黑体" w:hAnsi="黑体" w:eastAsia="黑体"/>
          <w:sz w:val="32"/>
        </w:rPr>
        <w:t>第三部分 专业名词解释</w:t>
      </w:r>
    </w:p>
    <w:p w14:paraId="6F7335B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293F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1F3D0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BD555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7A60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7BC6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6F864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9B212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4F8A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0E409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BB5B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CE18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E43E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709A1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490271">
      <w:r>
        <w:br w:type="page"/>
      </w:r>
    </w:p>
    <w:p w14:paraId="31865828">
      <w:pPr>
        <w:spacing w:line="240" w:lineRule="auto"/>
        <w:jc w:val="center"/>
        <w:outlineLvl w:val="1"/>
      </w:pPr>
      <w:r>
        <w:rPr>
          <w:rFonts w:ascii="黑体" w:hAnsi="黑体" w:eastAsia="黑体"/>
          <w:sz w:val="32"/>
        </w:rPr>
        <w:t>第四部分 部门决算报表（见附表）</w:t>
      </w:r>
    </w:p>
    <w:p w14:paraId="0CB1D819">
      <w:pPr>
        <w:spacing w:line="240" w:lineRule="auto"/>
        <w:ind w:firstLine="640"/>
        <w:jc w:val="both"/>
      </w:pPr>
      <w:r>
        <w:rPr>
          <w:rFonts w:ascii="仿宋_GB2312" w:hAnsi="仿宋_GB2312" w:eastAsia="仿宋_GB2312"/>
          <w:b w:val="0"/>
          <w:sz w:val="32"/>
        </w:rPr>
        <w:t>一、《收入支出决算总表》</w:t>
      </w:r>
    </w:p>
    <w:p w14:paraId="414B199B">
      <w:pPr>
        <w:spacing w:line="240" w:lineRule="auto"/>
        <w:ind w:firstLine="640"/>
        <w:jc w:val="both"/>
      </w:pPr>
      <w:r>
        <w:rPr>
          <w:rFonts w:ascii="仿宋_GB2312" w:hAnsi="仿宋_GB2312" w:eastAsia="仿宋_GB2312"/>
          <w:b w:val="0"/>
          <w:sz w:val="32"/>
        </w:rPr>
        <w:t>二、《收入决算表》</w:t>
      </w:r>
    </w:p>
    <w:p w14:paraId="70AFA4B4">
      <w:pPr>
        <w:spacing w:line="240" w:lineRule="auto"/>
        <w:ind w:firstLine="640"/>
        <w:jc w:val="both"/>
      </w:pPr>
      <w:r>
        <w:rPr>
          <w:rFonts w:ascii="仿宋_GB2312" w:hAnsi="仿宋_GB2312" w:eastAsia="仿宋_GB2312"/>
          <w:b w:val="0"/>
          <w:sz w:val="32"/>
        </w:rPr>
        <w:t>三、《支出决算表》</w:t>
      </w:r>
    </w:p>
    <w:p w14:paraId="27E1C006">
      <w:pPr>
        <w:spacing w:line="240" w:lineRule="auto"/>
        <w:ind w:firstLine="640"/>
        <w:jc w:val="both"/>
      </w:pPr>
      <w:r>
        <w:rPr>
          <w:rFonts w:ascii="仿宋_GB2312" w:hAnsi="仿宋_GB2312" w:eastAsia="仿宋_GB2312"/>
          <w:b w:val="0"/>
          <w:sz w:val="32"/>
        </w:rPr>
        <w:t>四、《财政拨款收入支出决算总表》</w:t>
      </w:r>
    </w:p>
    <w:p w14:paraId="0B842B9F">
      <w:pPr>
        <w:spacing w:line="240" w:lineRule="auto"/>
        <w:ind w:firstLine="640"/>
        <w:jc w:val="both"/>
      </w:pPr>
      <w:r>
        <w:rPr>
          <w:rFonts w:ascii="仿宋_GB2312" w:hAnsi="仿宋_GB2312" w:eastAsia="仿宋_GB2312"/>
          <w:b w:val="0"/>
          <w:sz w:val="32"/>
        </w:rPr>
        <w:t>五、《一般公共预算财政拨款支出决算表》</w:t>
      </w:r>
    </w:p>
    <w:p w14:paraId="36AF80F3">
      <w:pPr>
        <w:spacing w:line="240" w:lineRule="auto"/>
        <w:ind w:firstLine="640"/>
        <w:jc w:val="both"/>
      </w:pPr>
      <w:r>
        <w:rPr>
          <w:rFonts w:ascii="仿宋_GB2312" w:hAnsi="仿宋_GB2312" w:eastAsia="仿宋_GB2312"/>
          <w:b w:val="0"/>
          <w:sz w:val="32"/>
        </w:rPr>
        <w:t>六、《一般公共预算财政拨款基本支出决算表》</w:t>
      </w:r>
    </w:p>
    <w:p w14:paraId="51D716A1">
      <w:pPr>
        <w:spacing w:line="240" w:lineRule="auto"/>
        <w:ind w:firstLine="640"/>
        <w:jc w:val="both"/>
      </w:pPr>
      <w:r>
        <w:rPr>
          <w:rFonts w:ascii="仿宋_GB2312" w:hAnsi="仿宋_GB2312" w:eastAsia="仿宋_GB2312"/>
          <w:b w:val="0"/>
          <w:sz w:val="32"/>
        </w:rPr>
        <w:t>七、《政府性基金预算财政拨款收入支出决算表》</w:t>
      </w:r>
    </w:p>
    <w:p w14:paraId="426193C5">
      <w:pPr>
        <w:spacing w:line="240" w:lineRule="auto"/>
        <w:ind w:firstLine="640"/>
        <w:jc w:val="both"/>
      </w:pPr>
      <w:r>
        <w:rPr>
          <w:rFonts w:ascii="仿宋_GB2312" w:hAnsi="仿宋_GB2312" w:eastAsia="仿宋_GB2312"/>
          <w:b w:val="0"/>
          <w:sz w:val="32"/>
        </w:rPr>
        <w:t>八、《国有资本经营预算财政拨款收入支出决算表》</w:t>
      </w:r>
    </w:p>
    <w:p w14:paraId="2548B0AA">
      <w:pPr>
        <w:spacing w:line="240" w:lineRule="auto"/>
        <w:ind w:firstLine="640"/>
        <w:jc w:val="both"/>
      </w:pPr>
      <w:r>
        <w:rPr>
          <w:rFonts w:ascii="仿宋_GB2312" w:hAnsi="仿宋_GB2312" w:eastAsia="仿宋_GB2312"/>
          <w:b w:val="0"/>
          <w:sz w:val="32"/>
        </w:rPr>
        <w:t>九、《财政拨款“三公”经费支出决算表》</w:t>
      </w:r>
    </w:p>
    <w:p w14:paraId="6EC5A8FB">
      <w:pPr>
        <w:spacing w:line="240" w:lineRule="auto"/>
        <w:ind w:firstLine="640"/>
        <w:jc w:val="both"/>
      </w:pPr>
    </w:p>
    <w:p w14:paraId="7BC12227">
      <w:pPr>
        <w:spacing w:line="240" w:lineRule="auto"/>
        <w:ind w:firstLine="640"/>
        <w:jc w:val="both"/>
      </w:pPr>
    </w:p>
    <w:p w14:paraId="366D116B">
      <w:pPr>
        <w:spacing w:line="240" w:lineRule="auto"/>
        <w:ind w:firstLine="640"/>
        <w:jc w:val="both"/>
      </w:pPr>
    </w:p>
    <w:p w14:paraId="1C0CAC82">
      <w:pPr>
        <w:spacing w:line="240" w:lineRule="auto"/>
        <w:ind w:firstLine="640"/>
        <w:jc w:val="both"/>
      </w:pPr>
    </w:p>
    <w:p w14:paraId="369766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F86CA3"/>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437A31"/>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5024</Words>
  <Characters>5817</Characters>
  <Lines>0</Lines>
  <Paragraphs>0</Paragraphs>
  <TotalTime>5</TotalTime>
  <ScaleCrop>false</ScaleCrop>
  <LinksUpToDate>false</LinksUpToDate>
  <CharactersWithSpaces>5825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