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中共岳普湖县纪律检查委员会2024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967136D">
      <w:r>
        <w:br w:type="page"/>
      </w:r>
    </w:p>
    <w:p w14:paraId="4378ACC6">
      <w:pPr>
        <w:spacing w:line="640" w:lineRule="exact"/>
        <w:jc w:val="center"/>
        <w:outlineLvl w:val="1"/>
      </w:pPr>
      <w:r>
        <w:rPr>
          <w:rFonts w:ascii="黑体" w:hAnsi="黑体" w:eastAsia="黑体"/>
          <w:sz w:val="32"/>
        </w:rPr>
        <w:t>第一部分 单位概况</w:t>
      </w:r>
    </w:p>
    <w:p w14:paraId="399171BA">
      <w:pPr>
        <w:spacing w:line="640" w:lineRule="exact"/>
        <w:ind w:firstLine="640"/>
        <w:jc w:val="both"/>
        <w:outlineLvl w:val="2"/>
      </w:pPr>
      <w:r>
        <w:rPr>
          <w:rFonts w:ascii="黑体" w:hAnsi="黑体" w:eastAsia="黑体"/>
          <w:sz w:val="32"/>
        </w:rPr>
        <w:t>一、主要职能</w:t>
      </w:r>
    </w:p>
    <w:p w14:paraId="4CFB32FB">
      <w:pPr>
        <w:spacing w:line="580" w:lineRule="exact"/>
        <w:ind w:firstLine="640"/>
        <w:jc w:val="both"/>
      </w:pPr>
      <w:r>
        <w:rPr>
          <w:rFonts w:ascii="仿宋_GB2312" w:hAnsi="仿宋_GB2312" w:eastAsia="仿宋_GB2312"/>
          <w:sz w:val="32"/>
        </w:rPr>
        <w:t>(1)</w:t>
      </w:r>
      <w:r>
        <w:rPr>
          <w:rFonts w:hint="eastAsia" w:ascii="仿宋_GB2312" w:hAnsi="仿宋_GB2312" w:eastAsia="仿宋_GB2312"/>
          <w:sz w:val="32"/>
          <w:lang w:eastAsia="zh-CN"/>
        </w:rPr>
        <w:t>贯彻落实</w:t>
      </w:r>
      <w:r>
        <w:rPr>
          <w:rFonts w:ascii="仿宋_GB2312" w:hAnsi="仿宋_GB2312" w:eastAsia="仿宋_GB2312"/>
          <w:sz w:val="32"/>
        </w:rPr>
        <w:t>党中央、中央纪委、自治区党委、自治区纪监委、地委、</w:t>
      </w:r>
      <w:r>
        <w:rPr>
          <w:rFonts w:hint="eastAsia" w:ascii="仿宋_GB2312" w:hAnsi="仿宋_GB2312" w:eastAsia="仿宋_GB2312"/>
          <w:sz w:val="32"/>
          <w:lang w:eastAsia="zh-CN"/>
        </w:rPr>
        <w:t>地区</w:t>
      </w:r>
      <w:r>
        <w:rPr>
          <w:rFonts w:ascii="仿宋_GB2312" w:hAnsi="仿宋_GB2312" w:eastAsia="仿宋_GB2312"/>
          <w:sz w:val="32"/>
        </w:rPr>
        <w:t>纪委监委、县委关于纪律检查工作的决定，维护党的章程和其他党内法规，检查党的路线方针政策和决议的执行，协助县委推进全面从严治党，加强党风廉政建设和组织协调反腐败工作。</w:t>
      </w:r>
    </w:p>
    <w:p w14:paraId="3D92D2A9">
      <w:pPr>
        <w:spacing w:line="580" w:lineRule="exact"/>
        <w:ind w:firstLine="640"/>
        <w:jc w:val="both"/>
      </w:pPr>
      <w:r>
        <w:rPr>
          <w:rFonts w:ascii="仿宋_GB2312" w:hAnsi="仿宋_GB2312" w:eastAsia="仿宋_GB2312"/>
          <w:sz w:val="32"/>
        </w:rPr>
        <w:t>(2)统筹协调、指导巡察组开展工作；承担政策研究、制度建设等工作；对县委和巡察工作领导小组决定的事项进行督办；配合有关部门对巡察工作人员进行培训、考核、监督和管理；督促检查自治区党委巡视组和地委巡察组反馈意见的整改落实。</w:t>
      </w:r>
    </w:p>
    <w:p w14:paraId="5E3B56BF">
      <w:pPr>
        <w:spacing w:line="580" w:lineRule="exact"/>
        <w:ind w:firstLine="640"/>
        <w:jc w:val="both"/>
      </w:pPr>
      <w:r>
        <w:rPr>
          <w:rFonts w:ascii="仿宋_GB2312" w:hAnsi="仿宋_GB2312" w:eastAsia="仿宋_GB2312"/>
          <w:sz w:val="32"/>
        </w:rPr>
        <w:t>(3)派驻纪检组对派出机关负责，加强对被监督单位领导班子及其成员、其他领导干部的监督，发现问题应当及时向派出机关和被监督单位党组织报告，认真负责调查处置，对需要问责的提出建议。</w:t>
      </w:r>
    </w:p>
    <w:p w14:paraId="237D0C5A">
      <w:pPr>
        <w:spacing w:line="580" w:lineRule="exact"/>
        <w:ind w:firstLine="640"/>
        <w:jc w:val="both"/>
      </w:pPr>
      <w:r>
        <w:rPr>
          <w:rFonts w:ascii="仿宋_GB2312" w:hAnsi="仿宋_GB2312" w:eastAsia="仿宋_GB2312"/>
          <w:sz w:val="32"/>
        </w:rPr>
        <w:t>(4)负责规划和指导全县纪检监察系统信息化建设，增强信息分析提取能力，为开展纪检监察业务工作提供信息技术支持。</w:t>
      </w:r>
    </w:p>
    <w:p w14:paraId="0419E188">
      <w:pPr>
        <w:spacing w:line="640" w:lineRule="exact"/>
        <w:ind w:firstLine="640"/>
        <w:jc w:val="both"/>
        <w:outlineLvl w:val="2"/>
      </w:pPr>
      <w:r>
        <w:rPr>
          <w:rFonts w:ascii="黑体" w:hAnsi="黑体" w:eastAsia="黑体"/>
          <w:sz w:val="32"/>
        </w:rPr>
        <w:t>二、机构设置及人员情况</w:t>
      </w:r>
    </w:p>
    <w:p w14:paraId="1D1DCBF7">
      <w:pPr>
        <w:spacing w:line="580" w:lineRule="exact"/>
        <w:ind w:firstLine="640"/>
        <w:jc w:val="both"/>
      </w:pPr>
      <w:r>
        <w:rPr>
          <w:rFonts w:ascii="仿宋_GB2312" w:hAnsi="仿宋_GB2312" w:eastAsia="仿宋_GB2312"/>
          <w:sz w:val="32"/>
        </w:rPr>
        <w:t>中共岳普湖县纪律检查委员会2024年度，实有人数114人，其中：在职人员89人，增加4人；离休人员0人，增加0人；退休人员25人,增加1人。</w:t>
      </w:r>
    </w:p>
    <w:p w14:paraId="47E04484">
      <w:pPr>
        <w:spacing w:line="580" w:lineRule="exact"/>
        <w:ind w:firstLine="640"/>
        <w:jc w:val="both"/>
      </w:pPr>
      <w:r>
        <w:rPr>
          <w:rFonts w:ascii="仿宋_GB2312" w:hAnsi="仿宋_GB2312" w:eastAsia="仿宋_GB2312"/>
          <w:sz w:val="32"/>
        </w:rPr>
        <w:t>中共岳普湖县纪律检查委员会无下属预算单位，下设10个科室，分别是：办公室、组宣部、案件管理室、党风室、第一纪检监察室、第二纪检监察室、第三纪检监察室、第四纪检监察室、案件审理室、信访室。</w:t>
      </w:r>
    </w:p>
    <w:p w14:paraId="496B592D">
      <w:r>
        <w:br w:type="page"/>
      </w:r>
    </w:p>
    <w:p w14:paraId="2B08ED48">
      <w:pPr>
        <w:spacing w:line="240" w:lineRule="auto"/>
        <w:jc w:val="center"/>
        <w:outlineLvl w:val="1"/>
      </w:pPr>
      <w:r>
        <w:rPr>
          <w:rFonts w:ascii="黑体" w:hAnsi="黑体" w:eastAsia="黑体"/>
          <w:sz w:val="32"/>
        </w:rPr>
        <w:t>第二部分 部门决算情况说明</w:t>
      </w:r>
    </w:p>
    <w:p w14:paraId="2C550676">
      <w:pPr>
        <w:spacing w:line="640" w:lineRule="exact"/>
        <w:ind w:firstLine="640"/>
        <w:jc w:val="both"/>
        <w:outlineLvl w:val="2"/>
      </w:pPr>
      <w:r>
        <w:rPr>
          <w:rFonts w:ascii="黑体" w:hAnsi="黑体" w:eastAsia="黑体"/>
          <w:sz w:val="32"/>
        </w:rPr>
        <w:t>一、收入支出决算总体情况说明</w:t>
      </w:r>
    </w:p>
    <w:p w14:paraId="0CA1A366">
      <w:pPr>
        <w:spacing w:line="580" w:lineRule="exact"/>
        <w:ind w:firstLine="640"/>
        <w:jc w:val="both"/>
      </w:pPr>
      <w:r>
        <w:rPr>
          <w:rFonts w:ascii="仿宋_GB2312" w:hAnsi="仿宋_GB2312" w:eastAsia="仿宋_GB2312"/>
          <w:b/>
          <w:sz w:val="32"/>
        </w:rPr>
        <w:t>2024年度收入总计1,911.98万元，</w:t>
      </w:r>
      <w:r>
        <w:rPr>
          <w:rFonts w:ascii="仿宋_GB2312" w:hAnsi="仿宋_GB2312" w:eastAsia="仿宋_GB2312"/>
          <w:b w:val="0"/>
          <w:sz w:val="32"/>
        </w:rPr>
        <w:t>其中：本年收入合计1,911.98万元，使用非财政拨款结余（含专用结余）0.00万元，年初结转和结余0.00万元。</w:t>
      </w:r>
    </w:p>
    <w:p w14:paraId="316E7257">
      <w:pPr>
        <w:spacing w:line="580" w:lineRule="exact"/>
        <w:ind w:firstLine="640"/>
        <w:jc w:val="both"/>
      </w:pPr>
      <w:r>
        <w:rPr>
          <w:rFonts w:ascii="仿宋_GB2312" w:hAnsi="仿宋_GB2312" w:eastAsia="仿宋_GB2312"/>
          <w:b/>
          <w:sz w:val="32"/>
        </w:rPr>
        <w:t>2024年度支出总计1,911.98万元，</w:t>
      </w:r>
      <w:r>
        <w:rPr>
          <w:rFonts w:ascii="仿宋_GB2312" w:hAnsi="仿宋_GB2312" w:eastAsia="仿宋_GB2312"/>
          <w:b w:val="0"/>
          <w:sz w:val="32"/>
        </w:rPr>
        <w:t>其中：本年支出合计1,911.98万元，结余分配0.00万元，年末结转和结余0.00万元。</w:t>
      </w:r>
    </w:p>
    <w:p w14:paraId="57001F75">
      <w:pPr>
        <w:spacing w:line="580" w:lineRule="exact"/>
        <w:ind w:firstLine="640"/>
        <w:jc w:val="both"/>
      </w:pPr>
      <w:r>
        <w:rPr>
          <w:rFonts w:ascii="仿宋_GB2312" w:hAnsi="仿宋_GB2312" w:eastAsia="仿宋_GB2312"/>
          <w:b w:val="0"/>
          <w:sz w:val="32"/>
        </w:rPr>
        <w:t>收入支出总体与上年相比，增加66.84万元，增长3.62%，主要原因是：本年度新增廉政教育基地建设项目、廉政文化墙、公示公开栏和监督台制作项目，导致经费较上年增加。</w:t>
      </w:r>
    </w:p>
    <w:p w14:paraId="00DD1B74">
      <w:pPr>
        <w:spacing w:line="640" w:lineRule="exact"/>
        <w:ind w:firstLine="640"/>
        <w:jc w:val="both"/>
        <w:outlineLvl w:val="2"/>
      </w:pPr>
      <w:r>
        <w:rPr>
          <w:rFonts w:ascii="黑体" w:hAnsi="黑体" w:eastAsia="黑体"/>
          <w:sz w:val="32"/>
        </w:rPr>
        <w:t>二、收入决算情况说明</w:t>
      </w:r>
    </w:p>
    <w:p w14:paraId="642F0BEB">
      <w:pPr>
        <w:spacing w:line="580" w:lineRule="exact"/>
        <w:ind w:firstLine="640"/>
        <w:jc w:val="both"/>
      </w:pPr>
      <w:r>
        <w:rPr>
          <w:rFonts w:ascii="仿宋_GB2312" w:hAnsi="仿宋_GB2312" w:eastAsia="仿宋_GB2312"/>
          <w:b/>
          <w:sz w:val="32"/>
        </w:rPr>
        <w:t>本年收入1,911.98万元，</w:t>
      </w:r>
      <w:r>
        <w:rPr>
          <w:rFonts w:ascii="仿宋_GB2312" w:hAnsi="仿宋_GB2312" w:eastAsia="仿宋_GB2312"/>
          <w:b w:val="0"/>
          <w:sz w:val="32"/>
        </w:rPr>
        <w:t>其中：财政拨款收入1,911.98万元，占100.00%；上级补助收入0.00万元，占0.00%；事业收入0.00万元，占0.00%；经营收入0.00万元，占0.00%；附属单位上缴收入0.00万元，占0.00%；其他收入0.00万元，占0.00%。</w:t>
      </w:r>
    </w:p>
    <w:p w14:paraId="7393CC54">
      <w:pPr>
        <w:spacing w:line="640" w:lineRule="exact"/>
        <w:ind w:firstLine="640"/>
        <w:jc w:val="both"/>
        <w:outlineLvl w:val="2"/>
      </w:pPr>
      <w:r>
        <w:rPr>
          <w:rFonts w:ascii="黑体" w:hAnsi="黑体" w:eastAsia="黑体"/>
          <w:sz w:val="32"/>
        </w:rPr>
        <w:t>三、支出决算情况说明</w:t>
      </w:r>
    </w:p>
    <w:p w14:paraId="5AC82021">
      <w:pPr>
        <w:spacing w:line="580" w:lineRule="exact"/>
        <w:ind w:firstLine="640"/>
        <w:jc w:val="both"/>
      </w:pPr>
      <w:r>
        <w:rPr>
          <w:rFonts w:ascii="仿宋_GB2312" w:hAnsi="仿宋_GB2312" w:eastAsia="仿宋_GB2312"/>
          <w:b/>
          <w:sz w:val="32"/>
        </w:rPr>
        <w:t>本年支出1,911.98万元，</w:t>
      </w:r>
      <w:r>
        <w:rPr>
          <w:rFonts w:ascii="仿宋_GB2312" w:hAnsi="仿宋_GB2312" w:eastAsia="仿宋_GB2312"/>
          <w:b w:val="0"/>
          <w:sz w:val="32"/>
        </w:rPr>
        <w:t>其中：基本支出1,763.27万元，占92.22%；项目支出148.71万元，占7.78%；上缴上级支出0.00万元，占0.00%；经营支出0.00万元，占0.00%；对附属单位补助支出0.00万元，占0.00%。</w:t>
      </w:r>
    </w:p>
    <w:p w14:paraId="6D9EE199">
      <w:pPr>
        <w:spacing w:line="640" w:lineRule="exact"/>
        <w:ind w:firstLine="640"/>
        <w:jc w:val="both"/>
        <w:outlineLvl w:val="2"/>
      </w:pPr>
      <w:r>
        <w:rPr>
          <w:rFonts w:ascii="黑体" w:hAnsi="黑体" w:eastAsia="黑体"/>
          <w:sz w:val="32"/>
        </w:rPr>
        <w:t>四、财政拨款收入支出决算总体情况说明</w:t>
      </w:r>
    </w:p>
    <w:p w14:paraId="0EB96122">
      <w:pPr>
        <w:spacing w:line="580" w:lineRule="exact"/>
        <w:ind w:firstLine="640"/>
        <w:jc w:val="both"/>
      </w:pPr>
      <w:r>
        <w:rPr>
          <w:rFonts w:ascii="仿宋_GB2312" w:hAnsi="仿宋_GB2312" w:eastAsia="仿宋_GB2312"/>
          <w:b/>
          <w:sz w:val="32"/>
        </w:rPr>
        <w:t>2024年度财政拨款收入总计1,911.98万元，</w:t>
      </w:r>
      <w:r>
        <w:rPr>
          <w:rFonts w:ascii="仿宋_GB2312" w:hAnsi="仿宋_GB2312" w:eastAsia="仿宋_GB2312"/>
          <w:b w:val="0"/>
          <w:sz w:val="32"/>
        </w:rPr>
        <w:t>其中：年初财政拨款结转和结余0.00万元，本年财政拨款收入1,911.98万元。</w:t>
      </w:r>
      <w:r>
        <w:rPr>
          <w:rFonts w:ascii="仿宋_GB2312" w:hAnsi="仿宋_GB2312" w:eastAsia="仿宋_GB2312"/>
          <w:b/>
          <w:sz w:val="32"/>
        </w:rPr>
        <w:t>财政拨款支出总计1,911.98万元，</w:t>
      </w:r>
      <w:r>
        <w:rPr>
          <w:rFonts w:ascii="仿宋_GB2312" w:hAnsi="仿宋_GB2312" w:eastAsia="仿宋_GB2312"/>
          <w:b w:val="0"/>
          <w:sz w:val="32"/>
        </w:rPr>
        <w:t>其中：年末财政拨款结转和结余0.00万元，本年财政拨款支出1,911.98万元。</w:t>
      </w:r>
    </w:p>
    <w:p w14:paraId="09F8D918">
      <w:pPr>
        <w:spacing w:line="580" w:lineRule="exact"/>
        <w:ind w:firstLine="640"/>
        <w:jc w:val="both"/>
        <w:rPr>
          <w:rFonts w:hint="eastAsia" w:eastAsia="仿宋_GB2312"/>
          <w:lang w:val="en-US" w:eastAsia="zh-CN"/>
        </w:rPr>
      </w:pPr>
      <w:r>
        <w:rPr>
          <w:rFonts w:ascii="仿宋_GB2312" w:hAnsi="仿宋_GB2312" w:eastAsia="仿宋_GB2312"/>
          <w:b/>
          <w:sz w:val="32"/>
        </w:rPr>
        <w:t>财政拨款收入支出总体与上年相比，</w:t>
      </w:r>
      <w:r>
        <w:rPr>
          <w:rFonts w:ascii="仿宋_GB2312" w:hAnsi="仿宋_GB2312" w:eastAsia="仿宋_GB2312"/>
          <w:b w:val="0"/>
          <w:sz w:val="32"/>
        </w:rPr>
        <w:t>增加66.84万元，增长3.62%，主要原因是：本年度新增廉政教育基地建设项目、廉政文化墙、公示公开栏和监督台制作项目，导致经费较上年增加。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年初预算数1,653.33万元，决算数1,911.98万元，预决算差异率15.64%，主要原因是：年中追加人员工资、社保、公积金基数调增部分资金，导致预决算存在差异</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年中追加岳普湖县廉政教育基地建设项目、岳普湖县“风清岳明”一体化系统服务监督平台程序建设项目，</w:t>
      </w:r>
      <w:r>
        <w:rPr>
          <w:rFonts w:ascii="仿宋_GB2312" w:hAnsi="仿宋_GB2312" w:eastAsia="仿宋_GB2312"/>
          <w:b w:val="0"/>
          <w:sz w:val="32"/>
        </w:rPr>
        <w:t>导致预决算存在差异</w:t>
      </w:r>
      <w:r>
        <w:rPr>
          <w:rFonts w:hint="eastAsia" w:ascii="仿宋_GB2312" w:hAnsi="仿宋_GB2312" w:eastAsia="仿宋_GB2312"/>
          <w:b w:val="0"/>
          <w:sz w:val="32"/>
          <w:lang w:eastAsia="zh-CN"/>
        </w:rPr>
        <w:t>。</w:t>
      </w:r>
    </w:p>
    <w:p w14:paraId="1DA44088">
      <w:pPr>
        <w:spacing w:line="640" w:lineRule="exact"/>
        <w:ind w:firstLine="640"/>
        <w:jc w:val="both"/>
        <w:outlineLvl w:val="2"/>
      </w:pPr>
      <w:r>
        <w:rPr>
          <w:rFonts w:ascii="黑体" w:hAnsi="黑体" w:eastAsia="黑体"/>
          <w:sz w:val="32"/>
        </w:rPr>
        <w:t>五、一般公共预算财政拨款支出决算情况说明</w:t>
      </w:r>
    </w:p>
    <w:p w14:paraId="78979E9A">
      <w:pPr>
        <w:spacing w:line="640" w:lineRule="exact"/>
        <w:ind w:firstLine="640"/>
        <w:jc w:val="both"/>
        <w:outlineLvl w:val="3"/>
      </w:pPr>
      <w:r>
        <w:rPr>
          <w:rFonts w:ascii="楷体_GB2312" w:hAnsi="楷体_GB2312" w:eastAsia="楷体_GB2312"/>
          <w:b/>
          <w:sz w:val="32"/>
        </w:rPr>
        <w:t>（一）一般公共预算财政拨款支出决算总体情况</w:t>
      </w:r>
    </w:p>
    <w:p w14:paraId="42BEF04A">
      <w:pPr>
        <w:spacing w:line="580" w:lineRule="exact"/>
        <w:ind w:firstLine="640"/>
        <w:jc w:val="both"/>
      </w:pPr>
      <w:r>
        <w:rPr>
          <w:rFonts w:ascii="仿宋_GB2312" w:hAnsi="仿宋_GB2312" w:eastAsia="仿宋_GB2312"/>
          <w:b/>
          <w:sz w:val="32"/>
        </w:rPr>
        <w:t>2024年度一般公共预算财政拨款支出1,911.98万元，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增加66.84万元，增长3.62%，主要原因是：本年度新增廉政教育基地建设项目、廉政文化墙、公示公开栏和监督台制作项目，导致经费较上年增加。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年初预算数1,653.33万元，决算数1,911.98万元，预决算差异率15.64%，主要原因是：年中追加人员工资、社保、公积金基数调增部分资金，导致预决算存在差异</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年中追加岳普湖县廉政教育基地建设项目、岳普湖县“风清岳明”一体化系统服务监督平台程序建设项目，</w:t>
      </w:r>
      <w:r>
        <w:rPr>
          <w:rFonts w:ascii="仿宋_GB2312" w:hAnsi="仿宋_GB2312" w:eastAsia="仿宋_GB2312"/>
          <w:b w:val="0"/>
          <w:sz w:val="32"/>
        </w:rPr>
        <w:t>导致预决算存在差异。</w:t>
      </w:r>
    </w:p>
    <w:p w14:paraId="2EB02355">
      <w:pPr>
        <w:spacing w:line="640" w:lineRule="exact"/>
        <w:ind w:firstLine="640"/>
        <w:jc w:val="both"/>
        <w:outlineLvl w:val="3"/>
      </w:pPr>
      <w:r>
        <w:rPr>
          <w:rFonts w:ascii="楷体_GB2312" w:hAnsi="楷体_GB2312" w:eastAsia="楷体_GB2312"/>
          <w:b/>
          <w:sz w:val="32"/>
        </w:rPr>
        <w:t>（二）一般公共预算财政拨款支出决算结构情况</w:t>
      </w:r>
    </w:p>
    <w:p w14:paraId="395FC5F3">
      <w:pPr>
        <w:spacing w:line="580" w:lineRule="exact"/>
        <w:ind w:firstLine="640"/>
        <w:jc w:val="both"/>
      </w:pPr>
      <w:r>
        <w:rPr>
          <w:rFonts w:ascii="仿宋_GB2312" w:hAnsi="仿宋_GB2312" w:eastAsia="仿宋_GB2312"/>
          <w:b w:val="0"/>
          <w:sz w:val="32"/>
        </w:rPr>
        <w:t>1.一般公共服务支出(类)1,460.43万元,占76.38%。</w:t>
      </w:r>
    </w:p>
    <w:p w14:paraId="35F35C61">
      <w:pPr>
        <w:spacing w:line="580" w:lineRule="exact"/>
        <w:ind w:firstLine="640"/>
        <w:jc w:val="both"/>
      </w:pPr>
      <w:r>
        <w:rPr>
          <w:rFonts w:ascii="仿宋_GB2312" w:hAnsi="仿宋_GB2312" w:eastAsia="仿宋_GB2312"/>
          <w:b w:val="0"/>
          <w:sz w:val="32"/>
        </w:rPr>
        <w:t>2.科学技术支出(类)21.00万元,占1.10%。</w:t>
      </w:r>
    </w:p>
    <w:p w14:paraId="01C5E0D7">
      <w:pPr>
        <w:spacing w:line="580" w:lineRule="exact"/>
        <w:ind w:firstLine="640"/>
        <w:jc w:val="both"/>
      </w:pPr>
      <w:r>
        <w:rPr>
          <w:rFonts w:ascii="仿宋_GB2312" w:hAnsi="仿宋_GB2312" w:eastAsia="仿宋_GB2312"/>
          <w:b w:val="0"/>
          <w:sz w:val="32"/>
        </w:rPr>
        <w:t>3.社会保障和就业支出(类)223.23万元,占11.68%。</w:t>
      </w:r>
    </w:p>
    <w:p w14:paraId="4A58C386">
      <w:pPr>
        <w:spacing w:line="580" w:lineRule="exact"/>
        <w:ind w:firstLine="640"/>
        <w:jc w:val="both"/>
      </w:pPr>
      <w:r>
        <w:rPr>
          <w:rFonts w:ascii="仿宋_GB2312" w:hAnsi="仿宋_GB2312" w:eastAsia="仿宋_GB2312"/>
          <w:b w:val="0"/>
          <w:sz w:val="32"/>
        </w:rPr>
        <w:t>4.卫生健康支出(类)81.96万元,占4.29%。</w:t>
      </w:r>
    </w:p>
    <w:p w14:paraId="1D067485">
      <w:pPr>
        <w:spacing w:line="580" w:lineRule="exact"/>
        <w:ind w:firstLine="640"/>
        <w:jc w:val="both"/>
      </w:pPr>
      <w:r>
        <w:rPr>
          <w:rFonts w:ascii="仿宋_GB2312" w:hAnsi="仿宋_GB2312" w:eastAsia="仿宋_GB2312"/>
          <w:b w:val="0"/>
          <w:sz w:val="32"/>
        </w:rPr>
        <w:t>5.住房保障支出(类)125.37万元,占6.56%。</w:t>
      </w:r>
    </w:p>
    <w:p w14:paraId="7538014E">
      <w:pPr>
        <w:spacing w:line="640" w:lineRule="exact"/>
        <w:ind w:firstLine="640"/>
        <w:jc w:val="both"/>
        <w:outlineLvl w:val="3"/>
      </w:pPr>
      <w:r>
        <w:rPr>
          <w:rFonts w:ascii="楷体_GB2312" w:hAnsi="楷体_GB2312" w:eastAsia="楷体_GB2312"/>
          <w:b/>
          <w:sz w:val="32"/>
        </w:rPr>
        <w:t>（三）一般公共预算财政拨款支出决算具体情况</w:t>
      </w:r>
    </w:p>
    <w:p w14:paraId="5E169024">
      <w:pPr>
        <w:spacing w:line="580" w:lineRule="exact"/>
        <w:ind w:firstLine="640"/>
        <w:jc w:val="both"/>
      </w:pPr>
      <w:r>
        <w:rPr>
          <w:rFonts w:ascii="仿宋_GB2312" w:hAnsi="仿宋_GB2312" w:eastAsia="仿宋_GB2312"/>
          <w:b w:val="0"/>
          <w:sz w:val="32"/>
        </w:rPr>
        <w:t>1.一般公共服务支出(类)纪检监察事务(款)行政运行(项):支出决算数为1,332.71万元，比上年决算减少35.55万元，下降2.60%,主要原因是：本年在职人员调入调出，人员职级不同，工资基数不同，导致人员经费较上年减少。</w:t>
      </w:r>
    </w:p>
    <w:p w14:paraId="1C59AB51">
      <w:pPr>
        <w:spacing w:line="580" w:lineRule="exact"/>
        <w:ind w:firstLine="640"/>
        <w:jc w:val="both"/>
      </w:pPr>
      <w:r>
        <w:rPr>
          <w:rFonts w:ascii="仿宋_GB2312" w:hAnsi="仿宋_GB2312" w:eastAsia="仿宋_GB2312"/>
          <w:b w:val="0"/>
          <w:sz w:val="32"/>
        </w:rPr>
        <w:t>2.一般公共服务支出(类)纪检监察事务(款)其他纪检监察事务支出(项):支出决算数为127.71万元，比上年决算增加74.89万元，增长141.78%,主要原因是：本年度新增廉政教育基地建设项目、廉政文化墙、公示公开栏和监督台制作项目，导致经费较上年增加。</w:t>
      </w:r>
    </w:p>
    <w:p w14:paraId="1490DA81">
      <w:pPr>
        <w:spacing w:line="580" w:lineRule="exact"/>
        <w:ind w:firstLine="640"/>
        <w:jc w:val="both"/>
      </w:pPr>
      <w:r>
        <w:rPr>
          <w:rFonts w:ascii="仿宋_GB2312" w:hAnsi="仿宋_GB2312" w:eastAsia="仿宋_GB2312"/>
          <w:b w:val="0"/>
          <w:sz w:val="32"/>
        </w:rPr>
        <w:t>3.科学技术支出(类)技术研究与开发(款)其他技术研究与开发支出(项):支出决算数为21.00万元，比上年决算增加1.00万元，增长5.00%,主要原因是：本年支付去年未付完的项目支出县委巡察办信息化建设项目、纪委监委办案工作经费项目、纪委监委信息化建设资金项目等，导致经费较上年增加。</w:t>
      </w:r>
    </w:p>
    <w:p w14:paraId="042D6834">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4.社会保障和就业支出(类)行政事业单位养老支出(款)行政单位离退休(项):支出决算数为35.55万元，比上年决算增加5.94万元，增长20.06%,主要原因是：本年退休人员增加，退休费支出增加。</w:t>
      </w:r>
    </w:p>
    <w:p w14:paraId="22409C72">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152.28万元，比上年决算增加10.89万元，增长7.70%,主要原因是：本年在职人员工资基数调增，养老缴费基数上涨，相应支出增加。</w:t>
      </w:r>
    </w:p>
    <w:p w14:paraId="14153EB6">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35.39万元，比上年决算减少1.83万元，下降4.92%,主要原因是：本年新增退休人员较上年减少，职业年金缴费较上年减少。</w:t>
      </w:r>
    </w:p>
    <w:p w14:paraId="4381AF7B">
      <w:pPr>
        <w:spacing w:line="580" w:lineRule="exact"/>
        <w:ind w:firstLine="640"/>
        <w:jc w:val="both"/>
      </w:pPr>
      <w:r>
        <w:rPr>
          <w:rFonts w:ascii="仿宋_GB2312" w:hAnsi="仿宋_GB2312" w:eastAsia="仿宋_GB2312"/>
          <w:b w:val="0"/>
          <w:sz w:val="32"/>
        </w:rPr>
        <w:t>7.卫生健康支出(类)行政事业单位医疗(款)行政单位医疗(项):支出决算数为64.72万元，比上年决算增加2.18万元，增长3.49%,主要原因是：本年在职人员增加，行政单位医疗支出较上年增加。</w:t>
      </w:r>
    </w:p>
    <w:p w14:paraId="11436CBE">
      <w:pPr>
        <w:spacing w:line="580" w:lineRule="exact"/>
        <w:ind w:firstLine="640"/>
        <w:jc w:val="both"/>
      </w:pPr>
      <w:r>
        <w:rPr>
          <w:rFonts w:ascii="仿宋_GB2312" w:hAnsi="仿宋_GB2312" w:eastAsia="仿宋_GB2312"/>
          <w:b w:val="0"/>
          <w:sz w:val="32"/>
        </w:rPr>
        <w:t>8.卫生健康支出(类)行政事业单位医疗(款)公务员医疗补助(项):支出决算数为17.24万元，比上年决算减少2.12万元，下降10.95%,主要原因是：本年在职人员转退休，公务员医疗补助减少。</w:t>
      </w:r>
    </w:p>
    <w:p w14:paraId="46789F78">
      <w:pPr>
        <w:spacing w:line="580" w:lineRule="exact"/>
        <w:ind w:firstLine="640"/>
        <w:jc w:val="both"/>
      </w:pPr>
      <w:r>
        <w:rPr>
          <w:rFonts w:ascii="仿宋_GB2312" w:hAnsi="仿宋_GB2312" w:eastAsia="仿宋_GB2312"/>
          <w:b w:val="0"/>
          <w:sz w:val="32"/>
        </w:rPr>
        <w:t>9.住房保障支出(类)住房改革支出(款)住房公积金(项):支出决算数为125.37万元，比上年决算增加11.44万元，增长10.04%,主要原因是：本年在职人员工资基数调增，公积金缴费基数上涨，相应支出增加。</w:t>
      </w:r>
    </w:p>
    <w:p w14:paraId="781FE5E5">
      <w:pPr>
        <w:spacing w:line="640" w:lineRule="exact"/>
        <w:ind w:firstLine="640"/>
        <w:jc w:val="both"/>
        <w:outlineLvl w:val="2"/>
      </w:pPr>
      <w:r>
        <w:rPr>
          <w:rFonts w:ascii="黑体" w:hAnsi="黑体" w:eastAsia="黑体"/>
          <w:sz w:val="32"/>
        </w:rPr>
        <w:t>六、一般公共预算财政拨款基本支出决算情况说明</w:t>
      </w:r>
    </w:p>
    <w:p w14:paraId="18CC7AB0">
      <w:pPr>
        <w:spacing w:line="580" w:lineRule="exact"/>
        <w:ind w:firstLine="640"/>
        <w:jc w:val="both"/>
      </w:pPr>
      <w:r>
        <w:rPr>
          <w:rFonts w:ascii="仿宋_GB2312" w:hAnsi="仿宋_GB2312" w:eastAsia="仿宋_GB2312"/>
          <w:b w:val="0"/>
          <w:sz w:val="32"/>
        </w:rPr>
        <w:t>2024年度一般公共预算财政拨款基本支出1,763.27万元，其中：</w:t>
      </w:r>
      <w:r>
        <w:rPr>
          <w:rFonts w:ascii="仿宋_GB2312" w:hAnsi="仿宋_GB2312" w:eastAsia="仿宋_GB2312"/>
          <w:b/>
          <w:sz w:val="32"/>
        </w:rPr>
        <w:t>人员经费1,652.68万元，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14:paraId="09914796">
      <w:pPr>
        <w:spacing w:line="580" w:lineRule="exact"/>
        <w:ind w:firstLine="640"/>
        <w:jc w:val="both"/>
      </w:pPr>
      <w:r>
        <w:rPr>
          <w:rFonts w:ascii="仿宋_GB2312" w:hAnsi="仿宋_GB2312" w:eastAsia="仿宋_GB2312"/>
          <w:b/>
          <w:sz w:val="32"/>
        </w:rPr>
        <w:t>公用经费110.58万元，</w:t>
      </w:r>
      <w:r>
        <w:rPr>
          <w:rFonts w:ascii="仿宋_GB2312" w:hAnsi="仿宋_GB2312" w:eastAsia="仿宋_GB2312"/>
          <w:b w:val="0"/>
          <w:sz w:val="32"/>
        </w:rPr>
        <w:t>包括：办公费、印刷费、水费、电费、邮电费、取暖费、物业管理费、差旅费、维修（护）费、租赁费、公务接待费、劳务费、公务用车运行维护费、其他商品和服务支出、办公设备购置。</w:t>
      </w:r>
    </w:p>
    <w:p w14:paraId="47B16844">
      <w:pPr>
        <w:spacing w:line="640" w:lineRule="exact"/>
        <w:ind w:firstLine="640"/>
        <w:jc w:val="both"/>
        <w:outlineLvl w:val="2"/>
      </w:pPr>
      <w:r>
        <w:rPr>
          <w:rFonts w:ascii="黑体" w:hAnsi="黑体" w:eastAsia="黑体"/>
          <w:sz w:val="32"/>
        </w:rPr>
        <w:t>七、政府性基金预算财政拨款收入支出决算情况说明</w:t>
      </w:r>
    </w:p>
    <w:p w14:paraId="40E657B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A2708E5">
      <w:pPr>
        <w:spacing w:line="640" w:lineRule="exact"/>
        <w:ind w:firstLine="640"/>
        <w:jc w:val="both"/>
        <w:outlineLvl w:val="2"/>
      </w:pPr>
      <w:r>
        <w:rPr>
          <w:rFonts w:ascii="黑体" w:hAnsi="黑体" w:eastAsia="黑体"/>
          <w:sz w:val="32"/>
        </w:rPr>
        <w:t>八、国有资本经营预算财政拨款收入支出决算情况说明</w:t>
      </w:r>
    </w:p>
    <w:p w14:paraId="688CCF3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EEE4D58">
      <w:pPr>
        <w:spacing w:line="640" w:lineRule="exact"/>
        <w:ind w:firstLine="640"/>
        <w:jc w:val="both"/>
        <w:outlineLvl w:val="2"/>
      </w:pPr>
      <w:r>
        <w:rPr>
          <w:rFonts w:ascii="黑体" w:hAnsi="黑体" w:eastAsia="黑体"/>
          <w:sz w:val="32"/>
        </w:rPr>
        <w:t>九、财政拨款“三公”经费支出决算情况说明</w:t>
      </w:r>
    </w:p>
    <w:p w14:paraId="1C29F063">
      <w:pPr>
        <w:spacing w:line="580" w:lineRule="exact"/>
        <w:ind w:firstLine="640"/>
        <w:jc w:val="both"/>
      </w:pPr>
      <w:r>
        <w:rPr>
          <w:rFonts w:ascii="仿宋_GB2312" w:hAnsi="仿宋_GB2312" w:eastAsia="仿宋_GB2312"/>
          <w:b/>
          <w:sz w:val="32"/>
        </w:rPr>
        <w:t>2024年度财政拨款“三公”经费支出20.98万元，</w:t>
      </w:r>
      <w:r>
        <w:rPr>
          <w:rFonts w:ascii="仿宋_GB2312" w:hAnsi="仿宋_GB2312" w:eastAsia="仿宋_GB2312"/>
          <w:b w:val="0"/>
          <w:sz w:val="32"/>
        </w:rPr>
        <w:t>比上年减少2.91万元，下降12.18%，主要原因是：本单位公务用车报废，减少公务用车运行维护费。其中：因公出国（境）费支出0.00万元，占0.00%，比上年增加0.00万元，增长0.00%，主要原因是：2023年与2024年均未安排因公出国（境）费支出。公务用车购置及运行维护费支出18.49万元，占88.13%，比上年减少5.13万元，下降21.72%，主要原因是：本单位公务用车报废，减少公务用车运行维护费。公务接待费支出2.49万元，占11.87%，比上年增加2.22万元，增长822.22%，主要原因是：本年接待上级领导检查、调研活动次数比上年多，导致公务接待费较上年增加。</w:t>
      </w:r>
    </w:p>
    <w:p w14:paraId="60655CFE">
      <w:pPr>
        <w:spacing w:line="580" w:lineRule="exact"/>
        <w:ind w:firstLine="640"/>
        <w:jc w:val="both"/>
      </w:pPr>
      <w:r>
        <w:rPr>
          <w:rFonts w:ascii="仿宋_GB2312" w:hAnsi="仿宋_GB2312" w:eastAsia="仿宋_GB2312"/>
          <w:b/>
          <w:sz w:val="32"/>
        </w:rPr>
        <w:t>具体情况如下：</w:t>
      </w:r>
    </w:p>
    <w:p w14:paraId="72931FB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37E4170">
      <w:pPr>
        <w:spacing w:line="580" w:lineRule="exact"/>
        <w:ind w:firstLine="640"/>
        <w:jc w:val="both"/>
      </w:pPr>
      <w:r>
        <w:rPr>
          <w:rFonts w:ascii="仿宋_GB2312" w:hAnsi="仿宋_GB2312" w:eastAsia="仿宋_GB2312"/>
          <w:b w:val="0"/>
          <w:sz w:val="32"/>
        </w:rPr>
        <w:t>公务用车购置及运行维护费18.49万元，其中：公务用车购置费0.00万元，公务用车运行维护费18.49万元。公务用车运行维护费开支内容包括车辆燃油费、车辆保险费、维修维护费。公务用车购置数0辆，公务用车保有量10辆。国有资产占用情况中固定资产车辆10辆，与公务用车保有量差异原因是：本单位固定资产车辆与公务用车保有量一致无差异。</w:t>
      </w:r>
    </w:p>
    <w:p w14:paraId="67A897E3">
      <w:pPr>
        <w:spacing w:line="580" w:lineRule="exact"/>
        <w:ind w:firstLine="640"/>
        <w:jc w:val="both"/>
      </w:pPr>
      <w:r>
        <w:rPr>
          <w:rFonts w:ascii="仿宋_GB2312" w:hAnsi="仿宋_GB2312" w:eastAsia="仿宋_GB2312"/>
          <w:b w:val="0"/>
          <w:sz w:val="32"/>
        </w:rPr>
        <w:t>公务接待费2.49万元，开支内容包括接待疆内外纪委赴我县开展考察、交流接待用餐费。单位全年安排的国内公务接待28批次，250人次。</w:t>
      </w:r>
    </w:p>
    <w:p w14:paraId="3F62019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20.98万元，决算数20.98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18.49万元，决算数18.49万元，预决算差异率0.00%，主要原因是：严格按照预算执行，预决算无差异。公务接待费全年预算数2.49万元，决算数2.49万元，预决算差异率0.00%，主要原因是：严格按照预算执行，预决算无差异。</w:t>
      </w:r>
    </w:p>
    <w:p w14:paraId="73E32402">
      <w:pPr>
        <w:spacing w:line="640" w:lineRule="exact"/>
        <w:ind w:firstLine="640"/>
        <w:jc w:val="both"/>
        <w:outlineLvl w:val="2"/>
      </w:pPr>
      <w:r>
        <w:rPr>
          <w:rFonts w:ascii="黑体" w:hAnsi="黑体" w:eastAsia="黑体"/>
          <w:sz w:val="32"/>
        </w:rPr>
        <w:t>十、其他重要事项的情况说明</w:t>
      </w:r>
    </w:p>
    <w:p w14:paraId="1D740008">
      <w:pPr>
        <w:spacing w:line="640" w:lineRule="exact"/>
        <w:ind w:firstLine="640"/>
        <w:jc w:val="both"/>
        <w:outlineLvl w:val="3"/>
      </w:pPr>
      <w:r>
        <w:rPr>
          <w:rFonts w:ascii="楷体_GB2312" w:hAnsi="楷体_GB2312" w:eastAsia="楷体_GB2312"/>
          <w:b/>
          <w:sz w:val="32"/>
        </w:rPr>
        <w:t>（一）机关运行经费及公用经费支出情况</w:t>
      </w:r>
    </w:p>
    <w:p w14:paraId="7834BD7C">
      <w:pPr>
        <w:spacing w:line="580" w:lineRule="exact"/>
        <w:ind w:firstLine="640"/>
        <w:jc w:val="both"/>
      </w:pPr>
      <w:r>
        <w:rPr>
          <w:rFonts w:ascii="仿宋_GB2312" w:hAnsi="仿宋_GB2312" w:eastAsia="仿宋_GB2312"/>
          <w:b w:val="0"/>
          <w:sz w:val="32"/>
        </w:rPr>
        <w:t>2024年度中共岳普湖县纪律检查委员会（行政单位和参照公务员法管理事业单位）机关运行经费支出110.58万元，比上年减少16.44万元，下降12.94%，主要原因是：本年度报废一辆车，厉行节约，减少公用经费支出。</w:t>
      </w:r>
    </w:p>
    <w:p w14:paraId="11D60869">
      <w:pPr>
        <w:spacing w:line="640" w:lineRule="exact"/>
        <w:ind w:firstLine="640"/>
        <w:jc w:val="both"/>
        <w:outlineLvl w:val="3"/>
      </w:pPr>
      <w:r>
        <w:rPr>
          <w:rFonts w:ascii="楷体_GB2312" w:hAnsi="楷体_GB2312" w:eastAsia="楷体_GB2312"/>
          <w:b/>
          <w:sz w:val="32"/>
        </w:rPr>
        <w:t>（二）政府采购情况</w:t>
      </w:r>
    </w:p>
    <w:p w14:paraId="47642293">
      <w:pPr>
        <w:spacing w:line="580" w:lineRule="exact"/>
        <w:ind w:firstLine="640"/>
        <w:jc w:val="both"/>
      </w:pPr>
      <w:r>
        <w:rPr>
          <w:rFonts w:ascii="仿宋_GB2312" w:hAnsi="仿宋_GB2312" w:eastAsia="仿宋_GB2312"/>
          <w:b w:val="0"/>
          <w:sz w:val="32"/>
        </w:rPr>
        <w:t>2024年度政府采购支出总额27.11万元，其中：政府采购货物支出21.91万元、政府采购工程支出0.00万元、政府采购服务支出5.21万元。</w:t>
      </w:r>
    </w:p>
    <w:p w14:paraId="48FA25E3">
      <w:pPr>
        <w:spacing w:line="580" w:lineRule="exact"/>
        <w:ind w:firstLine="640"/>
        <w:jc w:val="both"/>
      </w:pPr>
      <w:r>
        <w:rPr>
          <w:rFonts w:ascii="仿宋_GB2312" w:hAnsi="仿宋_GB2312" w:eastAsia="仿宋_GB2312"/>
          <w:b w:val="0"/>
          <w:sz w:val="32"/>
        </w:rPr>
        <w:t>授予中小企业合同金额26.51万元，占政府采购支出总额的97.79%，其中：授予小微企业合同金额9.98万元，占政府采购支出总额的36.81%。</w:t>
      </w:r>
    </w:p>
    <w:p w14:paraId="66C1AA8F">
      <w:pPr>
        <w:spacing w:line="640" w:lineRule="exact"/>
        <w:ind w:firstLine="640"/>
        <w:jc w:val="both"/>
        <w:outlineLvl w:val="3"/>
      </w:pPr>
      <w:r>
        <w:rPr>
          <w:rFonts w:ascii="楷体_GB2312" w:hAnsi="楷体_GB2312" w:eastAsia="楷体_GB2312"/>
          <w:b/>
          <w:sz w:val="32"/>
        </w:rPr>
        <w:t>（三）国有资产占用情况说明</w:t>
      </w:r>
    </w:p>
    <w:p w14:paraId="40F38E00">
      <w:pPr>
        <w:spacing w:line="580" w:lineRule="exact"/>
        <w:ind w:firstLine="640"/>
        <w:jc w:val="both"/>
      </w:pPr>
      <w:r>
        <w:rPr>
          <w:rFonts w:ascii="仿宋_GB2312" w:hAnsi="仿宋_GB2312" w:eastAsia="仿宋_GB2312"/>
          <w:b w:val="0"/>
          <w:sz w:val="32"/>
        </w:rPr>
        <w:t>截至2024年12月31日，房屋150.00平方米，价值12.50万元。车辆10辆，价值125.86万元，其中：副部（省）级及以上领导用车0辆、主要负责人用车0辆、机要通信用车0辆、应急保障用车0辆、执法执勤用车9辆、特种专业技术用车0辆、离退休干部服务用车0辆、其他用车1辆，其他用车主要是：一般公务用车。单价100万元（含）以上设备（不含车辆）0台（套）。</w:t>
      </w:r>
    </w:p>
    <w:p w14:paraId="2C548801">
      <w:pPr>
        <w:spacing w:line="640" w:lineRule="exact"/>
        <w:ind w:firstLine="640"/>
        <w:jc w:val="both"/>
        <w:outlineLvl w:val="2"/>
      </w:pPr>
      <w:r>
        <w:rPr>
          <w:rFonts w:ascii="黑体" w:hAnsi="黑体" w:eastAsia="黑体"/>
          <w:sz w:val="32"/>
        </w:rPr>
        <w:t>十一、预算绩效的情况说明</w:t>
      </w:r>
    </w:p>
    <w:p w14:paraId="1B4B314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根据预算绩效管理要求，本单位2024年度预算绩效管理形成整体支出绩效自评表1个，全年预算总额1,911.98万元，实际执行总额1,911.98万元；预算绩效评价项目</w:t>
      </w:r>
      <w:r>
        <w:rPr>
          <w:rFonts w:hint="eastAsia" w:ascii="仿宋_GB2312" w:hAnsi="仿宋_GB2312" w:eastAsia="仿宋_GB2312"/>
          <w:b w:val="0"/>
          <w:sz w:val="32"/>
          <w:lang w:val="en-US" w:eastAsia="zh-CN"/>
        </w:rPr>
        <w:t>5</w:t>
      </w:r>
      <w:r>
        <w:rPr>
          <w:rFonts w:ascii="仿宋_GB2312" w:hAnsi="仿宋_GB2312" w:eastAsia="仿宋_GB2312"/>
          <w:b w:val="0"/>
          <w:sz w:val="32"/>
        </w:rPr>
        <w:t>个，全年预算数</w:t>
      </w:r>
      <w:r>
        <w:rPr>
          <w:rFonts w:hint="eastAsia" w:ascii="仿宋_GB2312" w:hAnsi="仿宋_GB2312" w:eastAsia="仿宋_GB2312"/>
          <w:b w:val="0"/>
          <w:sz w:val="32"/>
        </w:rPr>
        <w:t>132.89</w:t>
      </w:r>
      <w:r>
        <w:rPr>
          <w:rFonts w:ascii="仿宋_GB2312" w:hAnsi="仿宋_GB2312" w:eastAsia="仿宋_GB2312"/>
          <w:b w:val="0"/>
          <w:sz w:val="32"/>
        </w:rPr>
        <w:t>万元，全年执行数</w:t>
      </w:r>
      <w:r>
        <w:rPr>
          <w:rFonts w:hint="eastAsia" w:ascii="仿宋_GB2312" w:hAnsi="仿宋_GB2312" w:eastAsia="仿宋_GB2312"/>
          <w:b w:val="0"/>
          <w:sz w:val="32"/>
        </w:rPr>
        <w:t>129.79</w:t>
      </w:r>
      <w:r>
        <w:rPr>
          <w:rFonts w:ascii="仿宋_GB2312" w:hAnsi="仿宋_GB2312" w:eastAsia="仿宋_GB2312"/>
          <w:b w:val="0"/>
          <w:sz w:val="32"/>
        </w:rPr>
        <w:t>万元。预算绩效管理取得的成效：1.单位领导重视。单位领导高度重视，分管领导具体负责，专门成立项目绩效评价工作组，负责项目工作的指挥、协调，明确工作职责。充分发挥其职能作用。2.建立平台安全保障体系。加强平台的安全保障工作，包括数据加密、权限控制等，确保平台的数据安全。发现的问题及原因：一是预算编制还不够完整。对于需要县级财力的项目还不能够全面纳入预算编制。二是预算编制缺乏严谨性，政府采购</w:t>
      </w:r>
      <w:r>
        <w:rPr>
          <w:rFonts w:hint="eastAsia" w:ascii="仿宋_GB2312" w:hAnsi="仿宋_GB2312" w:eastAsia="仿宋_GB2312"/>
          <w:b w:val="0"/>
          <w:sz w:val="32"/>
          <w:lang w:eastAsia="zh-CN"/>
        </w:rPr>
        <w:t>未</w:t>
      </w:r>
      <w:r>
        <w:rPr>
          <w:rFonts w:ascii="仿宋_GB2312" w:hAnsi="仿宋_GB2312" w:eastAsia="仿宋_GB2312"/>
          <w:b w:val="0"/>
          <w:sz w:val="32"/>
        </w:rPr>
        <w:t>严格纳入预算编制。三是绩效指标的明确性、可衡量性、相关性还需进一步提升。下一步改进措施：一是提高预算编制的准确性。二是做好预算编制前的准备工作。三是提高预算编制重要性认识。四是完善绩效指标的设置，提高整体绩效目标质量。具体附整体支出绩效自评表，</w:t>
      </w:r>
      <w:bookmarkStart w:id="0" w:name="_GoBack"/>
      <w:r>
        <w:rPr>
          <w:rFonts w:ascii="仿宋_GB2312" w:hAnsi="仿宋_GB2312" w:eastAsia="仿宋_GB2312"/>
          <w:b w:val="0"/>
          <w:sz w:val="32"/>
        </w:rPr>
        <w:t>项目支出绩效自评表</w:t>
      </w:r>
      <w:bookmarkEnd w:id="0"/>
      <w:r>
        <w:rPr>
          <w:rFonts w:ascii="仿宋_GB2312" w:hAnsi="仿宋_GB2312" w:eastAsia="仿宋_GB2312"/>
          <w:b w:val="0"/>
          <w:sz w:val="32"/>
        </w:rPr>
        <w:t>和评价报告。</w:t>
      </w:r>
    </w:p>
    <w:p w14:paraId="5BF167C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213"/>
        <w:gridCol w:w="770"/>
        <w:gridCol w:w="983"/>
        <w:gridCol w:w="983"/>
        <w:gridCol w:w="983"/>
        <w:gridCol w:w="983"/>
        <w:gridCol w:w="983"/>
      </w:tblGrid>
      <w:tr w14:paraId="2106D90F">
        <w:tblPrEx>
          <w:tblCellMar>
            <w:top w:w="0" w:type="dxa"/>
            <w:left w:w="108" w:type="dxa"/>
            <w:bottom w:w="0" w:type="dxa"/>
            <w:right w:w="108" w:type="dxa"/>
          </w:tblCellMar>
        </w:tblPrEx>
        <w:tc>
          <w:tcPr>
            <w:tcW w:w="8847" w:type="dxa"/>
            <w:gridSpan w:val="10"/>
            <w:vAlign w:val="center"/>
          </w:tcPr>
          <w:p w14:paraId="4F411CFA">
            <w:pPr>
              <w:jc w:val="center"/>
            </w:pPr>
            <w:r>
              <w:rPr>
                <w:rFonts w:ascii="宋体" w:hAnsi="宋体" w:eastAsia="宋体"/>
                <w:sz w:val="24"/>
              </w:rPr>
              <w:t>单位整体支出绩效自评表</w:t>
            </w:r>
          </w:p>
        </w:tc>
      </w:tr>
      <w:tr w14:paraId="40435A84">
        <w:tblPrEx>
          <w:tblCellMar>
            <w:top w:w="0" w:type="dxa"/>
            <w:left w:w="108" w:type="dxa"/>
            <w:bottom w:w="0" w:type="dxa"/>
            <w:right w:w="108" w:type="dxa"/>
          </w:tblCellMar>
        </w:tblPrEx>
        <w:tc>
          <w:tcPr>
            <w:tcW w:w="8847" w:type="dxa"/>
            <w:gridSpan w:val="10"/>
            <w:vAlign w:val="center"/>
          </w:tcPr>
          <w:p w14:paraId="36B9073E">
            <w:pPr>
              <w:jc w:val="center"/>
            </w:pPr>
            <w:r>
              <w:rPr>
                <w:rFonts w:ascii="宋体" w:hAnsi="宋体" w:eastAsia="宋体"/>
                <w:sz w:val="24"/>
              </w:rPr>
              <w:t>（2024年度）</w:t>
            </w:r>
          </w:p>
        </w:tc>
      </w:tr>
      <w:tr w14:paraId="7B2FF82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2B295">
            <w:pPr>
              <w:jc w:val="center"/>
            </w:pPr>
            <w:r>
              <w:rPr>
                <w:rFonts w:ascii="宋体" w:hAnsi="宋体" w:eastAsia="宋体"/>
                <w:sz w:val="16"/>
              </w:rPr>
              <w:t>单位名称</w:t>
            </w:r>
          </w:p>
        </w:tc>
        <w:tc>
          <w:tcPr>
            <w:tcW w:w="786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24D6CEF0">
            <w:pPr>
              <w:jc w:val="center"/>
            </w:pPr>
            <w:r>
              <w:rPr>
                <w:rFonts w:ascii="宋体" w:hAnsi="宋体" w:eastAsia="宋体"/>
                <w:sz w:val="16"/>
              </w:rPr>
              <w:t>中共岳普湖县纪律检查委员会</w:t>
            </w:r>
          </w:p>
        </w:tc>
      </w:tr>
      <w:tr w14:paraId="4E1C4A9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8CE147">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1D861">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35157">
            <w:pPr>
              <w:jc w:val="center"/>
            </w:pPr>
            <w:r>
              <w:rPr>
                <w:rFonts w:ascii="宋体" w:hAnsi="宋体" w:eastAsia="宋体"/>
                <w:sz w:val="16"/>
              </w:rPr>
              <w:t>年初预算数</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A266A">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F2738">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1585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45684">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DFF29">
            <w:pPr>
              <w:jc w:val="center"/>
            </w:pPr>
            <w:r>
              <w:rPr>
                <w:rFonts w:ascii="宋体" w:hAnsi="宋体" w:eastAsia="宋体"/>
                <w:sz w:val="16"/>
              </w:rPr>
              <w:t>得分</w:t>
            </w:r>
          </w:p>
        </w:tc>
      </w:tr>
      <w:tr w14:paraId="2E456B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F1BA0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48A8F">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29A6B4">
            <w:pPr>
              <w:jc w:val="center"/>
            </w:pPr>
            <w:r>
              <w:rPr>
                <w:rFonts w:ascii="宋体" w:hAnsi="宋体" w:eastAsia="宋体"/>
                <w:sz w:val="16"/>
              </w:rPr>
              <w:t>1,668.81</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35436">
            <w:pPr>
              <w:jc w:val="center"/>
            </w:pPr>
            <w:r>
              <w:rPr>
                <w:rFonts w:ascii="宋体" w:hAnsi="宋体" w:eastAsia="宋体"/>
                <w:sz w:val="16"/>
              </w:rPr>
              <w:t>1,911.98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6A189">
            <w:pPr>
              <w:jc w:val="center"/>
            </w:pPr>
            <w:r>
              <w:rPr>
                <w:rFonts w:ascii="宋体" w:hAnsi="宋体" w:eastAsia="宋体"/>
                <w:sz w:val="16"/>
              </w:rPr>
              <w:t>1,911.98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DA41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52B1D">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B1165">
            <w:pPr>
              <w:jc w:val="center"/>
            </w:pPr>
            <w:r>
              <w:rPr>
                <w:rFonts w:ascii="宋体" w:hAnsi="宋体" w:eastAsia="宋体"/>
                <w:sz w:val="16"/>
              </w:rPr>
              <w:t>10</w:t>
            </w:r>
          </w:p>
        </w:tc>
      </w:tr>
      <w:tr w14:paraId="3FA616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9B9A3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0EEA8">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31FF2">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5E591">
            <w:pPr>
              <w:jc w:val="center"/>
            </w:pPr>
            <w:r>
              <w:rPr>
                <w:rFonts w:ascii="宋体" w:hAnsi="宋体" w:eastAsia="宋体"/>
                <w:sz w:val="16"/>
              </w:rPr>
              <w:t>42.05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D3ED8">
            <w:pPr>
              <w:jc w:val="center"/>
            </w:pPr>
            <w:r>
              <w:rPr>
                <w:rFonts w:ascii="宋体" w:hAnsi="宋体" w:eastAsia="宋体"/>
                <w:sz w:val="16"/>
              </w:rPr>
              <w:t>42.05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F2FC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BA4E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019AF">
            <w:pPr>
              <w:jc w:val="center"/>
            </w:pPr>
            <w:r>
              <w:rPr>
                <w:rFonts w:ascii="宋体" w:hAnsi="宋体" w:eastAsia="宋体"/>
                <w:sz w:val="16"/>
              </w:rPr>
              <w:t>—</w:t>
            </w:r>
          </w:p>
        </w:tc>
      </w:tr>
      <w:tr w14:paraId="32CD57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47B4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B71EA">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D1E3D">
            <w:pPr>
              <w:jc w:val="center"/>
            </w:pPr>
            <w:r>
              <w:rPr>
                <w:rFonts w:ascii="宋体" w:hAnsi="宋体" w:eastAsia="宋体"/>
                <w:sz w:val="16"/>
              </w:rPr>
              <w:t>1,668.81</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4150E">
            <w:pPr>
              <w:jc w:val="center"/>
            </w:pPr>
            <w:r>
              <w:rPr>
                <w:rFonts w:ascii="宋体" w:hAnsi="宋体" w:eastAsia="宋体"/>
                <w:sz w:val="16"/>
              </w:rPr>
              <w:t>1,869.93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34788">
            <w:pPr>
              <w:jc w:val="center"/>
            </w:pPr>
            <w:r>
              <w:rPr>
                <w:rFonts w:ascii="宋体" w:hAnsi="宋体" w:eastAsia="宋体"/>
                <w:sz w:val="16"/>
              </w:rPr>
              <w:t>1,869.93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99A1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3ED5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70ACF">
            <w:pPr>
              <w:jc w:val="center"/>
            </w:pPr>
            <w:r>
              <w:rPr>
                <w:rFonts w:ascii="宋体" w:hAnsi="宋体" w:eastAsia="宋体"/>
                <w:sz w:val="16"/>
              </w:rPr>
              <w:t>—</w:t>
            </w:r>
          </w:p>
        </w:tc>
      </w:tr>
      <w:tr w14:paraId="758198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BAFD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27F2C">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C919C">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3A3F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8C24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51EE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E3EE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A80EB">
            <w:pPr>
              <w:jc w:val="center"/>
            </w:pPr>
            <w:r>
              <w:rPr>
                <w:rFonts w:ascii="宋体" w:hAnsi="宋体" w:eastAsia="宋体"/>
                <w:sz w:val="16"/>
              </w:rPr>
              <w:t>—</w:t>
            </w:r>
          </w:p>
        </w:tc>
      </w:tr>
      <w:tr w14:paraId="31C55EC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A44187">
            <w:pPr>
              <w:jc w:val="center"/>
            </w:pPr>
            <w:r>
              <w:rPr>
                <w:rFonts w:ascii="宋体" w:hAnsi="宋体" w:eastAsia="宋体"/>
                <w:sz w:val="16"/>
              </w:rPr>
              <w:t>年度总体目标</w:t>
            </w:r>
          </w:p>
        </w:tc>
        <w:tc>
          <w:tcPr>
            <w:tcW w:w="217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A018B5B">
            <w:pPr>
              <w:jc w:val="center"/>
            </w:pPr>
            <w:r>
              <w:rPr>
                <w:rFonts w:ascii="宋体" w:hAnsi="宋体" w:eastAsia="宋体"/>
                <w:sz w:val="16"/>
              </w:rPr>
              <w:t>预期目标</w:t>
            </w:r>
          </w:p>
        </w:tc>
        <w:tc>
          <w:tcPr>
            <w:tcW w:w="568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279DA2">
            <w:pPr>
              <w:jc w:val="center"/>
            </w:pPr>
            <w:r>
              <w:rPr>
                <w:rFonts w:ascii="宋体" w:hAnsi="宋体" w:eastAsia="宋体"/>
                <w:sz w:val="16"/>
              </w:rPr>
              <w:t>实际完成情况</w:t>
            </w:r>
          </w:p>
        </w:tc>
      </w:tr>
      <w:tr w14:paraId="158F9F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A92403"/>
        </w:tc>
        <w:tc>
          <w:tcPr>
            <w:tcW w:w="217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0733A6">
            <w:pPr>
              <w:jc w:val="both"/>
            </w:pPr>
            <w:r>
              <w:rPr>
                <w:rFonts w:ascii="宋体" w:hAnsi="宋体" w:eastAsia="宋体"/>
                <w:sz w:val="16"/>
              </w:rPr>
              <w:t>保障2轮巡视巡察、开展3次反腐败协调小组会议、289件审查结案、党委（党组）召开家庭助廉座谈会42场次。深化纪检监察工作组织领导，发挥巡察监察作用。全面推进</w:t>
            </w:r>
            <w:r>
              <w:rPr>
                <w:rFonts w:hint="eastAsia" w:ascii="宋体" w:hAnsi="宋体"/>
                <w:sz w:val="16"/>
                <w:lang w:eastAsia="zh-CN"/>
              </w:rPr>
              <w:t>全面从严治党</w:t>
            </w:r>
            <w:r>
              <w:rPr>
                <w:rFonts w:ascii="宋体" w:hAnsi="宋体" w:eastAsia="宋体"/>
                <w:sz w:val="16"/>
              </w:rPr>
              <w:t>向基层延伸。保障各类反腐助廉会议的按期召开。</w:t>
            </w:r>
          </w:p>
        </w:tc>
        <w:tc>
          <w:tcPr>
            <w:tcW w:w="568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9A487C">
            <w:pPr>
              <w:jc w:val="both"/>
            </w:pPr>
            <w:r>
              <w:rPr>
                <w:rFonts w:ascii="宋体" w:hAnsi="宋体" w:eastAsia="宋体"/>
                <w:sz w:val="16"/>
              </w:rPr>
              <w:t>完成了2轮巡视巡察的工作任务，包括对相关单位和部门的深入检查和监督。组织并开展了3次反腐败协调小组会议，对于加强反腐败工作的协调和沟通起到了至关重要的作用。在审查工作方面，完成了289件案件的审查结案工作，确保了纪律审查的严肃性和公正性。党委（党组）也高度重视家庭助廉工作，已经召开了42场次的家庭助廉座谈会，旨在通过家庭的力量推动廉洁自律，营造风清气正的社会氛围。充分发挥单位的履职效能，深化纪检监察工作的组织领导，确保巡察监察作用的有效发挥。同时，全面推进</w:t>
            </w:r>
            <w:r>
              <w:rPr>
                <w:rFonts w:hint="eastAsia" w:ascii="宋体" w:hAnsi="宋体"/>
                <w:sz w:val="16"/>
                <w:lang w:eastAsia="zh-CN"/>
              </w:rPr>
              <w:t>全面从严治党</w:t>
            </w:r>
            <w:r>
              <w:rPr>
                <w:rFonts w:ascii="宋体" w:hAnsi="宋体" w:eastAsia="宋体"/>
                <w:sz w:val="16"/>
              </w:rPr>
              <w:t>向基层延伸，确保党的纪律和规矩在基层得到严格执行。此外，确保各类</w:t>
            </w:r>
            <w:r>
              <w:rPr>
                <w:rFonts w:hint="eastAsia" w:ascii="宋体" w:hAnsi="宋体"/>
                <w:sz w:val="16"/>
                <w:lang w:eastAsia="zh-CN"/>
              </w:rPr>
              <w:t>反腐倡廉</w:t>
            </w:r>
            <w:r>
              <w:rPr>
                <w:rFonts w:ascii="宋体" w:hAnsi="宋体" w:eastAsia="宋体"/>
                <w:sz w:val="16"/>
              </w:rPr>
              <w:t>会议能够按期召开，为反腐倡廉工作提供了坚实的组织保障。</w:t>
            </w:r>
          </w:p>
        </w:tc>
      </w:tr>
      <w:tr w14:paraId="2E1AF1D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2259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3E8F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C4441">
            <w:pPr>
              <w:jc w:val="center"/>
            </w:pPr>
            <w:r>
              <w:rPr>
                <w:rFonts w:ascii="宋体" w:hAnsi="宋体" w:eastAsia="宋体"/>
                <w:sz w:val="16"/>
              </w:rPr>
              <w:t>三级指标</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BFC95">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9D753">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016B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36FA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F2149">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ADAAF">
            <w:pPr>
              <w:jc w:val="center"/>
            </w:pPr>
            <w:r>
              <w:rPr>
                <w:rFonts w:ascii="宋体" w:hAnsi="宋体" w:eastAsia="宋体"/>
                <w:sz w:val="16"/>
              </w:rPr>
              <w:t>得分</w:t>
            </w:r>
          </w:p>
        </w:tc>
      </w:tr>
      <w:tr w14:paraId="3F60645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D84F85">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4D10F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1DDF4">
            <w:pPr>
              <w:jc w:val="center"/>
            </w:pPr>
            <w:r>
              <w:rPr>
                <w:rFonts w:ascii="宋体" w:hAnsi="宋体" w:eastAsia="宋体"/>
                <w:sz w:val="16"/>
              </w:rPr>
              <w:t>巡视巡察次数</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B25C2">
            <w:pPr>
              <w:jc w:val="center"/>
            </w:pPr>
            <w:r>
              <w:rPr>
                <w:rFonts w:ascii="宋体" w:hAnsi="宋体" w:eastAsia="宋体"/>
                <w:sz w:val="16"/>
              </w:rPr>
              <w:t>&gt;=2轮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46AF7">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0D67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1B8B8">
            <w:pPr>
              <w:jc w:val="center"/>
            </w:pPr>
            <w:r>
              <w:rPr>
                <w:rFonts w:ascii="宋体" w:hAnsi="宋体" w:eastAsia="宋体"/>
                <w:sz w:val="16"/>
              </w:rPr>
              <w:t>2轮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A8CE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3C642">
            <w:pPr>
              <w:jc w:val="center"/>
            </w:pPr>
            <w:r>
              <w:rPr>
                <w:rFonts w:ascii="宋体" w:hAnsi="宋体" w:eastAsia="宋体"/>
                <w:sz w:val="16"/>
              </w:rPr>
              <w:t>15</w:t>
            </w:r>
          </w:p>
        </w:tc>
      </w:tr>
      <w:tr w14:paraId="63CD63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1499B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E5885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9C68C">
            <w:pPr>
              <w:jc w:val="center"/>
            </w:pPr>
            <w:r>
              <w:rPr>
                <w:rFonts w:ascii="宋体" w:hAnsi="宋体" w:eastAsia="宋体"/>
                <w:sz w:val="16"/>
              </w:rPr>
              <w:t>审查结案件数</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DF1D4">
            <w:pPr>
              <w:jc w:val="center"/>
            </w:pPr>
            <w:r>
              <w:rPr>
                <w:rFonts w:ascii="宋体" w:hAnsi="宋体" w:eastAsia="宋体"/>
                <w:sz w:val="16"/>
              </w:rPr>
              <w:t>&gt;=289件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CCD53">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71E8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FEF98">
            <w:pPr>
              <w:jc w:val="center"/>
            </w:pPr>
            <w:r>
              <w:rPr>
                <w:rFonts w:ascii="宋体" w:hAnsi="宋体" w:eastAsia="宋体"/>
                <w:sz w:val="16"/>
              </w:rPr>
              <w:t>289件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9FB5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62988">
            <w:pPr>
              <w:jc w:val="center"/>
            </w:pPr>
            <w:r>
              <w:rPr>
                <w:rFonts w:ascii="宋体" w:hAnsi="宋体" w:eastAsia="宋体"/>
                <w:sz w:val="16"/>
              </w:rPr>
              <w:t>15</w:t>
            </w:r>
          </w:p>
        </w:tc>
      </w:tr>
      <w:tr w14:paraId="6E4A9B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20546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0A197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97B7D">
            <w:pPr>
              <w:jc w:val="center"/>
            </w:pPr>
            <w:r>
              <w:rPr>
                <w:rFonts w:ascii="宋体" w:hAnsi="宋体" w:eastAsia="宋体"/>
                <w:sz w:val="16"/>
              </w:rPr>
              <w:t>党委（党组）召开家庭助廉座谈会次数</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4A4E5">
            <w:pPr>
              <w:jc w:val="center"/>
            </w:pPr>
            <w:r>
              <w:rPr>
                <w:rFonts w:ascii="宋体" w:hAnsi="宋体" w:eastAsia="宋体"/>
                <w:sz w:val="16"/>
              </w:rPr>
              <w:t>&gt;=42场次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2CACA">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1CDC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673BE">
            <w:pPr>
              <w:jc w:val="center"/>
            </w:pPr>
            <w:r>
              <w:rPr>
                <w:rFonts w:ascii="宋体" w:hAnsi="宋体" w:eastAsia="宋体"/>
                <w:sz w:val="16"/>
              </w:rPr>
              <w:t>42场次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79DA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83963">
            <w:pPr>
              <w:jc w:val="center"/>
            </w:pPr>
            <w:r>
              <w:rPr>
                <w:rFonts w:ascii="宋体" w:hAnsi="宋体" w:eastAsia="宋体"/>
                <w:sz w:val="16"/>
              </w:rPr>
              <w:t>15</w:t>
            </w:r>
          </w:p>
        </w:tc>
      </w:tr>
      <w:tr w14:paraId="16B87A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8C5CA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0367D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CB8B6">
            <w:pPr>
              <w:jc w:val="center"/>
            </w:pPr>
            <w:r>
              <w:rPr>
                <w:rFonts w:ascii="宋体" w:hAnsi="宋体" w:eastAsia="宋体"/>
                <w:sz w:val="16"/>
              </w:rPr>
              <w:t>开展反腐协调小组会议次数</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46C0B">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AA0BC">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C2FC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58057">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40AF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18E97">
            <w:pPr>
              <w:jc w:val="center"/>
            </w:pPr>
            <w:r>
              <w:rPr>
                <w:rFonts w:ascii="宋体" w:hAnsi="宋体" w:eastAsia="宋体"/>
                <w:sz w:val="16"/>
              </w:rPr>
              <w:t>15</w:t>
            </w:r>
          </w:p>
        </w:tc>
      </w:tr>
      <w:tr w14:paraId="4ED5F3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04727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95CC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FF6FC">
            <w:pPr>
              <w:jc w:val="center"/>
            </w:pPr>
            <w:r>
              <w:rPr>
                <w:rFonts w:ascii="宋体" w:hAnsi="宋体" w:eastAsia="宋体"/>
                <w:sz w:val="16"/>
              </w:rPr>
              <w:t>巡视、检查完成率</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A5B3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B156B">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82EB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FA5B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CA4E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3FB9D">
            <w:pPr>
              <w:jc w:val="center"/>
            </w:pPr>
            <w:r>
              <w:rPr>
                <w:rFonts w:ascii="宋体" w:hAnsi="宋体" w:eastAsia="宋体"/>
                <w:sz w:val="16"/>
              </w:rPr>
              <w:t>15</w:t>
            </w:r>
          </w:p>
        </w:tc>
      </w:tr>
      <w:tr w14:paraId="621D52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91D7C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120E2">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77E82">
            <w:pPr>
              <w:jc w:val="center"/>
            </w:pPr>
            <w:r>
              <w:rPr>
                <w:rFonts w:ascii="宋体" w:hAnsi="宋体" w:eastAsia="宋体"/>
                <w:sz w:val="16"/>
              </w:rPr>
              <w:t>各类反腐助廉会议按期召开及时率</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8B09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C798A">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1BA3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95D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0158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9343D">
            <w:pPr>
              <w:jc w:val="center"/>
            </w:pPr>
            <w:r>
              <w:rPr>
                <w:rFonts w:ascii="宋体" w:hAnsi="宋体" w:eastAsia="宋体"/>
                <w:sz w:val="16"/>
              </w:rPr>
              <w:t>15</w:t>
            </w:r>
          </w:p>
        </w:tc>
      </w:tr>
    </w:tbl>
    <w:p w14:paraId="48676B2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08EFBD3">
        <w:tblPrEx>
          <w:tblCellMar>
            <w:top w:w="0" w:type="dxa"/>
            <w:left w:w="108" w:type="dxa"/>
            <w:bottom w:w="0" w:type="dxa"/>
            <w:right w:w="108" w:type="dxa"/>
          </w:tblCellMar>
        </w:tblPrEx>
        <w:tc>
          <w:tcPr>
            <w:tcW w:w="8848" w:type="dxa"/>
            <w:gridSpan w:val="14"/>
            <w:vAlign w:val="center"/>
          </w:tcPr>
          <w:p w14:paraId="6FFB13F0">
            <w:pPr>
              <w:jc w:val="center"/>
            </w:pPr>
            <w:r>
              <w:rPr>
                <w:rFonts w:ascii="宋体" w:hAnsi="宋体" w:eastAsia="宋体"/>
                <w:sz w:val="24"/>
              </w:rPr>
              <w:t>项目支出绩效自评表</w:t>
            </w:r>
          </w:p>
        </w:tc>
      </w:tr>
      <w:tr w14:paraId="7C371166">
        <w:tblPrEx>
          <w:tblCellMar>
            <w:top w:w="0" w:type="dxa"/>
            <w:left w:w="108" w:type="dxa"/>
            <w:bottom w:w="0" w:type="dxa"/>
            <w:right w:w="108" w:type="dxa"/>
          </w:tblCellMar>
        </w:tblPrEx>
        <w:tc>
          <w:tcPr>
            <w:tcW w:w="8848" w:type="dxa"/>
            <w:gridSpan w:val="14"/>
            <w:vAlign w:val="center"/>
          </w:tcPr>
          <w:p w14:paraId="33F2E793">
            <w:pPr>
              <w:jc w:val="center"/>
            </w:pPr>
            <w:r>
              <w:rPr>
                <w:rFonts w:ascii="宋体" w:hAnsi="宋体" w:eastAsia="宋体"/>
                <w:sz w:val="24"/>
              </w:rPr>
              <w:t>(2024年度)</w:t>
            </w:r>
          </w:p>
        </w:tc>
      </w:tr>
      <w:tr w14:paraId="10B028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4B2E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CB5245B">
            <w:pPr>
              <w:jc w:val="center"/>
            </w:pPr>
            <w:r>
              <w:rPr>
                <w:rFonts w:ascii="宋体" w:hAnsi="宋体" w:eastAsia="宋体"/>
                <w:sz w:val="16"/>
              </w:rPr>
              <w:t>偿还欠款项目</w:t>
            </w:r>
          </w:p>
        </w:tc>
      </w:tr>
      <w:tr w14:paraId="03EC1B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D908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46B3D0">
            <w:pPr>
              <w:jc w:val="center"/>
            </w:pPr>
            <w:r>
              <w:rPr>
                <w:rFonts w:ascii="宋体" w:hAnsi="宋体" w:eastAsia="宋体"/>
                <w:sz w:val="16"/>
              </w:rPr>
              <w:t>中共岳普湖县纪律检查委员会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23FB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F528C9">
            <w:pPr>
              <w:jc w:val="center"/>
            </w:pPr>
            <w:r>
              <w:rPr>
                <w:rFonts w:ascii="宋体" w:hAnsi="宋体" w:eastAsia="宋体"/>
                <w:sz w:val="16"/>
              </w:rPr>
              <w:t>中共岳普湖县纪律检查委员会</w:t>
            </w:r>
          </w:p>
        </w:tc>
      </w:tr>
      <w:tr w14:paraId="53BB40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79A79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AF82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E541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DF18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BD84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FBD8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2CA2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6FFA8">
            <w:pPr>
              <w:jc w:val="center"/>
            </w:pPr>
            <w:r>
              <w:rPr>
                <w:rFonts w:ascii="宋体" w:hAnsi="宋体" w:eastAsia="宋体"/>
                <w:sz w:val="16"/>
              </w:rPr>
              <w:t>得分</w:t>
            </w:r>
          </w:p>
        </w:tc>
      </w:tr>
      <w:tr w14:paraId="329DA4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663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D22B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25A02">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B6665">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6A516">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3B3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C1C0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A1D2C">
            <w:pPr>
              <w:jc w:val="center"/>
            </w:pPr>
            <w:r>
              <w:rPr>
                <w:rFonts w:ascii="宋体" w:hAnsi="宋体" w:eastAsia="宋体"/>
                <w:sz w:val="16"/>
              </w:rPr>
              <w:t>10.00分</w:t>
            </w:r>
          </w:p>
        </w:tc>
      </w:tr>
      <w:tr w14:paraId="00A196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805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C0E9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283FD">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DD2F6">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E8ED4">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1063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2FA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C65C0">
            <w:pPr>
              <w:jc w:val="center"/>
            </w:pPr>
            <w:r>
              <w:rPr>
                <w:rFonts w:ascii="宋体" w:hAnsi="宋体" w:eastAsia="宋体"/>
                <w:sz w:val="16"/>
              </w:rPr>
              <w:t>—</w:t>
            </w:r>
          </w:p>
        </w:tc>
      </w:tr>
      <w:tr w14:paraId="5C1121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864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6462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9DD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122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DCC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EB3A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9CD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01EC1">
            <w:pPr>
              <w:jc w:val="center"/>
            </w:pPr>
            <w:r>
              <w:rPr>
                <w:rFonts w:ascii="宋体" w:hAnsi="宋体" w:eastAsia="宋体"/>
                <w:sz w:val="16"/>
              </w:rPr>
              <w:t>—</w:t>
            </w:r>
          </w:p>
        </w:tc>
      </w:tr>
      <w:tr w14:paraId="688BC4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8B658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21795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DCAC5E">
            <w:pPr>
              <w:jc w:val="center"/>
            </w:pPr>
            <w:r>
              <w:rPr>
                <w:rFonts w:ascii="宋体" w:hAnsi="宋体" w:eastAsia="宋体"/>
                <w:sz w:val="16"/>
              </w:rPr>
              <w:t>实际完成情况</w:t>
            </w:r>
          </w:p>
        </w:tc>
      </w:tr>
      <w:tr w14:paraId="5461A2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A254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5F2C51">
            <w:pPr>
              <w:jc w:val="both"/>
            </w:pPr>
            <w:r>
              <w:rPr>
                <w:rFonts w:ascii="宋体" w:hAnsi="宋体" w:eastAsia="宋体"/>
                <w:sz w:val="16"/>
              </w:rPr>
              <w:t>项目主要用于偿还前期欠款项目1个，确保项目款项按期及时支付，提高政府部门的履约和服务能力，增强政府公信力。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46194E">
            <w:pPr>
              <w:jc w:val="both"/>
            </w:pPr>
            <w:r>
              <w:rPr>
                <w:rFonts w:ascii="宋体" w:hAnsi="宋体" w:eastAsia="宋体"/>
                <w:sz w:val="16"/>
              </w:rPr>
              <w:t>现阶段已偿还1个前期欠款项目，确保项目款项按期及时支付。预算执行率为100%。项目的实施提高政府部门的履约和服务能力，增强政府公信力。</w:t>
            </w:r>
          </w:p>
        </w:tc>
      </w:tr>
      <w:tr w14:paraId="61BF3F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E611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1988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97AF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8826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C7E3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031C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C26C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0DC6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109F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5E39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C2BC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0435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C8FBA">
            <w:pPr>
              <w:jc w:val="center"/>
            </w:pPr>
            <w:r>
              <w:rPr>
                <w:rFonts w:ascii="宋体" w:hAnsi="宋体" w:eastAsia="宋体"/>
                <w:sz w:val="16"/>
              </w:rPr>
              <w:t>偏差原因分析及改进措施</w:t>
            </w:r>
          </w:p>
        </w:tc>
      </w:tr>
      <w:tr w14:paraId="42F413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BD406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B484A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5DE9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B1FBD">
            <w:pPr>
              <w:jc w:val="center"/>
            </w:pPr>
            <w:r>
              <w:rPr>
                <w:rFonts w:ascii="宋体" w:hAnsi="宋体" w:eastAsia="宋体"/>
                <w:sz w:val="16"/>
              </w:rPr>
              <w:t>偿还欠款项目个数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C4BEA">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8DF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958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226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DF8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64B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9888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FE57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32A48">
            <w:pPr>
              <w:jc w:val="center"/>
            </w:pPr>
          </w:p>
        </w:tc>
      </w:tr>
      <w:tr w14:paraId="682306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296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4450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45DE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4BC9B">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539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DCA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3FB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68E1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2E5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30C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800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A6C2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E9738">
            <w:pPr>
              <w:jc w:val="center"/>
            </w:pPr>
          </w:p>
        </w:tc>
      </w:tr>
      <w:tr w14:paraId="60733C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04C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6D1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BC7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FB5B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BC7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F3E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D21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62DB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2D3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A03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B10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1AC1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11248">
            <w:pPr>
              <w:jc w:val="center"/>
            </w:pPr>
          </w:p>
        </w:tc>
      </w:tr>
      <w:tr w14:paraId="778E32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10F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058B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638A6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D340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D83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C6F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A62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0671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8D6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389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B81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0959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F4F78">
            <w:pPr>
              <w:jc w:val="center"/>
            </w:pPr>
          </w:p>
        </w:tc>
      </w:tr>
      <w:tr w14:paraId="639953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B98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E5F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560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2DF19">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6D58E">
            <w:pPr>
              <w:jc w:val="center"/>
            </w:pPr>
            <w:r>
              <w:rPr>
                <w:rFonts w:ascii="宋体" w:hAnsi="宋体" w:eastAsia="宋体"/>
                <w:sz w:val="16"/>
              </w:rPr>
              <w:t>=2024年5月20日前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7DC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05E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CC34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9C8D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BC3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7DDEC">
            <w:pPr>
              <w:jc w:val="center"/>
            </w:pPr>
            <w:r>
              <w:rPr>
                <w:rFonts w:ascii="宋体" w:hAnsi="宋体" w:eastAsia="宋体"/>
                <w:sz w:val="16"/>
              </w:rPr>
              <w:t>=2024年3月27日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CA69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F1319">
            <w:pPr>
              <w:jc w:val="center"/>
            </w:pPr>
          </w:p>
        </w:tc>
      </w:tr>
      <w:tr w14:paraId="10E2CA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8FB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F9FA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E074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9D402">
            <w:pPr>
              <w:jc w:val="center"/>
            </w:pPr>
            <w:r>
              <w:rPr>
                <w:rFonts w:ascii="宋体" w:hAnsi="宋体" w:eastAsia="宋体"/>
                <w:sz w:val="16"/>
              </w:rPr>
              <w:t>欠款费用预算控制数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DFD02">
            <w:pPr>
              <w:jc w:val="center"/>
            </w:pPr>
            <w:r>
              <w:rPr>
                <w:rFonts w:ascii="宋体" w:hAnsi="宋体" w:eastAsia="宋体"/>
                <w:sz w:val="16"/>
              </w:rPr>
              <w:t>&lt;=21万元/个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86EE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0C9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DCAB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B46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C0B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2F9A6">
            <w:pPr>
              <w:jc w:val="center"/>
            </w:pPr>
            <w:r>
              <w:rPr>
                <w:rFonts w:ascii="宋体" w:hAnsi="宋体" w:eastAsia="宋体"/>
                <w:sz w:val="16"/>
              </w:rPr>
              <w:t>=21万元/个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9478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73293">
            <w:pPr>
              <w:jc w:val="center"/>
            </w:pPr>
          </w:p>
        </w:tc>
      </w:tr>
      <w:tr w14:paraId="190FF9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453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19FF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2A57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5ABCC">
            <w:pPr>
              <w:jc w:val="center"/>
            </w:pPr>
            <w:r>
              <w:rPr>
                <w:rFonts w:ascii="宋体" w:hAnsi="宋体" w:eastAsia="宋体"/>
                <w:sz w:val="16"/>
              </w:rPr>
              <w:t>提高政府部门的履约和服务能力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C353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B78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3EC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4DBB7">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0A12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D3B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AF3E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236F3">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A1197">
            <w:pPr>
              <w:jc w:val="center"/>
            </w:pPr>
          </w:p>
        </w:tc>
      </w:tr>
      <w:tr w14:paraId="7DF5CAF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BD61C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A3EA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D741A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733A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E7F2D16"/>
        </w:tc>
      </w:tr>
    </w:tbl>
    <w:p w14:paraId="50C09363">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10"/>
        <w:gridCol w:w="610"/>
        <w:gridCol w:w="856"/>
        <w:gridCol w:w="610"/>
        <w:gridCol w:w="610"/>
        <w:gridCol w:w="617"/>
        <w:gridCol w:w="610"/>
        <w:gridCol w:w="610"/>
        <w:gridCol w:w="856"/>
        <w:gridCol w:w="632"/>
        <w:gridCol w:w="583"/>
        <w:gridCol w:w="624"/>
      </w:tblGrid>
      <w:tr w14:paraId="55E6DF3C">
        <w:tblPrEx>
          <w:tblCellMar>
            <w:top w:w="0" w:type="dxa"/>
            <w:left w:w="108" w:type="dxa"/>
            <w:bottom w:w="0" w:type="dxa"/>
            <w:right w:w="108" w:type="dxa"/>
          </w:tblCellMar>
        </w:tblPrEx>
        <w:tc>
          <w:tcPr>
            <w:tcW w:w="8848" w:type="dxa"/>
            <w:gridSpan w:val="14"/>
            <w:vAlign w:val="center"/>
          </w:tcPr>
          <w:p w14:paraId="65144944">
            <w:pPr>
              <w:jc w:val="center"/>
            </w:pPr>
            <w:r>
              <w:rPr>
                <w:rFonts w:ascii="宋体" w:hAnsi="宋体" w:eastAsia="宋体"/>
                <w:sz w:val="24"/>
              </w:rPr>
              <w:t>项目支出绩效自评表</w:t>
            </w:r>
          </w:p>
        </w:tc>
      </w:tr>
      <w:tr w14:paraId="0DC577EC">
        <w:tblPrEx>
          <w:tblCellMar>
            <w:top w:w="0" w:type="dxa"/>
            <w:left w:w="108" w:type="dxa"/>
            <w:bottom w:w="0" w:type="dxa"/>
            <w:right w:w="108" w:type="dxa"/>
          </w:tblCellMar>
        </w:tblPrEx>
        <w:tc>
          <w:tcPr>
            <w:tcW w:w="8848" w:type="dxa"/>
            <w:gridSpan w:val="14"/>
            <w:vAlign w:val="center"/>
          </w:tcPr>
          <w:p w14:paraId="7291B6B4">
            <w:pPr>
              <w:jc w:val="center"/>
            </w:pPr>
            <w:r>
              <w:rPr>
                <w:rFonts w:ascii="宋体" w:hAnsi="宋体" w:eastAsia="宋体"/>
                <w:sz w:val="24"/>
              </w:rPr>
              <w:t>(2024年度)</w:t>
            </w:r>
          </w:p>
        </w:tc>
      </w:tr>
      <w:tr w14:paraId="69E88A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513E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29D5DD8">
            <w:pPr>
              <w:jc w:val="center"/>
            </w:pPr>
            <w:r>
              <w:rPr>
                <w:rFonts w:ascii="宋体" w:hAnsi="宋体" w:eastAsia="宋体"/>
                <w:sz w:val="16"/>
              </w:rPr>
              <w:t>岳普湖县廉政教育基地建设项目</w:t>
            </w:r>
          </w:p>
        </w:tc>
      </w:tr>
      <w:tr w14:paraId="6E67DD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B425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9EF37B">
            <w:pPr>
              <w:jc w:val="center"/>
            </w:pPr>
            <w:r>
              <w:rPr>
                <w:rFonts w:ascii="宋体" w:hAnsi="宋体" w:eastAsia="宋体"/>
                <w:sz w:val="16"/>
              </w:rPr>
              <w:t>中共岳普湖县纪律检查委员会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435D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A47D61">
            <w:pPr>
              <w:jc w:val="center"/>
            </w:pPr>
            <w:r>
              <w:rPr>
                <w:rFonts w:ascii="宋体" w:hAnsi="宋体" w:eastAsia="宋体"/>
                <w:sz w:val="16"/>
              </w:rPr>
              <w:t>中共岳普湖县纪律检查委员会</w:t>
            </w:r>
          </w:p>
        </w:tc>
      </w:tr>
      <w:tr w14:paraId="3CD934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7FE8B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E898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F6D7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76F1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9E0A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BA39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3159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017B1">
            <w:pPr>
              <w:jc w:val="center"/>
            </w:pPr>
            <w:r>
              <w:rPr>
                <w:rFonts w:ascii="宋体" w:hAnsi="宋体" w:eastAsia="宋体"/>
                <w:sz w:val="16"/>
              </w:rPr>
              <w:t>得分</w:t>
            </w:r>
          </w:p>
        </w:tc>
      </w:tr>
      <w:tr w14:paraId="776D36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22F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800F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54135">
            <w:pPr>
              <w:jc w:val="center"/>
            </w:pPr>
            <w:r>
              <w:rPr>
                <w:rFonts w:ascii="宋体" w:hAnsi="宋体" w:eastAsia="宋体"/>
                <w:sz w:val="16"/>
              </w:rPr>
              <w:t>85.00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18F46">
            <w:pPr>
              <w:jc w:val="center"/>
            </w:pPr>
            <w:r>
              <w:rPr>
                <w:rFonts w:ascii="宋体" w:hAnsi="宋体" w:eastAsia="宋体"/>
                <w:sz w:val="16"/>
              </w:rPr>
              <w:t>66.51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3332F">
            <w:pPr>
              <w:jc w:val="center"/>
            </w:pPr>
            <w:r>
              <w:rPr>
                <w:rFonts w:ascii="宋体" w:hAnsi="宋体" w:eastAsia="宋体"/>
                <w:sz w:val="16"/>
              </w:rPr>
              <w:t>63.41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170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9E8D7">
            <w:pPr>
              <w:jc w:val="center"/>
            </w:pPr>
            <w:r>
              <w:rPr>
                <w:rFonts w:ascii="宋体" w:hAnsi="宋体" w:eastAsia="宋体"/>
                <w:sz w:val="16"/>
              </w:rPr>
              <w:t>95.34%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D16ED">
            <w:pPr>
              <w:jc w:val="center"/>
            </w:pPr>
            <w:r>
              <w:rPr>
                <w:rFonts w:ascii="宋体" w:hAnsi="宋体" w:eastAsia="宋体"/>
                <w:sz w:val="16"/>
              </w:rPr>
              <w:t>8.84分</w:t>
            </w:r>
          </w:p>
        </w:tc>
      </w:tr>
      <w:tr w14:paraId="27D7CB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AAD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88C5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C1374">
            <w:pPr>
              <w:jc w:val="center"/>
            </w:pPr>
            <w:r>
              <w:rPr>
                <w:rFonts w:ascii="宋体" w:hAnsi="宋体" w:eastAsia="宋体"/>
                <w:sz w:val="16"/>
              </w:rPr>
              <w:t>85.00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21E33">
            <w:pPr>
              <w:jc w:val="center"/>
            </w:pPr>
            <w:r>
              <w:rPr>
                <w:rFonts w:ascii="宋体" w:hAnsi="宋体" w:eastAsia="宋体"/>
                <w:sz w:val="16"/>
              </w:rPr>
              <w:t>66.51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2987E">
            <w:pPr>
              <w:jc w:val="center"/>
            </w:pPr>
            <w:r>
              <w:rPr>
                <w:rFonts w:ascii="宋体" w:hAnsi="宋体" w:eastAsia="宋体"/>
                <w:sz w:val="16"/>
              </w:rPr>
              <w:t>63.41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4BA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456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BDAD1">
            <w:pPr>
              <w:jc w:val="center"/>
            </w:pPr>
            <w:r>
              <w:rPr>
                <w:rFonts w:ascii="宋体" w:hAnsi="宋体" w:eastAsia="宋体"/>
                <w:sz w:val="16"/>
              </w:rPr>
              <w:t>—</w:t>
            </w:r>
          </w:p>
        </w:tc>
      </w:tr>
      <w:tr w14:paraId="6E3B71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2DF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674B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812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70C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6C2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6AEB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60A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0009C">
            <w:pPr>
              <w:jc w:val="center"/>
            </w:pPr>
            <w:r>
              <w:rPr>
                <w:rFonts w:ascii="宋体" w:hAnsi="宋体" w:eastAsia="宋体"/>
                <w:sz w:val="16"/>
              </w:rPr>
              <w:t>—</w:t>
            </w:r>
          </w:p>
        </w:tc>
      </w:tr>
      <w:tr w14:paraId="0D1E9D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C19F7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15021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50AE35">
            <w:pPr>
              <w:jc w:val="center"/>
            </w:pPr>
            <w:r>
              <w:rPr>
                <w:rFonts w:ascii="宋体" w:hAnsi="宋体" w:eastAsia="宋体"/>
                <w:sz w:val="16"/>
              </w:rPr>
              <w:t>实际完成情况</w:t>
            </w:r>
          </w:p>
        </w:tc>
      </w:tr>
      <w:tr w14:paraId="5DABF7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0A23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B298D2">
            <w:pPr>
              <w:jc w:val="both"/>
            </w:pPr>
            <w:r>
              <w:rPr>
                <w:rFonts w:ascii="宋体" w:hAnsi="宋体" w:eastAsia="宋体"/>
                <w:sz w:val="16"/>
              </w:rPr>
              <w:t>对360平方米的廉政教育基地进行装饰装修，打造全面从严治党向纵深发展的氛围。通过项目的实施培养党员干部廉政意识。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F79BD4">
            <w:pPr>
              <w:jc w:val="both"/>
            </w:pPr>
            <w:r>
              <w:rPr>
                <w:rFonts w:ascii="宋体" w:hAnsi="宋体" w:eastAsia="宋体"/>
                <w:sz w:val="16"/>
              </w:rPr>
              <w:t>已完成对360平方米的廉政教育基地的装饰装修任务，预算执行率为95.30%。通过项目的实施进一步培养党员干部廉政意识。</w:t>
            </w:r>
          </w:p>
        </w:tc>
      </w:tr>
      <w:tr w14:paraId="273DCA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997D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4C53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D412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AF88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2ED8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FBCE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425F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28B3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87AB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F76E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3A8A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30A0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24984">
            <w:pPr>
              <w:jc w:val="center"/>
            </w:pPr>
            <w:r>
              <w:rPr>
                <w:rFonts w:ascii="宋体" w:hAnsi="宋体" w:eastAsia="宋体"/>
                <w:sz w:val="16"/>
              </w:rPr>
              <w:t>偏差原因分析及改进措施</w:t>
            </w:r>
          </w:p>
        </w:tc>
      </w:tr>
      <w:tr w14:paraId="32B84A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B04CE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EB01C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63CB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1AA1D">
            <w:pPr>
              <w:jc w:val="center"/>
            </w:pPr>
            <w:r>
              <w:rPr>
                <w:rFonts w:ascii="宋体" w:hAnsi="宋体" w:eastAsia="宋体"/>
                <w:sz w:val="16"/>
              </w:rPr>
              <w:t>装饰装修廉政教育基地面积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0A692">
            <w:pPr>
              <w:jc w:val="center"/>
            </w:pPr>
            <w:r>
              <w:rPr>
                <w:rFonts w:ascii="宋体" w:hAnsi="宋体" w:eastAsia="宋体"/>
                <w:sz w:val="16"/>
              </w:rPr>
              <w:t>&gt;=360平方米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DBC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1B2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A662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AC9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282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BD243">
            <w:pPr>
              <w:jc w:val="center"/>
            </w:pPr>
            <w:r>
              <w:rPr>
                <w:rFonts w:ascii="宋体" w:hAnsi="宋体" w:eastAsia="宋体"/>
                <w:sz w:val="16"/>
              </w:rPr>
              <w:t>=360平方米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AD08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13BAB">
            <w:pPr>
              <w:jc w:val="center"/>
            </w:pPr>
          </w:p>
        </w:tc>
      </w:tr>
      <w:tr w14:paraId="2BDE45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9C6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B045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A3366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35D07">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976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103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29D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991F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0BA1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664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D06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05CA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D8F64">
            <w:pPr>
              <w:jc w:val="center"/>
            </w:pPr>
          </w:p>
        </w:tc>
      </w:tr>
      <w:tr w14:paraId="233133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D1E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C6D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D21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6E83E">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69C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56A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9B8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BF7A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6CF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43A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ED7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A2EE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28EA5">
            <w:pPr>
              <w:jc w:val="center"/>
            </w:pPr>
          </w:p>
        </w:tc>
      </w:tr>
      <w:tr w14:paraId="2D347E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4DA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18B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7B56F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157B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F87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07F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8C1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04FD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703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7EA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03BF3">
            <w:pPr>
              <w:jc w:val="center"/>
            </w:pPr>
            <w:r>
              <w:rPr>
                <w:rFonts w:ascii="宋体" w:hAnsi="宋体" w:eastAsia="宋体"/>
                <w:sz w:val="16"/>
              </w:rPr>
              <w:t>=95.3%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08291">
            <w:pPr>
              <w:jc w:val="center"/>
            </w:pPr>
            <w:r>
              <w:rPr>
                <w:rFonts w:ascii="宋体" w:hAnsi="宋体" w:eastAsia="宋体"/>
                <w:sz w:val="16"/>
              </w:rPr>
              <w:t>7.06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DB745">
            <w:pPr>
              <w:jc w:val="center"/>
            </w:pPr>
            <w:r>
              <w:rPr>
                <w:rFonts w:ascii="宋体" w:hAnsi="宋体" w:eastAsia="宋体"/>
                <w:sz w:val="16"/>
              </w:rPr>
              <w:t>未完成原因：项目已完工并验收，剩余款项为项目质保金。改进措施：待项目质保期结束后，无质量问题后，按照资金审批程序及时支付项目质保金。</w:t>
            </w:r>
          </w:p>
        </w:tc>
      </w:tr>
      <w:tr w14:paraId="163A59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736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C0C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593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E688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C8B74">
            <w:pPr>
              <w:jc w:val="center"/>
            </w:pPr>
            <w:r>
              <w:rPr>
                <w:rFonts w:ascii="宋体" w:hAnsi="宋体" w:eastAsia="宋体"/>
                <w:sz w:val="16"/>
              </w:rPr>
              <w:t>=2024年9月30日前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3B9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320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F54E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5A7A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231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614AD">
            <w:pPr>
              <w:jc w:val="center"/>
            </w:pPr>
            <w:r>
              <w:rPr>
                <w:rFonts w:ascii="宋体" w:hAnsi="宋体" w:eastAsia="宋体"/>
                <w:sz w:val="16"/>
              </w:rPr>
              <w:t>=2024年8月2日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5249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79044">
            <w:pPr>
              <w:jc w:val="center"/>
            </w:pPr>
          </w:p>
        </w:tc>
      </w:tr>
      <w:tr w14:paraId="32E8F8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DC8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E773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3852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2ECFA">
            <w:pPr>
              <w:jc w:val="center"/>
            </w:pPr>
            <w:r>
              <w:rPr>
                <w:rFonts w:ascii="宋体" w:hAnsi="宋体" w:eastAsia="宋体"/>
                <w:sz w:val="16"/>
              </w:rPr>
              <w:t>装饰装修单位成本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35DCE">
            <w:pPr>
              <w:jc w:val="center"/>
            </w:pPr>
            <w:r>
              <w:rPr>
                <w:rFonts w:ascii="宋体" w:hAnsi="宋体" w:eastAsia="宋体"/>
                <w:sz w:val="16"/>
              </w:rPr>
              <w:t>&lt;=1847.5元/平方米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788D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5BA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E9FE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C25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B87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633A8">
            <w:pPr>
              <w:jc w:val="center"/>
            </w:pPr>
            <w:r>
              <w:rPr>
                <w:rFonts w:ascii="宋体" w:hAnsi="宋体" w:eastAsia="宋体"/>
                <w:sz w:val="16"/>
              </w:rPr>
              <w:t>=1761.38元/平方米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B81CA">
            <w:pPr>
              <w:jc w:val="center"/>
            </w:pPr>
            <w:r>
              <w:rPr>
                <w:rFonts w:ascii="宋体" w:hAnsi="宋体" w:eastAsia="宋体"/>
                <w:sz w:val="16"/>
              </w:rPr>
              <w:t>17.67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3FF9E">
            <w:pPr>
              <w:jc w:val="center"/>
            </w:pPr>
            <w:r>
              <w:rPr>
                <w:rFonts w:ascii="宋体" w:hAnsi="宋体" w:eastAsia="宋体"/>
                <w:sz w:val="16"/>
              </w:rPr>
              <w:t>未完成原因：项目已完工并验收，剩余款项为项目质保金。改进措施：待项目质保期结束后，无质量问题后，按照资金审批程序及时支付项目质保金。</w:t>
            </w:r>
          </w:p>
        </w:tc>
      </w:tr>
      <w:tr w14:paraId="7D4636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10AA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FA75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F128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8F731">
            <w:pPr>
              <w:jc w:val="center"/>
            </w:pPr>
            <w:r>
              <w:rPr>
                <w:rFonts w:ascii="宋体" w:hAnsi="宋体" w:eastAsia="宋体"/>
                <w:sz w:val="16"/>
              </w:rPr>
              <w:t>培养党员干部廉政意识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66E41">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35E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7D9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4D779">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4A90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624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32EE7">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F406E">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C0395">
            <w:pPr>
              <w:jc w:val="center"/>
            </w:pPr>
          </w:p>
        </w:tc>
      </w:tr>
      <w:tr w14:paraId="53F08AE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E8FA4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9537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53ABC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06407">
            <w:pPr>
              <w:jc w:val="center"/>
            </w:pPr>
            <w:r>
              <w:rPr>
                <w:rFonts w:ascii="宋体" w:hAnsi="宋体" w:eastAsia="宋体"/>
                <w:sz w:val="16"/>
              </w:rPr>
              <w:t>95.57分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16806EE"/>
        </w:tc>
      </w:tr>
    </w:tbl>
    <w:p w14:paraId="0D4BAF8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8C8E8AC">
        <w:tblPrEx>
          <w:tblCellMar>
            <w:top w:w="0" w:type="dxa"/>
            <w:left w:w="108" w:type="dxa"/>
            <w:bottom w:w="0" w:type="dxa"/>
            <w:right w:w="108" w:type="dxa"/>
          </w:tblCellMar>
        </w:tblPrEx>
        <w:tc>
          <w:tcPr>
            <w:tcW w:w="8848" w:type="dxa"/>
            <w:gridSpan w:val="14"/>
            <w:vAlign w:val="center"/>
          </w:tcPr>
          <w:p w14:paraId="7DAB59FE">
            <w:pPr>
              <w:jc w:val="center"/>
            </w:pPr>
            <w:r>
              <w:rPr>
                <w:rFonts w:ascii="宋体" w:hAnsi="宋体" w:eastAsia="宋体"/>
                <w:sz w:val="24"/>
              </w:rPr>
              <w:t>项目支出绩效自评表</w:t>
            </w:r>
          </w:p>
        </w:tc>
      </w:tr>
      <w:tr w14:paraId="3B686362">
        <w:tblPrEx>
          <w:tblCellMar>
            <w:top w:w="0" w:type="dxa"/>
            <w:left w:w="108" w:type="dxa"/>
            <w:bottom w:w="0" w:type="dxa"/>
            <w:right w:w="108" w:type="dxa"/>
          </w:tblCellMar>
        </w:tblPrEx>
        <w:tc>
          <w:tcPr>
            <w:tcW w:w="8848" w:type="dxa"/>
            <w:gridSpan w:val="14"/>
            <w:vAlign w:val="center"/>
          </w:tcPr>
          <w:p w14:paraId="63C37780">
            <w:pPr>
              <w:jc w:val="center"/>
            </w:pPr>
            <w:r>
              <w:rPr>
                <w:rFonts w:ascii="宋体" w:hAnsi="宋体" w:eastAsia="宋体"/>
                <w:sz w:val="24"/>
              </w:rPr>
              <w:t>(2024年度)</w:t>
            </w:r>
          </w:p>
        </w:tc>
      </w:tr>
      <w:tr w14:paraId="548726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6176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90FA7D">
            <w:pPr>
              <w:jc w:val="center"/>
            </w:pPr>
            <w:r>
              <w:rPr>
                <w:rFonts w:ascii="宋体" w:hAnsi="宋体" w:eastAsia="宋体"/>
                <w:sz w:val="16"/>
              </w:rPr>
              <w:t>廉政文化墙经费项目</w:t>
            </w:r>
          </w:p>
        </w:tc>
      </w:tr>
      <w:tr w14:paraId="5ABF33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0FE3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998EF0">
            <w:pPr>
              <w:jc w:val="center"/>
            </w:pPr>
            <w:r>
              <w:rPr>
                <w:rFonts w:ascii="宋体" w:hAnsi="宋体" w:eastAsia="宋体"/>
                <w:sz w:val="16"/>
              </w:rPr>
              <w:t>中共岳普湖县纪律检查委员会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0B93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9B7920">
            <w:pPr>
              <w:jc w:val="center"/>
            </w:pPr>
            <w:r>
              <w:rPr>
                <w:rFonts w:ascii="宋体" w:hAnsi="宋体" w:eastAsia="宋体"/>
                <w:sz w:val="16"/>
              </w:rPr>
              <w:t>中共岳普湖县纪律检查委员会</w:t>
            </w:r>
          </w:p>
        </w:tc>
      </w:tr>
      <w:tr w14:paraId="315C4C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54510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B6C1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BDD8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E1BC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688F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BE0B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748D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FAD10">
            <w:pPr>
              <w:jc w:val="center"/>
            </w:pPr>
            <w:r>
              <w:rPr>
                <w:rFonts w:ascii="宋体" w:hAnsi="宋体" w:eastAsia="宋体"/>
                <w:sz w:val="16"/>
              </w:rPr>
              <w:t>得分</w:t>
            </w:r>
          </w:p>
        </w:tc>
      </w:tr>
      <w:tr w14:paraId="6D180D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87F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2499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A3A28">
            <w:pPr>
              <w:jc w:val="center"/>
            </w:pPr>
            <w:r>
              <w:rPr>
                <w:rFonts w:ascii="宋体" w:hAnsi="宋体" w:eastAsia="宋体"/>
                <w:sz w:val="16"/>
              </w:rPr>
              <w:t>5.15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CA72A">
            <w:pPr>
              <w:jc w:val="center"/>
            </w:pPr>
            <w:r>
              <w:rPr>
                <w:rFonts w:ascii="宋体" w:hAnsi="宋体" w:eastAsia="宋体"/>
                <w:sz w:val="16"/>
              </w:rPr>
              <w:t>5.15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F4D65">
            <w:pPr>
              <w:jc w:val="center"/>
            </w:pPr>
            <w:r>
              <w:rPr>
                <w:rFonts w:ascii="宋体" w:hAnsi="宋体" w:eastAsia="宋体"/>
                <w:sz w:val="16"/>
              </w:rPr>
              <w:t>5.15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9F5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73F9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DEC0E">
            <w:pPr>
              <w:jc w:val="center"/>
            </w:pPr>
            <w:r>
              <w:rPr>
                <w:rFonts w:ascii="宋体" w:hAnsi="宋体" w:eastAsia="宋体"/>
                <w:sz w:val="16"/>
              </w:rPr>
              <w:t>10.00分</w:t>
            </w:r>
          </w:p>
        </w:tc>
      </w:tr>
      <w:tr w14:paraId="490658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C91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977F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A914C">
            <w:pPr>
              <w:jc w:val="center"/>
            </w:pPr>
            <w:r>
              <w:rPr>
                <w:rFonts w:ascii="宋体" w:hAnsi="宋体" w:eastAsia="宋体"/>
                <w:sz w:val="16"/>
              </w:rPr>
              <w:t>5.15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C9B57">
            <w:pPr>
              <w:jc w:val="center"/>
            </w:pPr>
            <w:r>
              <w:rPr>
                <w:rFonts w:ascii="宋体" w:hAnsi="宋体" w:eastAsia="宋体"/>
                <w:sz w:val="16"/>
              </w:rPr>
              <w:t>5.15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FA29E">
            <w:pPr>
              <w:jc w:val="center"/>
            </w:pPr>
            <w:r>
              <w:rPr>
                <w:rFonts w:ascii="宋体" w:hAnsi="宋体" w:eastAsia="宋体"/>
                <w:sz w:val="16"/>
              </w:rPr>
              <w:t>5.15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418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76F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566B6">
            <w:pPr>
              <w:jc w:val="center"/>
            </w:pPr>
            <w:r>
              <w:rPr>
                <w:rFonts w:ascii="宋体" w:hAnsi="宋体" w:eastAsia="宋体"/>
                <w:sz w:val="16"/>
              </w:rPr>
              <w:t>—</w:t>
            </w:r>
          </w:p>
        </w:tc>
      </w:tr>
      <w:tr w14:paraId="690F09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1F9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8B33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B3F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DDF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AF0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1CC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B2D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2C186">
            <w:pPr>
              <w:jc w:val="center"/>
            </w:pPr>
            <w:r>
              <w:rPr>
                <w:rFonts w:ascii="宋体" w:hAnsi="宋体" w:eastAsia="宋体"/>
                <w:sz w:val="16"/>
              </w:rPr>
              <w:t>—</w:t>
            </w:r>
          </w:p>
        </w:tc>
      </w:tr>
      <w:tr w14:paraId="523F7C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78557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49DA1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8BC30B">
            <w:pPr>
              <w:jc w:val="center"/>
            </w:pPr>
            <w:r>
              <w:rPr>
                <w:rFonts w:ascii="宋体" w:hAnsi="宋体" w:eastAsia="宋体"/>
                <w:sz w:val="16"/>
              </w:rPr>
              <w:t>实际完成情况</w:t>
            </w:r>
          </w:p>
        </w:tc>
      </w:tr>
      <w:tr w14:paraId="60CA39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D760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DCF42B">
            <w:pPr>
              <w:jc w:val="both"/>
            </w:pPr>
            <w:r>
              <w:rPr>
                <w:rFonts w:ascii="宋体" w:hAnsi="宋体" w:eastAsia="宋体"/>
                <w:sz w:val="16"/>
              </w:rPr>
              <w:t>经费保障单位数量1个。经费支出主要为单位打造以“为民、务实、清廉”、“忠诚、干净、担当”为主题的文化墙制作，通过项目的实施培养党员干部廉政意识。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37F8E7">
            <w:pPr>
              <w:jc w:val="both"/>
            </w:pPr>
            <w:r>
              <w:rPr>
                <w:rFonts w:ascii="宋体" w:hAnsi="宋体" w:eastAsia="宋体"/>
                <w:sz w:val="16"/>
              </w:rPr>
              <w:t>已完成1个单位的经费保障。为单位打造以“为民、务实、清廉”、“忠诚、干净、担当”为主题的文化墙制作，预算执行率为100%。通过项目的实施培养党员干部廉政意识。</w:t>
            </w:r>
          </w:p>
        </w:tc>
      </w:tr>
      <w:tr w14:paraId="7CC8CF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54448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FC28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7A51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DE55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BE23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97BD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4DB9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02FE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7236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6B49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56A6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D09A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70EE1">
            <w:pPr>
              <w:jc w:val="center"/>
            </w:pPr>
            <w:r>
              <w:rPr>
                <w:rFonts w:ascii="宋体" w:hAnsi="宋体" w:eastAsia="宋体"/>
                <w:sz w:val="16"/>
              </w:rPr>
              <w:t>偏差原因分析及改进措施</w:t>
            </w:r>
          </w:p>
        </w:tc>
      </w:tr>
      <w:tr w14:paraId="7933D9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CF133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CE2F0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6007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63826">
            <w:pPr>
              <w:jc w:val="center"/>
            </w:pPr>
            <w:r>
              <w:rPr>
                <w:rFonts w:ascii="宋体" w:hAnsi="宋体" w:eastAsia="宋体"/>
                <w:sz w:val="16"/>
              </w:rPr>
              <w:t>经费保障单位数量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BFBAF">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7F8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575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3A10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069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F99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CCA1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10C4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9CDC3">
            <w:pPr>
              <w:jc w:val="center"/>
            </w:pPr>
          </w:p>
        </w:tc>
      </w:tr>
      <w:tr w14:paraId="028F18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95D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AA5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4BE2B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91081">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E0E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753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23B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1A51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5C1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A6F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B97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4DEE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6BDEB">
            <w:pPr>
              <w:jc w:val="center"/>
            </w:pPr>
          </w:p>
        </w:tc>
      </w:tr>
      <w:tr w14:paraId="775B69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40D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432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B83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53FC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71C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302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D0D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FD7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960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FD7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B03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F860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996FB">
            <w:pPr>
              <w:jc w:val="center"/>
            </w:pPr>
          </w:p>
        </w:tc>
      </w:tr>
      <w:tr w14:paraId="34C112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BA1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9583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19E35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9B94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34A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C03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D5C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EE99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3FB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FBE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54A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C356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27FBA">
            <w:pPr>
              <w:jc w:val="center"/>
            </w:pPr>
          </w:p>
        </w:tc>
      </w:tr>
      <w:tr w14:paraId="0411E0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AF7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A39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484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58D3B">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0C42E">
            <w:pPr>
              <w:jc w:val="center"/>
            </w:pPr>
            <w:r>
              <w:rPr>
                <w:rFonts w:ascii="宋体" w:hAnsi="宋体" w:eastAsia="宋体"/>
                <w:sz w:val="16"/>
              </w:rPr>
              <w:t>=2024年5月22日前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81F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A53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A616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62CC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BE3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DE566">
            <w:pPr>
              <w:jc w:val="center"/>
            </w:pPr>
            <w:r>
              <w:rPr>
                <w:rFonts w:ascii="宋体" w:hAnsi="宋体" w:eastAsia="宋体"/>
                <w:sz w:val="16"/>
              </w:rPr>
              <w:t>2024年5月16日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A3AE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85179">
            <w:pPr>
              <w:jc w:val="center"/>
            </w:pPr>
          </w:p>
        </w:tc>
      </w:tr>
      <w:tr w14:paraId="57019C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9DD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7E14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748A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4078D">
            <w:pPr>
              <w:jc w:val="center"/>
            </w:pPr>
            <w:r>
              <w:rPr>
                <w:rFonts w:ascii="宋体" w:hAnsi="宋体" w:eastAsia="宋体"/>
                <w:sz w:val="16"/>
              </w:rPr>
              <w:t>资金预算控制数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71E83">
            <w:pPr>
              <w:jc w:val="center"/>
            </w:pPr>
            <w:r>
              <w:rPr>
                <w:rFonts w:ascii="宋体" w:hAnsi="宋体" w:eastAsia="宋体"/>
                <w:sz w:val="16"/>
              </w:rPr>
              <w:t>&lt;=5.15万元/个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1777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306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3547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D84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092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1035F">
            <w:pPr>
              <w:jc w:val="center"/>
            </w:pPr>
            <w:r>
              <w:rPr>
                <w:rFonts w:ascii="宋体" w:hAnsi="宋体" w:eastAsia="宋体"/>
                <w:sz w:val="16"/>
              </w:rPr>
              <w:t>=5.15万元/个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11DC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7398A">
            <w:pPr>
              <w:jc w:val="center"/>
            </w:pPr>
          </w:p>
        </w:tc>
      </w:tr>
      <w:tr w14:paraId="56EBCC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296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80CE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CEDA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0BCB0">
            <w:pPr>
              <w:jc w:val="center"/>
            </w:pPr>
            <w:r>
              <w:rPr>
                <w:rFonts w:ascii="宋体" w:hAnsi="宋体" w:eastAsia="宋体"/>
                <w:sz w:val="16"/>
              </w:rPr>
              <w:t>培养党员干部廉政意识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2092C">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281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199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98DD6">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9E06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53B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038BB">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4649D">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6103B">
            <w:pPr>
              <w:jc w:val="center"/>
            </w:pPr>
          </w:p>
        </w:tc>
      </w:tr>
      <w:tr w14:paraId="274CEDD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51876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8FF2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FDD29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0EEE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CBD6266"/>
        </w:tc>
      </w:tr>
    </w:tbl>
    <w:p w14:paraId="46D7D19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8531734">
        <w:tblPrEx>
          <w:tblCellMar>
            <w:top w:w="0" w:type="dxa"/>
            <w:left w:w="108" w:type="dxa"/>
            <w:bottom w:w="0" w:type="dxa"/>
            <w:right w:w="108" w:type="dxa"/>
          </w:tblCellMar>
        </w:tblPrEx>
        <w:tc>
          <w:tcPr>
            <w:tcW w:w="8848" w:type="dxa"/>
            <w:gridSpan w:val="14"/>
            <w:vAlign w:val="center"/>
          </w:tcPr>
          <w:p w14:paraId="441F5C4F">
            <w:pPr>
              <w:jc w:val="center"/>
            </w:pPr>
            <w:r>
              <w:rPr>
                <w:rFonts w:ascii="宋体" w:hAnsi="宋体" w:eastAsia="宋体"/>
                <w:sz w:val="24"/>
              </w:rPr>
              <w:t>项目支出绩效自评表</w:t>
            </w:r>
          </w:p>
        </w:tc>
      </w:tr>
      <w:tr w14:paraId="392D7DB0">
        <w:tblPrEx>
          <w:tblCellMar>
            <w:top w:w="0" w:type="dxa"/>
            <w:left w:w="108" w:type="dxa"/>
            <w:bottom w:w="0" w:type="dxa"/>
            <w:right w:w="108" w:type="dxa"/>
          </w:tblCellMar>
        </w:tblPrEx>
        <w:tc>
          <w:tcPr>
            <w:tcW w:w="8848" w:type="dxa"/>
            <w:gridSpan w:val="14"/>
            <w:vAlign w:val="center"/>
          </w:tcPr>
          <w:p w14:paraId="58DA9F1D">
            <w:pPr>
              <w:jc w:val="center"/>
            </w:pPr>
            <w:r>
              <w:rPr>
                <w:rFonts w:ascii="宋体" w:hAnsi="宋体" w:eastAsia="宋体"/>
                <w:sz w:val="24"/>
              </w:rPr>
              <w:t>(2024年度)</w:t>
            </w:r>
          </w:p>
        </w:tc>
      </w:tr>
      <w:tr w14:paraId="01AC60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6867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342E928">
            <w:pPr>
              <w:jc w:val="center"/>
            </w:pPr>
            <w:r>
              <w:rPr>
                <w:rFonts w:ascii="宋体" w:hAnsi="宋体" w:eastAsia="宋体"/>
                <w:sz w:val="16"/>
              </w:rPr>
              <w:t>纪委监委工作经费项目</w:t>
            </w:r>
          </w:p>
        </w:tc>
      </w:tr>
      <w:tr w14:paraId="40BF0B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C2FA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79825E">
            <w:pPr>
              <w:jc w:val="center"/>
            </w:pPr>
            <w:r>
              <w:rPr>
                <w:rFonts w:ascii="宋体" w:hAnsi="宋体" w:eastAsia="宋体"/>
                <w:sz w:val="16"/>
              </w:rPr>
              <w:t>中共岳普湖县纪律检查委员会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4D06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837896">
            <w:pPr>
              <w:jc w:val="center"/>
            </w:pPr>
            <w:r>
              <w:rPr>
                <w:rFonts w:ascii="宋体" w:hAnsi="宋体" w:eastAsia="宋体"/>
                <w:sz w:val="16"/>
              </w:rPr>
              <w:t>中共岳普湖县纪律检查委员会</w:t>
            </w:r>
          </w:p>
        </w:tc>
      </w:tr>
      <w:tr w14:paraId="1058AD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F4DC8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EAB5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9E90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6240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F3EA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FDB2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5578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49887">
            <w:pPr>
              <w:jc w:val="center"/>
            </w:pPr>
            <w:r>
              <w:rPr>
                <w:rFonts w:ascii="宋体" w:hAnsi="宋体" w:eastAsia="宋体"/>
                <w:sz w:val="16"/>
              </w:rPr>
              <w:t>得分</w:t>
            </w:r>
          </w:p>
        </w:tc>
      </w:tr>
      <w:tr w14:paraId="71489A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E56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DE7C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BB293">
            <w:pPr>
              <w:jc w:val="center"/>
            </w:pPr>
            <w:r>
              <w:rPr>
                <w:rFonts w:ascii="宋体" w:hAnsi="宋体" w:eastAsia="宋体"/>
                <w:sz w:val="16"/>
              </w:rPr>
              <w:t>31.85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973BA">
            <w:pPr>
              <w:jc w:val="center"/>
            </w:pPr>
            <w:r>
              <w:rPr>
                <w:rFonts w:ascii="宋体" w:hAnsi="宋体" w:eastAsia="宋体"/>
                <w:sz w:val="16"/>
              </w:rPr>
              <w:t>31.85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44D1D">
            <w:pPr>
              <w:jc w:val="center"/>
            </w:pPr>
            <w:r>
              <w:rPr>
                <w:rFonts w:ascii="宋体" w:hAnsi="宋体" w:eastAsia="宋体"/>
                <w:sz w:val="16"/>
              </w:rPr>
              <w:t>31.85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80E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FC00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18284">
            <w:pPr>
              <w:jc w:val="center"/>
            </w:pPr>
            <w:r>
              <w:rPr>
                <w:rFonts w:ascii="宋体" w:hAnsi="宋体" w:eastAsia="宋体"/>
                <w:sz w:val="16"/>
              </w:rPr>
              <w:t>10.00分</w:t>
            </w:r>
          </w:p>
        </w:tc>
      </w:tr>
      <w:tr w14:paraId="10B431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134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C45B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5014B">
            <w:pPr>
              <w:jc w:val="center"/>
            </w:pPr>
            <w:r>
              <w:rPr>
                <w:rFonts w:ascii="宋体" w:hAnsi="宋体" w:eastAsia="宋体"/>
                <w:sz w:val="16"/>
              </w:rPr>
              <w:t>31.85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019A0">
            <w:pPr>
              <w:jc w:val="center"/>
            </w:pPr>
            <w:r>
              <w:rPr>
                <w:rFonts w:ascii="宋体" w:hAnsi="宋体" w:eastAsia="宋体"/>
                <w:sz w:val="16"/>
              </w:rPr>
              <w:t>31.85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A8855">
            <w:pPr>
              <w:jc w:val="center"/>
            </w:pPr>
            <w:r>
              <w:rPr>
                <w:rFonts w:ascii="宋体" w:hAnsi="宋体" w:eastAsia="宋体"/>
                <w:sz w:val="16"/>
              </w:rPr>
              <w:t>31.85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B145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A9DA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64D88">
            <w:pPr>
              <w:jc w:val="center"/>
            </w:pPr>
            <w:r>
              <w:rPr>
                <w:rFonts w:ascii="宋体" w:hAnsi="宋体" w:eastAsia="宋体"/>
                <w:sz w:val="16"/>
              </w:rPr>
              <w:t>—</w:t>
            </w:r>
          </w:p>
        </w:tc>
      </w:tr>
      <w:tr w14:paraId="5A3F0F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8F8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3738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AD7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529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718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848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31E5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C9575">
            <w:pPr>
              <w:jc w:val="center"/>
            </w:pPr>
            <w:r>
              <w:rPr>
                <w:rFonts w:ascii="宋体" w:hAnsi="宋体" w:eastAsia="宋体"/>
                <w:sz w:val="16"/>
              </w:rPr>
              <w:t>—</w:t>
            </w:r>
          </w:p>
        </w:tc>
      </w:tr>
      <w:tr w14:paraId="46CCAC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75BFF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AAE7C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2F85BA">
            <w:pPr>
              <w:jc w:val="center"/>
            </w:pPr>
            <w:r>
              <w:rPr>
                <w:rFonts w:ascii="宋体" w:hAnsi="宋体" w:eastAsia="宋体"/>
                <w:sz w:val="16"/>
              </w:rPr>
              <w:t>实际完成情况</w:t>
            </w:r>
          </w:p>
        </w:tc>
      </w:tr>
      <w:tr w14:paraId="70AB2A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08B2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9F945E">
            <w:pPr>
              <w:jc w:val="both"/>
            </w:pPr>
            <w:r>
              <w:rPr>
                <w:rFonts w:ascii="宋体" w:hAnsi="宋体" w:eastAsia="宋体"/>
                <w:sz w:val="16"/>
              </w:rPr>
              <w:t>工作经费保障单位数量1个。经费支出主要为纪委监委办案工作、日常工作经费，通过项目的实施提高部门监管职能，满足日常工作需求。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0A56BA">
            <w:pPr>
              <w:jc w:val="both"/>
            </w:pPr>
            <w:r>
              <w:rPr>
                <w:rFonts w:ascii="宋体" w:hAnsi="宋体" w:eastAsia="宋体"/>
                <w:sz w:val="16"/>
              </w:rPr>
              <w:t>已保障1个单位的工作经费，经费支出主要为纪委监委办案工作、日常工作经费。预算执行率为100%。项目的实施提高部门监管职能，满足日常工作需求。</w:t>
            </w:r>
          </w:p>
        </w:tc>
      </w:tr>
      <w:tr w14:paraId="04FD6B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B2524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9382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4D69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BA9A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569F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CCAB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7D89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C6EB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CC71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B333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27F5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456B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5445A">
            <w:pPr>
              <w:jc w:val="center"/>
            </w:pPr>
            <w:r>
              <w:rPr>
                <w:rFonts w:ascii="宋体" w:hAnsi="宋体" w:eastAsia="宋体"/>
                <w:sz w:val="16"/>
              </w:rPr>
              <w:t>偏差原因分析及改进措施</w:t>
            </w:r>
          </w:p>
        </w:tc>
      </w:tr>
      <w:tr w14:paraId="037F98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9B460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E97A6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CDB1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7CF4F">
            <w:pPr>
              <w:jc w:val="center"/>
            </w:pPr>
            <w:r>
              <w:rPr>
                <w:rFonts w:ascii="宋体" w:hAnsi="宋体" w:eastAsia="宋体"/>
                <w:sz w:val="16"/>
              </w:rPr>
              <w:t>经费保障单位数量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1E36C">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D20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53D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48FF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334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DDD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357D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FD35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9909C">
            <w:pPr>
              <w:jc w:val="center"/>
            </w:pPr>
          </w:p>
        </w:tc>
      </w:tr>
      <w:tr w14:paraId="08C2A9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BFC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2A2F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3C477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A5CCB">
            <w:pPr>
              <w:jc w:val="center"/>
            </w:pPr>
            <w:r>
              <w:rPr>
                <w:rFonts w:ascii="宋体" w:hAnsi="宋体" w:eastAsia="宋体"/>
                <w:sz w:val="16"/>
              </w:rPr>
              <w:t>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0F6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9A6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35E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9810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0FA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B0E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474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B829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0D3B0">
            <w:pPr>
              <w:jc w:val="center"/>
            </w:pPr>
          </w:p>
        </w:tc>
      </w:tr>
      <w:tr w14:paraId="53992E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744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EC9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EF9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AC1F1">
            <w:pPr>
              <w:jc w:val="center"/>
            </w:pPr>
            <w:r>
              <w:rPr>
                <w:rFonts w:ascii="宋体" w:hAnsi="宋体" w:eastAsia="宋体"/>
                <w:sz w:val="16"/>
              </w:rPr>
              <w:t>经费使用合规率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6F2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6BC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26A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BAD0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4A4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7A7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EFC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5189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A884F">
            <w:pPr>
              <w:jc w:val="center"/>
            </w:pPr>
          </w:p>
        </w:tc>
      </w:tr>
      <w:tr w14:paraId="5C7AA8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2AC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0AF9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CCD18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B2F52">
            <w:pPr>
              <w:jc w:val="center"/>
            </w:pPr>
            <w:r>
              <w:rPr>
                <w:rFonts w:ascii="宋体" w:hAnsi="宋体" w:eastAsia="宋体"/>
                <w:sz w:val="16"/>
              </w:rPr>
              <w:t>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37C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818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58C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909F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26B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42D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7E3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0761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80143">
            <w:pPr>
              <w:jc w:val="center"/>
            </w:pPr>
          </w:p>
        </w:tc>
      </w:tr>
      <w:tr w14:paraId="64A9B4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7B4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EBD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52F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45177">
            <w:pPr>
              <w:jc w:val="center"/>
            </w:pPr>
            <w:r>
              <w:rPr>
                <w:rFonts w:ascii="宋体" w:hAnsi="宋体" w:eastAsia="宋体"/>
                <w:sz w:val="16"/>
              </w:rPr>
              <w:t>经费支付完成时间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D205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D96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1AA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C072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BF07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A47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F0509">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A772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C6935">
            <w:pPr>
              <w:jc w:val="center"/>
            </w:pPr>
          </w:p>
        </w:tc>
      </w:tr>
      <w:tr w14:paraId="61A393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912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D628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F630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ADA1E">
            <w:pPr>
              <w:jc w:val="center"/>
            </w:pPr>
            <w:r>
              <w:rPr>
                <w:rFonts w:ascii="宋体" w:hAnsi="宋体" w:eastAsia="宋体"/>
                <w:sz w:val="16"/>
              </w:rPr>
              <w:t>经费支出成本控制数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3732A">
            <w:pPr>
              <w:jc w:val="center"/>
            </w:pPr>
            <w:r>
              <w:rPr>
                <w:rFonts w:ascii="宋体" w:hAnsi="宋体" w:eastAsia="宋体"/>
                <w:sz w:val="16"/>
              </w:rPr>
              <w:t>&lt;=31.85万元/个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9D0F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B02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24F3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996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0EA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C3447">
            <w:pPr>
              <w:jc w:val="center"/>
            </w:pPr>
            <w:r>
              <w:rPr>
                <w:rFonts w:ascii="宋体" w:hAnsi="宋体" w:eastAsia="宋体"/>
                <w:sz w:val="16"/>
              </w:rPr>
              <w:t>=31.85万元/个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D1CD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C2F42">
            <w:pPr>
              <w:jc w:val="center"/>
            </w:pPr>
          </w:p>
        </w:tc>
      </w:tr>
      <w:tr w14:paraId="44E840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C64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F024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0598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EA7D8">
            <w:pPr>
              <w:jc w:val="center"/>
            </w:pPr>
            <w:r>
              <w:rPr>
                <w:rFonts w:ascii="宋体" w:hAnsi="宋体" w:eastAsia="宋体"/>
                <w:sz w:val="16"/>
              </w:rPr>
              <w:t>满足日常工作需求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276ED">
            <w:pPr>
              <w:jc w:val="center"/>
            </w:pPr>
            <w:r>
              <w:rPr>
                <w:rFonts w:ascii="宋体" w:hAnsi="宋体" w:eastAsia="宋体"/>
                <w:sz w:val="16"/>
              </w:rPr>
              <w:t>有效满足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FEB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725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1252F">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D78F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10F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DA679">
            <w:pPr>
              <w:jc w:val="center"/>
            </w:pPr>
            <w:r>
              <w:rPr>
                <w:rFonts w:ascii="宋体" w:hAnsi="宋体" w:eastAsia="宋体"/>
                <w:sz w:val="16"/>
              </w:rPr>
              <w:t>有效满足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DD626">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B89F9">
            <w:pPr>
              <w:jc w:val="center"/>
            </w:pPr>
          </w:p>
        </w:tc>
      </w:tr>
      <w:tr w14:paraId="6F018A2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5321C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702C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616DF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BD82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6C5B8EC"/>
        </w:tc>
      </w:tr>
    </w:tbl>
    <w:p w14:paraId="65EEB961">
      <w:r>
        <w:br w:type="page"/>
      </w:r>
    </w:p>
    <w:p w14:paraId="5C0A14CE">
      <w:pPr>
        <w:spacing w:line="640" w:lineRule="exact"/>
        <w:ind w:firstLine="640"/>
        <w:jc w:val="both"/>
        <w:outlineLvl w:val="2"/>
      </w:pPr>
      <w:r>
        <w:rPr>
          <w:rFonts w:ascii="黑体" w:hAnsi="黑体" w:eastAsia="黑体"/>
          <w:sz w:val="32"/>
        </w:rPr>
        <w:t>十二、其他需说明的事项</w:t>
      </w:r>
    </w:p>
    <w:p w14:paraId="130ACAFE">
      <w:pPr>
        <w:spacing w:line="580" w:lineRule="exact"/>
        <w:ind w:firstLine="640"/>
        <w:jc w:val="both"/>
      </w:pPr>
      <w:r>
        <w:rPr>
          <w:rFonts w:ascii="仿宋_GB2312" w:hAnsi="仿宋_GB2312" w:eastAsia="仿宋_GB2312"/>
          <w:b w:val="0"/>
          <w:sz w:val="32"/>
        </w:rPr>
        <w:t>本年</w:t>
      </w:r>
      <w:r>
        <w:rPr>
          <w:rFonts w:hint="eastAsia" w:ascii="仿宋_GB2312" w:hAnsi="仿宋_GB2312" w:eastAsia="仿宋_GB2312"/>
          <w:b w:val="0"/>
          <w:sz w:val="32"/>
          <w:lang w:val="en-US" w:eastAsia="zh-CN"/>
        </w:rPr>
        <w:t>本单位SM</w:t>
      </w:r>
      <w:r>
        <w:rPr>
          <w:rFonts w:ascii="仿宋_GB2312" w:hAnsi="仿宋_GB2312" w:eastAsia="仿宋_GB2312"/>
          <w:b w:val="0"/>
          <w:sz w:val="32"/>
        </w:rPr>
        <w:t>项目1个，全年预算数8.38万元，全年执行数8.38万元。</w:t>
      </w:r>
    </w:p>
    <w:p w14:paraId="578DC594">
      <w:r>
        <w:br w:type="page"/>
      </w:r>
    </w:p>
    <w:p w14:paraId="0B3856CB">
      <w:pPr>
        <w:spacing w:line="240" w:lineRule="auto"/>
        <w:jc w:val="center"/>
        <w:outlineLvl w:val="1"/>
      </w:pPr>
      <w:r>
        <w:rPr>
          <w:rFonts w:ascii="黑体" w:hAnsi="黑体" w:eastAsia="黑体"/>
          <w:sz w:val="32"/>
        </w:rPr>
        <w:t>第三部分 专业名词解释</w:t>
      </w:r>
    </w:p>
    <w:p w14:paraId="4649021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24B555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106F7D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8A047B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4F3F51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DD2FFC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0C1F6A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5B8614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A6D14B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159F5F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1519C2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FFFD38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430472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DFF6F9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B46FEA4">
      <w:r>
        <w:br w:type="page"/>
      </w:r>
    </w:p>
    <w:p w14:paraId="237C2CE5">
      <w:pPr>
        <w:spacing w:line="240" w:lineRule="auto"/>
        <w:jc w:val="center"/>
        <w:outlineLvl w:val="1"/>
      </w:pPr>
      <w:r>
        <w:rPr>
          <w:rFonts w:ascii="黑体" w:hAnsi="黑体" w:eastAsia="黑体"/>
          <w:sz w:val="32"/>
        </w:rPr>
        <w:t>第四部分 部门决算报表（见附表）</w:t>
      </w:r>
    </w:p>
    <w:p w14:paraId="3380B7EA">
      <w:pPr>
        <w:spacing w:line="240" w:lineRule="auto"/>
        <w:ind w:firstLine="640"/>
        <w:jc w:val="both"/>
      </w:pPr>
      <w:r>
        <w:rPr>
          <w:rFonts w:ascii="仿宋_GB2312" w:hAnsi="仿宋_GB2312" w:eastAsia="仿宋_GB2312"/>
          <w:b w:val="0"/>
          <w:sz w:val="32"/>
        </w:rPr>
        <w:t>一、《收入支出决算总表》</w:t>
      </w:r>
    </w:p>
    <w:p w14:paraId="50EB9096">
      <w:pPr>
        <w:spacing w:line="240" w:lineRule="auto"/>
        <w:ind w:firstLine="640"/>
        <w:jc w:val="both"/>
      </w:pPr>
      <w:r>
        <w:rPr>
          <w:rFonts w:ascii="仿宋_GB2312" w:hAnsi="仿宋_GB2312" w:eastAsia="仿宋_GB2312"/>
          <w:b w:val="0"/>
          <w:sz w:val="32"/>
        </w:rPr>
        <w:t>二、《收入决算表》</w:t>
      </w:r>
    </w:p>
    <w:p w14:paraId="6963E3ED">
      <w:pPr>
        <w:spacing w:line="240" w:lineRule="auto"/>
        <w:ind w:firstLine="640"/>
        <w:jc w:val="both"/>
      </w:pPr>
      <w:r>
        <w:rPr>
          <w:rFonts w:ascii="仿宋_GB2312" w:hAnsi="仿宋_GB2312" w:eastAsia="仿宋_GB2312"/>
          <w:b w:val="0"/>
          <w:sz w:val="32"/>
        </w:rPr>
        <w:t>三、《支出决算表》</w:t>
      </w:r>
    </w:p>
    <w:p w14:paraId="4AF48BDD">
      <w:pPr>
        <w:spacing w:line="240" w:lineRule="auto"/>
        <w:ind w:firstLine="640"/>
        <w:jc w:val="both"/>
      </w:pPr>
      <w:r>
        <w:rPr>
          <w:rFonts w:ascii="仿宋_GB2312" w:hAnsi="仿宋_GB2312" w:eastAsia="仿宋_GB2312"/>
          <w:b w:val="0"/>
          <w:sz w:val="32"/>
        </w:rPr>
        <w:t>四、《财政拨款收入支出决算总表》</w:t>
      </w:r>
    </w:p>
    <w:p w14:paraId="5FA518F6">
      <w:pPr>
        <w:spacing w:line="240" w:lineRule="auto"/>
        <w:ind w:firstLine="640"/>
        <w:jc w:val="both"/>
      </w:pPr>
      <w:r>
        <w:rPr>
          <w:rFonts w:ascii="仿宋_GB2312" w:hAnsi="仿宋_GB2312" w:eastAsia="仿宋_GB2312"/>
          <w:b w:val="0"/>
          <w:sz w:val="32"/>
        </w:rPr>
        <w:t>五、《一般公共预算财政拨款支出决算表》</w:t>
      </w:r>
    </w:p>
    <w:p w14:paraId="3556D081">
      <w:pPr>
        <w:spacing w:line="240" w:lineRule="auto"/>
        <w:ind w:firstLine="640"/>
        <w:jc w:val="both"/>
      </w:pPr>
      <w:r>
        <w:rPr>
          <w:rFonts w:ascii="仿宋_GB2312" w:hAnsi="仿宋_GB2312" w:eastAsia="仿宋_GB2312"/>
          <w:b w:val="0"/>
          <w:sz w:val="32"/>
        </w:rPr>
        <w:t>六、《一般公共预算财政拨款基本支出决算表》</w:t>
      </w:r>
    </w:p>
    <w:p w14:paraId="46D789E9">
      <w:pPr>
        <w:spacing w:line="240" w:lineRule="auto"/>
        <w:ind w:firstLine="640"/>
        <w:jc w:val="both"/>
      </w:pPr>
      <w:r>
        <w:rPr>
          <w:rFonts w:ascii="仿宋_GB2312" w:hAnsi="仿宋_GB2312" w:eastAsia="仿宋_GB2312"/>
          <w:b w:val="0"/>
          <w:sz w:val="32"/>
        </w:rPr>
        <w:t>七、《政府性基金预算财政拨款收入支出决算表》</w:t>
      </w:r>
    </w:p>
    <w:p w14:paraId="558EF5CA">
      <w:pPr>
        <w:spacing w:line="240" w:lineRule="auto"/>
        <w:ind w:firstLine="640"/>
        <w:jc w:val="both"/>
      </w:pPr>
      <w:r>
        <w:rPr>
          <w:rFonts w:ascii="仿宋_GB2312" w:hAnsi="仿宋_GB2312" w:eastAsia="仿宋_GB2312"/>
          <w:b w:val="0"/>
          <w:sz w:val="32"/>
        </w:rPr>
        <w:t>八、《国有资本经营预算财政拨款收入支出决算表》</w:t>
      </w:r>
    </w:p>
    <w:p w14:paraId="32A6FD98">
      <w:pPr>
        <w:spacing w:line="240" w:lineRule="auto"/>
        <w:ind w:firstLine="640"/>
        <w:jc w:val="both"/>
      </w:pPr>
      <w:r>
        <w:rPr>
          <w:rFonts w:ascii="仿宋_GB2312" w:hAnsi="仿宋_GB2312" w:eastAsia="仿宋_GB2312"/>
          <w:b w:val="0"/>
          <w:sz w:val="32"/>
        </w:rPr>
        <w:t>九、《财政拨款“三公”经费支出决算表》</w:t>
      </w:r>
    </w:p>
    <w:p w14:paraId="00E604D6">
      <w:pPr>
        <w:spacing w:line="240" w:lineRule="auto"/>
        <w:ind w:firstLine="640"/>
        <w:jc w:val="both"/>
      </w:pPr>
    </w:p>
    <w:p w14:paraId="7B9FA043">
      <w:pPr>
        <w:spacing w:line="240" w:lineRule="auto"/>
        <w:ind w:firstLine="640"/>
        <w:jc w:val="both"/>
      </w:pPr>
    </w:p>
    <w:p w14:paraId="322FAC50">
      <w:pPr>
        <w:spacing w:line="240" w:lineRule="auto"/>
        <w:ind w:firstLine="640"/>
        <w:jc w:val="both"/>
      </w:pPr>
    </w:p>
    <w:p w14:paraId="4F67631E">
      <w:pPr>
        <w:spacing w:line="240" w:lineRule="auto"/>
        <w:ind w:firstLine="640"/>
        <w:jc w:val="both"/>
      </w:pPr>
    </w:p>
    <w:p w14:paraId="7D14E84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DC17F4"/>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E640C6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5686</Words>
  <Characters>6568</Characters>
  <Lines>0</Lines>
  <Paragraphs>0</Paragraphs>
  <TotalTime>10</TotalTime>
  <ScaleCrop>false</ScaleCrop>
  <LinksUpToDate>false</LinksUpToDate>
  <CharactersWithSpaces>6576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2025-09-12T11:01:11Z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