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中国人民政治协商会议新疆维吾尔自治区岳普湖县委员会2024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0C2D1C2">
      <w:r>
        <w:br w:type="page"/>
      </w:r>
    </w:p>
    <w:p w14:paraId="5971DB9F">
      <w:pPr>
        <w:spacing w:line="640" w:lineRule="exact"/>
        <w:jc w:val="center"/>
        <w:outlineLvl w:val="1"/>
      </w:pPr>
      <w:r>
        <w:rPr>
          <w:rFonts w:ascii="黑体" w:hAnsi="黑体" w:eastAsia="黑体"/>
          <w:sz w:val="32"/>
        </w:rPr>
        <w:t>第一部分 单位概况</w:t>
      </w:r>
    </w:p>
    <w:p w14:paraId="3C0BEC4D">
      <w:pPr>
        <w:spacing w:line="640" w:lineRule="exact"/>
        <w:ind w:firstLine="640"/>
        <w:jc w:val="both"/>
        <w:outlineLvl w:val="2"/>
      </w:pPr>
      <w:r>
        <w:rPr>
          <w:rFonts w:ascii="黑体" w:hAnsi="黑体" w:eastAsia="黑体"/>
          <w:sz w:val="32"/>
        </w:rPr>
        <w:t>一、主要职能</w:t>
      </w:r>
    </w:p>
    <w:p w14:paraId="51D9273E">
      <w:pPr>
        <w:spacing w:line="580" w:lineRule="exact"/>
        <w:ind w:firstLine="640"/>
        <w:jc w:val="both"/>
      </w:pPr>
      <w:r>
        <w:rPr>
          <w:rFonts w:ascii="仿宋_GB2312" w:hAnsi="仿宋_GB2312" w:eastAsia="仿宋_GB2312"/>
          <w:sz w:val="32"/>
        </w:rPr>
        <w:t>根据党的路线、方针、政策和县委的指示、决议，结合本县实际，牢固树立为经济建设中心服务的指导思想，制定政协年度工作要点，开展政协协商和民主监督，促进党的方针政策的贯彻落实。认真搞好调查研究，着力为县委决策提供第一手资料，着力解决社会的难点热点问题。加强政协机关自身建设，努力建设一支高素质的政协委员干部队伍。</w:t>
      </w:r>
    </w:p>
    <w:p w14:paraId="52157782">
      <w:pPr>
        <w:spacing w:line="640" w:lineRule="exact"/>
        <w:ind w:firstLine="640"/>
        <w:jc w:val="both"/>
        <w:outlineLvl w:val="2"/>
      </w:pPr>
      <w:r>
        <w:rPr>
          <w:rFonts w:ascii="黑体" w:hAnsi="黑体" w:eastAsia="黑体"/>
          <w:sz w:val="32"/>
        </w:rPr>
        <w:t>二、机构设置及人员情况</w:t>
      </w:r>
    </w:p>
    <w:p w14:paraId="3A6A2E73">
      <w:pPr>
        <w:spacing w:line="580" w:lineRule="exact"/>
        <w:ind w:firstLine="640"/>
        <w:jc w:val="both"/>
      </w:pPr>
      <w:r>
        <w:rPr>
          <w:rFonts w:ascii="仿宋_GB2312" w:hAnsi="仿宋_GB2312" w:eastAsia="仿宋_GB2312"/>
          <w:sz w:val="32"/>
        </w:rPr>
        <w:t>中国人民政治协商会议新疆维吾尔自治区岳普湖县委员会2024年度，实有人数41人，其中：在职人员17人，增加2人；离休人员0人，增加0人；退休人员24人,增加4人。</w:t>
      </w:r>
    </w:p>
    <w:p w14:paraId="25A090CC">
      <w:pPr>
        <w:spacing w:line="580" w:lineRule="exact"/>
        <w:ind w:firstLine="640"/>
        <w:jc w:val="both"/>
      </w:pPr>
      <w:r>
        <w:rPr>
          <w:rFonts w:ascii="仿宋_GB2312" w:hAnsi="仿宋_GB2312" w:eastAsia="仿宋_GB2312"/>
          <w:sz w:val="32"/>
        </w:rPr>
        <w:t>中国人民政治协商会议新疆维吾尔自治区岳普湖县委员会无下属预算单位，下设6个科室，分别是：政协办公室、政协委员工作联络室、经科教文卫委员会、民族</w:t>
      </w:r>
      <w:r>
        <w:rPr>
          <w:rFonts w:hint="eastAsia" w:ascii="仿宋_GB2312" w:hAnsi="仿宋_GB2312" w:eastAsia="仿宋_GB2312"/>
          <w:sz w:val="32"/>
          <w:lang w:val="en-US" w:eastAsia="zh-CN"/>
        </w:rPr>
        <w:t>ZJ</w:t>
      </w:r>
      <w:r>
        <w:rPr>
          <w:rFonts w:ascii="仿宋_GB2312" w:hAnsi="仿宋_GB2312" w:eastAsia="仿宋_GB2312"/>
          <w:sz w:val="32"/>
        </w:rPr>
        <w:t>法制委员会、提案工作委员会、学习宣传和文史委员会。</w:t>
      </w:r>
    </w:p>
    <w:p w14:paraId="01D4CAE1">
      <w:r>
        <w:br w:type="page"/>
      </w:r>
    </w:p>
    <w:p w14:paraId="64532773">
      <w:pPr>
        <w:spacing w:line="240" w:lineRule="auto"/>
        <w:jc w:val="center"/>
        <w:outlineLvl w:val="1"/>
      </w:pPr>
      <w:r>
        <w:rPr>
          <w:rFonts w:ascii="黑体" w:hAnsi="黑体" w:eastAsia="黑体"/>
          <w:sz w:val="32"/>
        </w:rPr>
        <w:t>第二部分 部门决算情况说明</w:t>
      </w:r>
    </w:p>
    <w:p w14:paraId="7DFBC76A">
      <w:pPr>
        <w:spacing w:line="640" w:lineRule="exact"/>
        <w:ind w:firstLine="640"/>
        <w:jc w:val="both"/>
        <w:outlineLvl w:val="2"/>
      </w:pPr>
      <w:r>
        <w:rPr>
          <w:rFonts w:ascii="黑体" w:hAnsi="黑体" w:eastAsia="黑体"/>
          <w:sz w:val="32"/>
        </w:rPr>
        <w:t>一、收入支出决算总体情况说明</w:t>
      </w:r>
    </w:p>
    <w:p w14:paraId="1EF13630">
      <w:pPr>
        <w:spacing w:line="580" w:lineRule="exact"/>
        <w:ind w:firstLine="640"/>
        <w:jc w:val="both"/>
      </w:pPr>
      <w:r>
        <w:rPr>
          <w:rFonts w:ascii="仿宋_GB2312" w:hAnsi="仿宋_GB2312" w:eastAsia="仿宋_GB2312"/>
          <w:b/>
          <w:sz w:val="32"/>
        </w:rPr>
        <w:t>2024年度收入总计457.01万元，</w:t>
      </w:r>
      <w:r>
        <w:rPr>
          <w:rFonts w:ascii="仿宋_GB2312" w:hAnsi="仿宋_GB2312" w:eastAsia="仿宋_GB2312"/>
          <w:b w:val="0"/>
          <w:sz w:val="32"/>
        </w:rPr>
        <w:t>其中：本年收入合计457.01万元，使用非财政拨款结余（含专用结余）0.00万元，年初结转和结余0.00万元。</w:t>
      </w:r>
    </w:p>
    <w:p w14:paraId="22032B36">
      <w:pPr>
        <w:spacing w:line="580" w:lineRule="exact"/>
        <w:ind w:firstLine="640"/>
        <w:jc w:val="both"/>
      </w:pPr>
      <w:r>
        <w:rPr>
          <w:rFonts w:ascii="仿宋_GB2312" w:hAnsi="仿宋_GB2312" w:eastAsia="仿宋_GB2312"/>
          <w:b/>
          <w:sz w:val="32"/>
        </w:rPr>
        <w:t>2024年度支出总计457.01万元，</w:t>
      </w:r>
      <w:r>
        <w:rPr>
          <w:rFonts w:ascii="仿宋_GB2312" w:hAnsi="仿宋_GB2312" w:eastAsia="仿宋_GB2312"/>
          <w:b w:val="0"/>
          <w:sz w:val="32"/>
        </w:rPr>
        <w:t>其中：本年支出合计457.01万元，结余分配0.00万元，年末结转和结余0.00万元。</w:t>
      </w:r>
    </w:p>
    <w:p w14:paraId="155B2903">
      <w:pPr>
        <w:spacing w:line="580" w:lineRule="exact"/>
        <w:ind w:firstLine="640"/>
        <w:jc w:val="both"/>
      </w:pPr>
      <w:r>
        <w:rPr>
          <w:rFonts w:ascii="仿宋_GB2312" w:hAnsi="仿宋_GB2312" w:eastAsia="仿宋_GB2312"/>
          <w:b w:val="0"/>
          <w:sz w:val="32"/>
        </w:rPr>
        <w:t>收入支出总体与上年相比，减少1.34万元，下降0.29%，主要原因是：本年无新增死亡人员，死亡抚恤支出较上年减少，相关人员经费较上年减少。</w:t>
      </w:r>
    </w:p>
    <w:p w14:paraId="5D770BCE">
      <w:pPr>
        <w:spacing w:line="640" w:lineRule="exact"/>
        <w:ind w:firstLine="640"/>
        <w:jc w:val="both"/>
        <w:outlineLvl w:val="2"/>
      </w:pPr>
      <w:r>
        <w:rPr>
          <w:rFonts w:ascii="黑体" w:hAnsi="黑体" w:eastAsia="黑体"/>
          <w:sz w:val="32"/>
        </w:rPr>
        <w:t>二、收入决算情况说明</w:t>
      </w:r>
    </w:p>
    <w:p w14:paraId="0D4915F7">
      <w:pPr>
        <w:spacing w:line="580" w:lineRule="exact"/>
        <w:ind w:firstLine="640"/>
        <w:jc w:val="both"/>
      </w:pPr>
      <w:r>
        <w:rPr>
          <w:rFonts w:ascii="仿宋_GB2312" w:hAnsi="仿宋_GB2312" w:eastAsia="仿宋_GB2312"/>
          <w:b/>
          <w:sz w:val="32"/>
        </w:rPr>
        <w:t>本年收入457.01万元，</w:t>
      </w:r>
      <w:r>
        <w:rPr>
          <w:rFonts w:ascii="仿宋_GB2312" w:hAnsi="仿宋_GB2312" w:eastAsia="仿宋_GB2312"/>
          <w:b w:val="0"/>
          <w:sz w:val="32"/>
        </w:rPr>
        <w:t>其中：财政拨款收入457.01万元，占100.00%；上级补助收入0.00万元，占0.00%；事业收入0.00万元，占0.00%；经营收入0.00万元，占0.00%；附属单位上缴收入0.00万元，占0.00%；其他收入0.00万元，占0.00%。</w:t>
      </w:r>
    </w:p>
    <w:p w14:paraId="6EE40F3B">
      <w:pPr>
        <w:spacing w:line="640" w:lineRule="exact"/>
        <w:ind w:firstLine="640"/>
        <w:jc w:val="both"/>
        <w:outlineLvl w:val="2"/>
      </w:pPr>
      <w:r>
        <w:rPr>
          <w:rFonts w:ascii="黑体" w:hAnsi="黑体" w:eastAsia="黑体"/>
          <w:sz w:val="32"/>
        </w:rPr>
        <w:t>三、支出决算情况说明</w:t>
      </w:r>
    </w:p>
    <w:p w14:paraId="3DB7EB71">
      <w:pPr>
        <w:spacing w:line="580" w:lineRule="exact"/>
        <w:ind w:firstLine="640"/>
        <w:jc w:val="both"/>
      </w:pPr>
      <w:r>
        <w:rPr>
          <w:rFonts w:ascii="仿宋_GB2312" w:hAnsi="仿宋_GB2312" w:eastAsia="仿宋_GB2312"/>
          <w:b/>
          <w:sz w:val="32"/>
        </w:rPr>
        <w:t>本年支出457.01万元，</w:t>
      </w:r>
      <w:r>
        <w:rPr>
          <w:rFonts w:ascii="仿宋_GB2312" w:hAnsi="仿宋_GB2312" w:eastAsia="仿宋_GB2312"/>
          <w:b w:val="0"/>
          <w:sz w:val="32"/>
        </w:rPr>
        <w:t>其中：基本支出452.01万元，占98.91%；项目支出5.00万元，占1.09%；上缴上级支出0.00万元，占0.00%；经营支出0.00万元，占0.00%；对附属单位补助支出0.00万元，占0.00%。</w:t>
      </w:r>
    </w:p>
    <w:p w14:paraId="319C4A6E">
      <w:pPr>
        <w:spacing w:line="640" w:lineRule="exact"/>
        <w:ind w:firstLine="640"/>
        <w:jc w:val="both"/>
        <w:outlineLvl w:val="2"/>
      </w:pPr>
      <w:r>
        <w:rPr>
          <w:rFonts w:ascii="黑体" w:hAnsi="黑体" w:eastAsia="黑体"/>
          <w:sz w:val="32"/>
        </w:rPr>
        <w:t>四、财政拨款收入支出决算总体情况说明</w:t>
      </w:r>
    </w:p>
    <w:p w14:paraId="1A66388B">
      <w:pPr>
        <w:spacing w:line="580" w:lineRule="exact"/>
        <w:ind w:firstLine="640"/>
        <w:jc w:val="both"/>
      </w:pPr>
      <w:r>
        <w:rPr>
          <w:rFonts w:ascii="仿宋_GB2312" w:hAnsi="仿宋_GB2312" w:eastAsia="仿宋_GB2312"/>
          <w:b/>
          <w:sz w:val="32"/>
        </w:rPr>
        <w:t>2024年度财政拨款收入总计457.01万元，</w:t>
      </w:r>
      <w:r>
        <w:rPr>
          <w:rFonts w:ascii="仿宋_GB2312" w:hAnsi="仿宋_GB2312" w:eastAsia="仿宋_GB2312"/>
          <w:b w:val="0"/>
          <w:sz w:val="32"/>
        </w:rPr>
        <w:t>其中：年初财政拨款结转和结余0.00万元，本年财政拨款收入457.01万元。</w:t>
      </w:r>
      <w:r>
        <w:rPr>
          <w:rFonts w:ascii="仿宋_GB2312" w:hAnsi="仿宋_GB2312" w:eastAsia="仿宋_GB2312"/>
          <w:b/>
          <w:sz w:val="32"/>
        </w:rPr>
        <w:t>财政拨款支出总计457.01万元，</w:t>
      </w:r>
      <w:r>
        <w:rPr>
          <w:rFonts w:ascii="仿宋_GB2312" w:hAnsi="仿宋_GB2312" w:eastAsia="仿宋_GB2312"/>
          <w:b w:val="0"/>
          <w:sz w:val="32"/>
        </w:rPr>
        <w:t>其中：年末财政拨款结转和结余0.00万元，本年财政拨款支出457.01万元。</w:t>
      </w:r>
    </w:p>
    <w:p w14:paraId="54AE1B1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减少1.34万元，下降0.29%，主要原因是：本年无新增死亡人员，死亡抚恤支出较上年减少，相关人员经费较上年减少。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年初预算数433.96万元，决算数457.01万元，预决算差异率5.31%，主要原因是：年中追加人员工资、社保、公积金基数调增部分资金，导致预决算存在差异。</w:t>
      </w:r>
    </w:p>
    <w:p w14:paraId="6D3F86DD">
      <w:pPr>
        <w:spacing w:line="640" w:lineRule="exact"/>
        <w:ind w:firstLine="640"/>
        <w:jc w:val="both"/>
        <w:outlineLvl w:val="2"/>
      </w:pPr>
      <w:r>
        <w:rPr>
          <w:rFonts w:ascii="黑体" w:hAnsi="黑体" w:eastAsia="黑体"/>
          <w:sz w:val="32"/>
        </w:rPr>
        <w:t>五、一般公共预算财政拨款支出决算情况说明</w:t>
      </w:r>
    </w:p>
    <w:p w14:paraId="3C3C5403">
      <w:pPr>
        <w:spacing w:line="640" w:lineRule="exact"/>
        <w:ind w:firstLine="640"/>
        <w:jc w:val="both"/>
        <w:outlineLvl w:val="3"/>
      </w:pPr>
      <w:r>
        <w:rPr>
          <w:rFonts w:ascii="楷体_GB2312" w:hAnsi="楷体_GB2312" w:eastAsia="楷体_GB2312"/>
          <w:b/>
          <w:sz w:val="32"/>
        </w:rPr>
        <w:t>（一）一般公共预算财政拨款支出决算总体情况</w:t>
      </w:r>
    </w:p>
    <w:p w14:paraId="7AF663D5">
      <w:pPr>
        <w:spacing w:line="580" w:lineRule="exact"/>
        <w:ind w:firstLine="640"/>
        <w:jc w:val="both"/>
      </w:pPr>
      <w:r>
        <w:rPr>
          <w:rFonts w:ascii="仿宋_GB2312" w:hAnsi="仿宋_GB2312" w:eastAsia="仿宋_GB2312"/>
          <w:b/>
          <w:sz w:val="32"/>
        </w:rPr>
        <w:t>2024年度一般公共预算财政拨款支出457.01万元，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减少1.34万元，下降0.29%，主要原因是：本年无新增死亡人员，死亡抚恤支出较上年减少，相关人员经费较上年减少。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年初预算数433.96万元，决算数457.01万元，预决算差异率5.31%，主要原因是：年中追加人员工资、社保、公积金基数调增部分资金，导致预决算存在差异。</w:t>
      </w:r>
    </w:p>
    <w:p w14:paraId="3FCB1588">
      <w:pPr>
        <w:spacing w:line="640" w:lineRule="exact"/>
        <w:ind w:firstLine="640"/>
        <w:jc w:val="both"/>
        <w:outlineLvl w:val="3"/>
      </w:pPr>
      <w:r>
        <w:rPr>
          <w:rFonts w:ascii="楷体_GB2312" w:hAnsi="楷体_GB2312" w:eastAsia="楷体_GB2312"/>
          <w:b/>
          <w:sz w:val="32"/>
        </w:rPr>
        <w:t>（二）一般公共预算财政拨款支出决算结构情况</w:t>
      </w:r>
    </w:p>
    <w:p w14:paraId="18D1508A">
      <w:pPr>
        <w:spacing w:line="580" w:lineRule="exact"/>
        <w:ind w:firstLine="640"/>
        <w:jc w:val="both"/>
      </w:pPr>
      <w:r>
        <w:rPr>
          <w:rFonts w:ascii="仿宋_GB2312" w:hAnsi="仿宋_GB2312" w:eastAsia="仿宋_GB2312"/>
          <w:b w:val="0"/>
          <w:sz w:val="32"/>
        </w:rPr>
        <w:t>1.一般公共服务支出(类)326.56万元,占71.46%。</w:t>
      </w:r>
    </w:p>
    <w:p w14:paraId="41F05BC0">
      <w:pPr>
        <w:spacing w:line="580" w:lineRule="exact"/>
        <w:ind w:firstLine="640"/>
        <w:jc w:val="both"/>
      </w:pPr>
      <w:r>
        <w:rPr>
          <w:rFonts w:ascii="仿宋_GB2312" w:hAnsi="仿宋_GB2312" w:eastAsia="仿宋_GB2312"/>
          <w:b w:val="0"/>
          <w:sz w:val="32"/>
        </w:rPr>
        <w:t>2.社会保障和就业支出(类)84.63万元,占18.52%。</w:t>
      </w:r>
    </w:p>
    <w:p w14:paraId="26EC10B4">
      <w:pPr>
        <w:spacing w:line="580" w:lineRule="exact"/>
        <w:ind w:firstLine="640"/>
        <w:jc w:val="both"/>
      </w:pPr>
      <w:r>
        <w:rPr>
          <w:rFonts w:ascii="仿宋_GB2312" w:hAnsi="仿宋_GB2312" w:eastAsia="仿宋_GB2312"/>
          <w:b w:val="0"/>
          <w:sz w:val="32"/>
        </w:rPr>
        <w:t>3.卫生健康支出(类)18.34万元,占4.01%。</w:t>
      </w:r>
    </w:p>
    <w:p w14:paraId="67E77658">
      <w:pPr>
        <w:spacing w:line="580" w:lineRule="exact"/>
        <w:ind w:firstLine="640"/>
        <w:jc w:val="both"/>
      </w:pPr>
      <w:r>
        <w:rPr>
          <w:rFonts w:ascii="仿宋_GB2312" w:hAnsi="仿宋_GB2312" w:eastAsia="仿宋_GB2312"/>
          <w:b w:val="0"/>
          <w:sz w:val="32"/>
        </w:rPr>
        <w:t>4.住房保障支出(类)27.48万元,占6.01%。</w:t>
      </w:r>
    </w:p>
    <w:p w14:paraId="022B611E">
      <w:pPr>
        <w:spacing w:line="640" w:lineRule="exact"/>
        <w:ind w:firstLine="640"/>
        <w:jc w:val="both"/>
        <w:outlineLvl w:val="3"/>
      </w:pPr>
      <w:r>
        <w:rPr>
          <w:rFonts w:ascii="楷体_GB2312" w:hAnsi="楷体_GB2312" w:eastAsia="楷体_GB2312"/>
          <w:b/>
          <w:sz w:val="32"/>
        </w:rPr>
        <w:t>（三）一般公共预算财政拨款支出决算具体情况</w:t>
      </w:r>
    </w:p>
    <w:p w14:paraId="7FE13EA6">
      <w:pPr>
        <w:spacing w:line="580" w:lineRule="exact"/>
        <w:ind w:firstLine="640"/>
        <w:jc w:val="both"/>
        <w:rPr>
          <w:rFonts w:hint="default" w:eastAsia="仿宋_GB2312"/>
          <w:lang w:val="en-US" w:eastAsia="zh-CN"/>
        </w:rPr>
      </w:pPr>
      <w:r>
        <w:rPr>
          <w:rFonts w:ascii="仿宋_GB2312" w:hAnsi="仿宋_GB2312" w:eastAsia="仿宋_GB2312"/>
          <w:b w:val="0"/>
          <w:sz w:val="32"/>
        </w:rPr>
        <w:t>1.一般公共服务支出(类)政协事务(款)行政运行(项):支出决算数为321.56万元，比上年决算增加38.81万元，增长13.73%,主要原因是：本年在职人员工资调增，导致相关人员经费较上年有所增加。</w:t>
      </w:r>
      <w:r>
        <w:rPr>
          <w:rFonts w:hint="eastAsia" w:ascii="仿宋_GB2312" w:hAnsi="仿宋_GB2312" w:eastAsia="仿宋_GB2312"/>
          <w:b w:val="0"/>
          <w:sz w:val="32"/>
          <w:lang w:val="en-US" w:eastAsia="zh-CN"/>
        </w:rPr>
        <w:t>本年办公费、</w:t>
      </w:r>
      <w:r>
        <w:rPr>
          <w:rFonts w:ascii="仿宋_GB2312" w:hAnsi="仿宋_GB2312" w:eastAsia="仿宋_GB2312"/>
          <w:b w:val="0"/>
          <w:sz w:val="32"/>
        </w:rPr>
        <w:t>公务用车购置</w:t>
      </w:r>
      <w:r>
        <w:rPr>
          <w:rFonts w:hint="eastAsia" w:ascii="仿宋_GB2312" w:hAnsi="仿宋_GB2312" w:eastAsia="仿宋_GB2312"/>
          <w:b w:val="0"/>
          <w:sz w:val="32"/>
          <w:lang w:val="en-US" w:eastAsia="zh-CN"/>
        </w:rPr>
        <w:t>费等经费增加，相关支出增加。</w:t>
      </w:r>
    </w:p>
    <w:p w14:paraId="2CCB31E1">
      <w:pPr>
        <w:spacing w:line="580" w:lineRule="exact"/>
        <w:ind w:firstLine="640"/>
        <w:jc w:val="both"/>
      </w:pPr>
      <w:r>
        <w:rPr>
          <w:rFonts w:ascii="仿宋_GB2312" w:hAnsi="仿宋_GB2312" w:eastAsia="仿宋_GB2312"/>
          <w:b w:val="0"/>
          <w:sz w:val="32"/>
        </w:rPr>
        <w:t>2.一般公共服务支出(类)政协事务(款)其他政协事务支出(项):支出决算数为5.00万元，比上年决算增加0.00万元，增长0.00%,主要原因是：基层政协补助项目与上年一致，无变化。</w:t>
      </w:r>
    </w:p>
    <w:p w14:paraId="359F59D9">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3.社会保障和就业支出(类)行政事业单位养老支出(款)行政单位离退休(项):支出决算数为32.16万元，比上年决算增加5.40万元，增长20.18%,主要原因是：本年退休人员增加，退休费支出增加。</w:t>
      </w:r>
    </w:p>
    <w:p w14:paraId="15424642">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33.94万元，比上年决算增加5.31万元，增长18.55%,主要原因是：本年在职人员工资基数调增，养老缴费基数上涨，相应支出增加。</w:t>
      </w:r>
    </w:p>
    <w:p w14:paraId="24601858">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5.社会保障和就业支出(类)行政事业单位养老支出(款)机关事业单位职业年金缴费支出(项):支出决算数为18.53万元，比上年决算增加4.35万元，增长30.68%,主要原因是：本年新增退休人员，职业年金缴费支出增加。</w:t>
      </w:r>
    </w:p>
    <w:p w14:paraId="2F942C46">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6.社会保障和就业支出(类)抚恤(款)死亡抚恤(项):支出决算数为0.00万元，比上年决算减少49.00万元，下降100.00%,主要原因是：本年无新增死亡人员，死亡抚恤支出较上年减少。</w:t>
      </w:r>
    </w:p>
    <w:p w14:paraId="6DE8E39B">
      <w:pPr>
        <w:spacing w:line="580" w:lineRule="exact"/>
        <w:ind w:firstLine="640"/>
        <w:jc w:val="both"/>
      </w:pPr>
      <w:r>
        <w:rPr>
          <w:rFonts w:ascii="仿宋_GB2312" w:hAnsi="仿宋_GB2312" w:eastAsia="仿宋_GB2312"/>
          <w:b w:val="0"/>
          <w:sz w:val="32"/>
        </w:rPr>
        <w:t>7.卫生健康支出(类)行政事业单位医疗(款)行政单位医疗(项):支出决算数为14.42万元，比上年决算减少8.45万元，下降36.95%,主要原因是：本年在职人员调入调出，人员职级不同，缴费基数不同，导致行政单位医疗较上年减少。</w:t>
      </w:r>
    </w:p>
    <w:p w14:paraId="35974023">
      <w:pPr>
        <w:spacing w:line="580" w:lineRule="exact"/>
        <w:ind w:firstLine="640"/>
        <w:jc w:val="both"/>
      </w:pPr>
      <w:r>
        <w:rPr>
          <w:rFonts w:ascii="仿宋_GB2312" w:hAnsi="仿宋_GB2312" w:eastAsia="仿宋_GB2312"/>
          <w:b w:val="0"/>
          <w:sz w:val="32"/>
        </w:rPr>
        <w:t>8.卫生健康支出(类)行政事业单位医疗(款)公务员医疗补助(项):支出决算数为3.92万元，比上年决算减少2.76万元，下降41.32%,主要原因是：本年在职人员调入调出，人员职级不同，缴费基数不同，导致行政单位医疗较上年减少。</w:t>
      </w:r>
    </w:p>
    <w:p w14:paraId="4C1E72CE">
      <w:pPr>
        <w:spacing w:line="580" w:lineRule="exact"/>
        <w:ind w:firstLine="640"/>
        <w:jc w:val="both"/>
      </w:pPr>
      <w:r>
        <w:rPr>
          <w:rFonts w:ascii="仿宋_GB2312" w:hAnsi="仿宋_GB2312" w:eastAsia="仿宋_GB2312"/>
          <w:b w:val="0"/>
          <w:sz w:val="32"/>
        </w:rPr>
        <w:t>9.住房保障支出(类)住房改革支出(款)住房公积金(项):支出决算数为27.48万元，比上年决算增加4.99万元，增长22.19%,主要原因是：本年在职人员工资基数调增，公积金缴费基数上涨，相应支出增加。</w:t>
      </w:r>
    </w:p>
    <w:p w14:paraId="23FCB35A">
      <w:pPr>
        <w:spacing w:line="640" w:lineRule="exact"/>
        <w:ind w:firstLine="640"/>
        <w:jc w:val="both"/>
        <w:outlineLvl w:val="2"/>
      </w:pPr>
      <w:r>
        <w:rPr>
          <w:rFonts w:ascii="黑体" w:hAnsi="黑体" w:eastAsia="黑体"/>
          <w:sz w:val="32"/>
        </w:rPr>
        <w:t>六、一般公共预算财政拨款基本支出决算情况说明</w:t>
      </w:r>
    </w:p>
    <w:p w14:paraId="0B452C45">
      <w:pPr>
        <w:spacing w:line="580" w:lineRule="exact"/>
        <w:ind w:firstLine="640"/>
        <w:jc w:val="both"/>
      </w:pPr>
      <w:r>
        <w:rPr>
          <w:rFonts w:ascii="仿宋_GB2312" w:hAnsi="仿宋_GB2312" w:eastAsia="仿宋_GB2312"/>
          <w:b w:val="0"/>
          <w:sz w:val="32"/>
        </w:rPr>
        <w:t>2024年度一般公共预算财政拨款基本支出452.01万元，其中：</w:t>
      </w:r>
      <w:r>
        <w:rPr>
          <w:rFonts w:ascii="仿宋_GB2312" w:hAnsi="仿宋_GB2312" w:eastAsia="仿宋_GB2312"/>
          <w:b/>
          <w:sz w:val="32"/>
        </w:rPr>
        <w:t>人员经费414.59万元，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w:t>
      </w:r>
    </w:p>
    <w:p w14:paraId="3E549518">
      <w:pPr>
        <w:spacing w:line="580" w:lineRule="exact"/>
        <w:ind w:firstLine="640"/>
        <w:jc w:val="both"/>
      </w:pPr>
      <w:r>
        <w:rPr>
          <w:rFonts w:ascii="仿宋_GB2312" w:hAnsi="仿宋_GB2312" w:eastAsia="仿宋_GB2312"/>
          <w:b/>
          <w:sz w:val="32"/>
        </w:rPr>
        <w:t>公用经费37.43万元，</w:t>
      </w:r>
      <w:r>
        <w:rPr>
          <w:rFonts w:ascii="仿宋_GB2312" w:hAnsi="仿宋_GB2312" w:eastAsia="仿宋_GB2312"/>
          <w:b w:val="0"/>
          <w:sz w:val="32"/>
        </w:rPr>
        <w:t>包括：办公费、电费、物业管理费、差旅费、培训费、公务接待费、劳务费、公务用车运行维护费、其他交通费用、其他商品和服务支出、办公设备购置、公务用车购置。</w:t>
      </w:r>
    </w:p>
    <w:p w14:paraId="1B952FE0">
      <w:pPr>
        <w:spacing w:line="640" w:lineRule="exact"/>
        <w:ind w:firstLine="640"/>
        <w:jc w:val="both"/>
        <w:outlineLvl w:val="2"/>
      </w:pPr>
      <w:r>
        <w:rPr>
          <w:rFonts w:ascii="黑体" w:hAnsi="黑体" w:eastAsia="黑体"/>
          <w:sz w:val="32"/>
        </w:rPr>
        <w:t>七、政府性基金预算财政拨款收入支出决算情况说明</w:t>
      </w:r>
    </w:p>
    <w:p w14:paraId="0BE5FC6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DD966C1">
      <w:pPr>
        <w:spacing w:line="640" w:lineRule="exact"/>
        <w:ind w:firstLine="640"/>
        <w:jc w:val="both"/>
        <w:outlineLvl w:val="2"/>
      </w:pPr>
      <w:r>
        <w:rPr>
          <w:rFonts w:ascii="黑体" w:hAnsi="黑体" w:eastAsia="黑体"/>
          <w:sz w:val="32"/>
        </w:rPr>
        <w:t>八、国有资本经营预算财政拨款收入支出决算情况说明</w:t>
      </w:r>
    </w:p>
    <w:p w14:paraId="0EAE5FD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EC5CEB7">
      <w:pPr>
        <w:spacing w:line="640" w:lineRule="exact"/>
        <w:ind w:firstLine="640"/>
        <w:jc w:val="both"/>
        <w:outlineLvl w:val="2"/>
      </w:pPr>
      <w:r>
        <w:rPr>
          <w:rFonts w:ascii="黑体" w:hAnsi="黑体" w:eastAsia="黑体"/>
          <w:sz w:val="32"/>
        </w:rPr>
        <w:t>九、财政拨款“三公”经费支出决算情况说明</w:t>
      </w:r>
    </w:p>
    <w:p w14:paraId="4916DC97">
      <w:pPr>
        <w:spacing w:line="580" w:lineRule="exact"/>
        <w:ind w:firstLine="640"/>
        <w:jc w:val="both"/>
      </w:pPr>
      <w:r>
        <w:rPr>
          <w:rFonts w:ascii="仿宋_GB2312" w:hAnsi="仿宋_GB2312" w:eastAsia="仿宋_GB2312"/>
          <w:b/>
          <w:sz w:val="32"/>
        </w:rPr>
        <w:t>2024年度财政拨款“三公”经费支出23.78万元，</w:t>
      </w:r>
      <w:r>
        <w:rPr>
          <w:rFonts w:ascii="仿宋_GB2312" w:hAnsi="仿宋_GB2312" w:eastAsia="仿宋_GB2312"/>
          <w:b w:val="0"/>
          <w:sz w:val="32"/>
        </w:rPr>
        <w:t>比上年增加11.50万元，增长93.65%，主要原因是：本年新购入公务用车，导致公务用车运行维护费较上年增加。其中：因公出国（境）费支出0.00万元，占0.00%，比上年增加0.00万元，增长0.00%，主要原因是：2023年与2024年均未安排因公出国（境）费支出。公务用车购置及运行维护费支出23.18万元，占97.48%，比上年增加11.53万元，增长98.97%，主要原因是：本年新购入公务用车，导致公务用车运行维护费较上年增加。公务接待费支出0.60万元，占2.52%，比上年减少0.03万元，下降4.76%，主要原因是：严格落实中央八项规定精神，厉行节约，减少公务接待费。</w:t>
      </w:r>
    </w:p>
    <w:p w14:paraId="384B0E81">
      <w:pPr>
        <w:spacing w:line="580" w:lineRule="exact"/>
        <w:ind w:firstLine="640"/>
        <w:jc w:val="both"/>
      </w:pPr>
      <w:r>
        <w:rPr>
          <w:rFonts w:ascii="仿宋_GB2312" w:hAnsi="仿宋_GB2312" w:eastAsia="仿宋_GB2312"/>
          <w:b/>
          <w:sz w:val="32"/>
        </w:rPr>
        <w:t>具体情况如下：</w:t>
      </w:r>
    </w:p>
    <w:p w14:paraId="3E6DA40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564927E">
      <w:pPr>
        <w:spacing w:line="580" w:lineRule="exact"/>
        <w:ind w:firstLine="640"/>
        <w:jc w:val="both"/>
      </w:pPr>
      <w:r>
        <w:rPr>
          <w:rFonts w:ascii="仿宋_GB2312" w:hAnsi="仿宋_GB2312" w:eastAsia="仿宋_GB2312"/>
          <w:b w:val="0"/>
          <w:sz w:val="32"/>
        </w:rPr>
        <w:t>公务用车购置及运行维护费23.18万元，其中：公务用车购置费13.98万元，公务用车运行维护费9.20万元。公务用车运行维护费开支内容包括车辆加油费、维修费、保险费、审车费、过路费等。公务用车购置数1辆，公务用车保有量6辆。国有资产占用情况中固定资产车辆6辆，与公务用车保有量差异原因是：本单位固定资产车辆与公务用车保有量一致无差异。</w:t>
      </w:r>
    </w:p>
    <w:p w14:paraId="058778F1">
      <w:pPr>
        <w:spacing w:line="580" w:lineRule="exact"/>
        <w:ind w:firstLine="640"/>
        <w:jc w:val="both"/>
      </w:pPr>
      <w:r>
        <w:rPr>
          <w:rFonts w:ascii="仿宋_GB2312" w:hAnsi="仿宋_GB2312" w:eastAsia="仿宋_GB2312"/>
          <w:b w:val="0"/>
          <w:sz w:val="32"/>
        </w:rPr>
        <w:t>公务接待费0.60万元，开支内容包括接待其他县市政协组织来我县考察学习产生的就餐费。单位全年安排的国内公务接待8批次，58人次。</w:t>
      </w:r>
    </w:p>
    <w:p w14:paraId="2BF4930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23.78万元，决算数23.78万元，预决算差异率0.00%，主要原因是：严格按照预算执行，预决算无差异。其中：因公出国（境）费全年预算数0.00万元，决算数0.00万元，预决算差异率0.00%，主要原因是：本单位无因公出国（境）费。公务用车购置费全年预算数13.98万元，决算数13.98万元，预决算差异率0.00%，主要原因是：严格按照预算执行，预决算无差异。公务用车运行维护费全年预算数9.20万元，决算数9.20万元，预决算差异率0.00%，主要原因是：严格按照预算执行，预决算无差异。公务接待费全年预算数0.60万元，决算数0.60万元，预决算差异率0.00%，主要原因是：严格按照预算执行，预决算无差异。</w:t>
      </w:r>
    </w:p>
    <w:p w14:paraId="3BABF77B">
      <w:pPr>
        <w:spacing w:line="640" w:lineRule="exact"/>
        <w:ind w:firstLine="640"/>
        <w:jc w:val="both"/>
        <w:outlineLvl w:val="2"/>
      </w:pPr>
      <w:r>
        <w:rPr>
          <w:rFonts w:ascii="黑体" w:hAnsi="黑体" w:eastAsia="黑体"/>
          <w:sz w:val="32"/>
        </w:rPr>
        <w:t>十、其他重要事项的情况说明</w:t>
      </w:r>
    </w:p>
    <w:p w14:paraId="0F575043">
      <w:pPr>
        <w:spacing w:line="640" w:lineRule="exact"/>
        <w:ind w:firstLine="640"/>
        <w:jc w:val="both"/>
        <w:outlineLvl w:val="3"/>
      </w:pPr>
      <w:r>
        <w:rPr>
          <w:rFonts w:ascii="楷体_GB2312" w:hAnsi="楷体_GB2312" w:eastAsia="楷体_GB2312"/>
          <w:b/>
          <w:sz w:val="32"/>
        </w:rPr>
        <w:t>（一）机关运行经费及公用经费支出情况</w:t>
      </w:r>
    </w:p>
    <w:p w14:paraId="12BBEE40">
      <w:pPr>
        <w:spacing w:line="580" w:lineRule="exact"/>
        <w:ind w:firstLine="640"/>
        <w:jc w:val="both"/>
      </w:pPr>
      <w:r>
        <w:rPr>
          <w:rFonts w:ascii="仿宋_GB2312" w:hAnsi="仿宋_GB2312" w:eastAsia="仿宋_GB2312"/>
          <w:b w:val="0"/>
          <w:sz w:val="32"/>
        </w:rPr>
        <w:t>2024年度中国人民政治协商会议新疆维吾尔自治区岳普湖县委员会（行政单位和参照公务员法管理事业单位）机关运行经费支出37.43万元，比上年增加18.01万元，增长92.74%，主要原因是：本年办公费</w:t>
      </w:r>
      <w:r>
        <w:rPr>
          <w:rFonts w:hint="eastAsia" w:ascii="仿宋_GB2312" w:hAnsi="仿宋_GB2312" w:eastAsia="仿宋_GB2312"/>
          <w:b w:val="0"/>
          <w:sz w:val="32"/>
          <w:lang w:eastAsia="zh-CN"/>
        </w:rPr>
        <w:t>、</w:t>
      </w:r>
      <w:r>
        <w:rPr>
          <w:rFonts w:ascii="仿宋_GB2312" w:hAnsi="仿宋_GB2312" w:eastAsia="仿宋_GB2312"/>
          <w:b w:val="0"/>
          <w:sz w:val="32"/>
        </w:rPr>
        <w:t>公务用车购置</w:t>
      </w:r>
      <w:r>
        <w:rPr>
          <w:rFonts w:hint="eastAsia" w:ascii="仿宋_GB2312" w:hAnsi="仿宋_GB2312" w:eastAsia="仿宋_GB2312"/>
          <w:b w:val="0"/>
          <w:sz w:val="32"/>
          <w:lang w:val="en-US" w:eastAsia="zh-CN"/>
        </w:rPr>
        <w:t>费等经费增加</w:t>
      </w:r>
      <w:bookmarkStart w:id="0" w:name="_GoBack"/>
      <w:bookmarkEnd w:id="0"/>
      <w:r>
        <w:rPr>
          <w:rFonts w:ascii="仿宋_GB2312" w:hAnsi="仿宋_GB2312" w:eastAsia="仿宋_GB2312"/>
          <w:b w:val="0"/>
          <w:sz w:val="32"/>
        </w:rPr>
        <w:t>，导致机关运行经费增加。</w:t>
      </w:r>
    </w:p>
    <w:p w14:paraId="3D55CECC">
      <w:pPr>
        <w:spacing w:line="640" w:lineRule="exact"/>
        <w:ind w:firstLine="640"/>
        <w:jc w:val="both"/>
        <w:outlineLvl w:val="3"/>
      </w:pPr>
      <w:r>
        <w:rPr>
          <w:rFonts w:ascii="楷体_GB2312" w:hAnsi="楷体_GB2312" w:eastAsia="楷体_GB2312"/>
          <w:b/>
          <w:sz w:val="32"/>
        </w:rPr>
        <w:t>（二）政府采购情况</w:t>
      </w:r>
    </w:p>
    <w:p w14:paraId="4191C9AD">
      <w:pPr>
        <w:spacing w:line="580" w:lineRule="exact"/>
        <w:ind w:firstLine="640"/>
        <w:jc w:val="both"/>
      </w:pPr>
      <w:r>
        <w:rPr>
          <w:rFonts w:ascii="仿宋_GB2312" w:hAnsi="仿宋_GB2312" w:eastAsia="仿宋_GB2312"/>
          <w:b w:val="0"/>
          <w:sz w:val="32"/>
        </w:rPr>
        <w:t>2024年度政府采购支出总额19.33万元，其中：政府采购货物支出15.11万元、政府采购工程支出0.00万元、政府采购服务支出4.23万元。</w:t>
      </w:r>
    </w:p>
    <w:p w14:paraId="6C4C4704">
      <w:pPr>
        <w:spacing w:line="580" w:lineRule="exact"/>
        <w:ind w:firstLine="640"/>
        <w:jc w:val="both"/>
      </w:pPr>
      <w:r>
        <w:rPr>
          <w:rFonts w:ascii="仿宋_GB2312" w:hAnsi="仿宋_GB2312" w:eastAsia="仿宋_GB2312"/>
          <w:b w:val="0"/>
          <w:sz w:val="32"/>
        </w:rPr>
        <w:t>授予中小企业合同金额19.33万元，占政府采购支出总额的100.00%，其中：授予小微企业合同金额19.21万元，占政府采购支出总额的99.38%。</w:t>
      </w:r>
    </w:p>
    <w:p w14:paraId="72489DF0">
      <w:pPr>
        <w:spacing w:line="640" w:lineRule="exact"/>
        <w:ind w:firstLine="640"/>
        <w:jc w:val="both"/>
        <w:outlineLvl w:val="3"/>
      </w:pPr>
      <w:r>
        <w:rPr>
          <w:rFonts w:ascii="楷体_GB2312" w:hAnsi="楷体_GB2312" w:eastAsia="楷体_GB2312"/>
          <w:b/>
          <w:sz w:val="32"/>
        </w:rPr>
        <w:t>（三）国有资产占用情况说明</w:t>
      </w:r>
    </w:p>
    <w:p w14:paraId="57006233">
      <w:pPr>
        <w:spacing w:line="580" w:lineRule="exact"/>
        <w:ind w:firstLine="640"/>
        <w:jc w:val="both"/>
      </w:pPr>
      <w:r>
        <w:rPr>
          <w:rFonts w:ascii="仿宋_GB2312" w:hAnsi="仿宋_GB2312" w:eastAsia="仿宋_GB2312"/>
          <w:b w:val="0"/>
          <w:sz w:val="32"/>
        </w:rPr>
        <w:t>截至2024年12月31日，房屋0.00平方米，价值0.00万元。车辆6辆，价值80.00万元，其中：副部（省）级及以上领导用车0辆、主要负责人用车0辆、机要通信用车0辆、应急保障用车0辆、执法执勤用车0辆、特种专业技术用车0辆、离退休干部服务用车0辆、其他用车6辆，其他用车主要是：一般公务用车。单价100万元（含）以上设备（不含车辆）0台（套）。</w:t>
      </w:r>
    </w:p>
    <w:p w14:paraId="0E03C5DF">
      <w:pPr>
        <w:spacing w:line="640" w:lineRule="exact"/>
        <w:ind w:firstLine="640"/>
        <w:jc w:val="both"/>
        <w:outlineLvl w:val="2"/>
      </w:pPr>
      <w:r>
        <w:rPr>
          <w:rFonts w:ascii="黑体" w:hAnsi="黑体" w:eastAsia="黑体"/>
          <w:sz w:val="32"/>
        </w:rPr>
        <w:t>十一、预算绩效的情况说明</w:t>
      </w:r>
    </w:p>
    <w:p w14:paraId="2DB1C17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457.01万元，实际执行总额457.01万元；预算绩效评价项目1个，全年预算数5.00万元，全年执行数5.00万元。预算绩效管理取得的成效：预算绩效管理格局初步形成。将本级预算收支全部纳入预算绩效管理，提高财政资源配置效益和可持续性。在逐步深化项目绩效管理的基础上，不断提升管理层级，加快推动预算绩效管理。积极探索开展部门整体绩效目标编报；积极发挥考核“指挥棒”作用，把部门绩效管理工作纳入年底工作考核。发现的问题及原因：一是绩效管理经验不足，预算绩效管理工作有待进一步落实；二是绩效指标的明确性、可衡量性、相关性还需进一步提升。下一步改进措施：一是加大绩效工作宣传力度，强化绩效理念。二是完善绩效指标，依据对部门工作任务的分解形成工作活动层面的绩效目标，提高整体绩效目标质量。具体附整体支出绩效自评表，项目支出绩效自评表和评价报告。</w:t>
      </w:r>
    </w:p>
    <w:p w14:paraId="6C82A2E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11E1DFF">
        <w:tblPrEx>
          <w:tblCellMar>
            <w:top w:w="0" w:type="dxa"/>
            <w:left w:w="108" w:type="dxa"/>
            <w:bottom w:w="0" w:type="dxa"/>
            <w:right w:w="108" w:type="dxa"/>
          </w:tblCellMar>
        </w:tblPrEx>
        <w:tc>
          <w:tcPr>
            <w:tcW w:w="8847" w:type="dxa"/>
            <w:gridSpan w:val="9"/>
            <w:vAlign w:val="center"/>
          </w:tcPr>
          <w:p w14:paraId="16272C88">
            <w:pPr>
              <w:jc w:val="center"/>
            </w:pPr>
            <w:r>
              <w:rPr>
                <w:rFonts w:ascii="宋体" w:hAnsi="宋体" w:eastAsia="宋体"/>
                <w:sz w:val="24"/>
              </w:rPr>
              <w:t>单位整体支出绩效自评表</w:t>
            </w:r>
          </w:p>
        </w:tc>
      </w:tr>
      <w:tr w14:paraId="67086EBD">
        <w:tblPrEx>
          <w:tblCellMar>
            <w:top w:w="0" w:type="dxa"/>
            <w:left w:w="108" w:type="dxa"/>
            <w:bottom w:w="0" w:type="dxa"/>
            <w:right w:w="108" w:type="dxa"/>
          </w:tblCellMar>
        </w:tblPrEx>
        <w:tc>
          <w:tcPr>
            <w:tcW w:w="8847" w:type="dxa"/>
            <w:gridSpan w:val="9"/>
            <w:vAlign w:val="center"/>
          </w:tcPr>
          <w:p w14:paraId="7D4EB892">
            <w:pPr>
              <w:jc w:val="center"/>
            </w:pPr>
            <w:r>
              <w:rPr>
                <w:rFonts w:ascii="宋体" w:hAnsi="宋体" w:eastAsia="宋体"/>
                <w:sz w:val="24"/>
              </w:rPr>
              <w:t>（2024年度）</w:t>
            </w:r>
          </w:p>
        </w:tc>
      </w:tr>
      <w:tr w14:paraId="61FFB7C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8B46E">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8D9F624">
            <w:pPr>
              <w:jc w:val="center"/>
            </w:pPr>
            <w:r>
              <w:rPr>
                <w:rFonts w:ascii="宋体" w:hAnsi="宋体" w:eastAsia="宋体"/>
                <w:sz w:val="16"/>
              </w:rPr>
              <w:t>中国人民政治协商会议新疆维吾尔自治区岳普湖县委员会</w:t>
            </w:r>
          </w:p>
        </w:tc>
      </w:tr>
      <w:tr w14:paraId="14C373E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308D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B52E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D768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079A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DBF2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319E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E612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AFE65">
            <w:pPr>
              <w:jc w:val="center"/>
            </w:pPr>
            <w:r>
              <w:rPr>
                <w:rFonts w:ascii="宋体" w:hAnsi="宋体" w:eastAsia="宋体"/>
                <w:sz w:val="16"/>
              </w:rPr>
              <w:t>得分</w:t>
            </w:r>
          </w:p>
        </w:tc>
      </w:tr>
      <w:tr w14:paraId="19BE4B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8FBF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CBE7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75030">
            <w:pPr>
              <w:jc w:val="center"/>
            </w:pPr>
            <w:r>
              <w:rPr>
                <w:rFonts w:ascii="宋体" w:hAnsi="宋体" w:eastAsia="宋体"/>
                <w:sz w:val="16"/>
              </w:rPr>
              <w:t>433.96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F30FA">
            <w:pPr>
              <w:jc w:val="center"/>
            </w:pPr>
            <w:r>
              <w:rPr>
                <w:rFonts w:ascii="宋体" w:hAnsi="宋体" w:eastAsia="宋体"/>
                <w:sz w:val="16"/>
              </w:rPr>
              <w:t>457.01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0C1FC">
            <w:pPr>
              <w:jc w:val="center"/>
            </w:pPr>
            <w:r>
              <w:rPr>
                <w:rFonts w:ascii="宋体" w:hAnsi="宋体" w:eastAsia="宋体"/>
                <w:sz w:val="16"/>
              </w:rPr>
              <w:t>457.01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FA5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94825">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830CD">
            <w:pPr>
              <w:jc w:val="center"/>
            </w:pPr>
            <w:r>
              <w:rPr>
                <w:rFonts w:ascii="宋体" w:hAnsi="宋体" w:eastAsia="宋体"/>
                <w:sz w:val="16"/>
              </w:rPr>
              <w:t>10</w:t>
            </w:r>
          </w:p>
        </w:tc>
      </w:tr>
      <w:tr w14:paraId="424DC7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54EE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B2CE4">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324BD">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CC11A">
            <w:pPr>
              <w:jc w:val="center"/>
            </w:pPr>
            <w:r>
              <w:rPr>
                <w:rFonts w:ascii="宋体" w:hAnsi="宋体" w:eastAsia="宋体"/>
                <w:sz w:val="16"/>
              </w:rPr>
              <w:t>11.82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80A69">
            <w:pPr>
              <w:jc w:val="center"/>
            </w:pPr>
            <w:r>
              <w:rPr>
                <w:rFonts w:ascii="宋体" w:hAnsi="宋体" w:eastAsia="宋体"/>
                <w:sz w:val="16"/>
              </w:rPr>
              <w:t>11.82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610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4FA6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2AB59">
            <w:pPr>
              <w:jc w:val="center"/>
            </w:pPr>
            <w:r>
              <w:rPr>
                <w:rFonts w:ascii="宋体" w:hAnsi="宋体" w:eastAsia="宋体"/>
                <w:sz w:val="16"/>
              </w:rPr>
              <w:t>—</w:t>
            </w:r>
          </w:p>
        </w:tc>
      </w:tr>
      <w:tr w14:paraId="7344E3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4F40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F616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F2DC6">
            <w:pPr>
              <w:jc w:val="center"/>
            </w:pPr>
            <w:r>
              <w:rPr>
                <w:rFonts w:ascii="宋体" w:hAnsi="宋体" w:eastAsia="宋体"/>
                <w:sz w:val="16"/>
              </w:rPr>
              <w:t>428.96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5B256">
            <w:pPr>
              <w:jc w:val="center"/>
            </w:pPr>
            <w:r>
              <w:rPr>
                <w:rFonts w:ascii="宋体" w:hAnsi="宋体" w:eastAsia="宋体"/>
                <w:sz w:val="16"/>
              </w:rPr>
              <w:t>445.19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D318E">
            <w:pPr>
              <w:jc w:val="center"/>
            </w:pPr>
            <w:r>
              <w:rPr>
                <w:rFonts w:ascii="宋体" w:hAnsi="宋体" w:eastAsia="宋体"/>
                <w:sz w:val="16"/>
              </w:rPr>
              <w:t>445.19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93BC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F15E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42771">
            <w:pPr>
              <w:jc w:val="center"/>
            </w:pPr>
            <w:r>
              <w:rPr>
                <w:rFonts w:ascii="宋体" w:hAnsi="宋体" w:eastAsia="宋体"/>
                <w:sz w:val="16"/>
              </w:rPr>
              <w:t>—</w:t>
            </w:r>
          </w:p>
        </w:tc>
      </w:tr>
      <w:tr w14:paraId="5FD877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B4BD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73B7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738E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2D9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20E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CD8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84CC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99F1E">
            <w:pPr>
              <w:jc w:val="center"/>
            </w:pPr>
            <w:r>
              <w:rPr>
                <w:rFonts w:ascii="宋体" w:hAnsi="宋体" w:eastAsia="宋体"/>
                <w:sz w:val="16"/>
              </w:rPr>
              <w:t>—</w:t>
            </w:r>
          </w:p>
        </w:tc>
      </w:tr>
      <w:tr w14:paraId="581B465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8975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632A0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702652">
            <w:pPr>
              <w:jc w:val="center"/>
            </w:pPr>
            <w:r>
              <w:rPr>
                <w:rFonts w:ascii="宋体" w:hAnsi="宋体" w:eastAsia="宋体"/>
                <w:sz w:val="16"/>
              </w:rPr>
              <w:t>实际完成情况</w:t>
            </w:r>
          </w:p>
        </w:tc>
      </w:tr>
      <w:tr w14:paraId="599347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2CD79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2CDFD1">
            <w:pPr>
              <w:jc w:val="both"/>
            </w:pPr>
            <w:r>
              <w:rPr>
                <w:rFonts w:ascii="宋体" w:hAnsi="宋体" w:eastAsia="宋体"/>
                <w:sz w:val="16"/>
              </w:rPr>
              <w:t>保障1次全体会议、1次专题议政性常委会会议正常进行。提升委员参政议政的意识。积极开展调研视察活动，营造良好的党风、政风和社会风气。</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A2B728">
            <w:pPr>
              <w:jc w:val="both"/>
            </w:pPr>
            <w:r>
              <w:rPr>
                <w:rFonts w:ascii="宋体" w:hAnsi="宋体" w:eastAsia="宋体"/>
                <w:sz w:val="16"/>
              </w:rPr>
              <w:t>组织并完成1次全体会议以及1次专题议政性常委会会议。充分发挥单位的履职效能，极大地提升委员们参政议政的意识和积极性。积极地开展多次调研视察活动，有助于我们深入了解实际情况，还有效地促进了良好的党风、政风和社会风气的形成。</w:t>
            </w:r>
          </w:p>
        </w:tc>
      </w:tr>
      <w:tr w14:paraId="05C129C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9536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2901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3EC5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3BC3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3734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A0E0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EDB0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8C7A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55B53">
            <w:pPr>
              <w:jc w:val="center"/>
            </w:pPr>
            <w:r>
              <w:rPr>
                <w:rFonts w:ascii="宋体" w:hAnsi="宋体" w:eastAsia="宋体"/>
                <w:sz w:val="16"/>
              </w:rPr>
              <w:t>得分</w:t>
            </w:r>
          </w:p>
        </w:tc>
      </w:tr>
      <w:tr w14:paraId="5E6B230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89FE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3EE6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5A97F">
            <w:pPr>
              <w:jc w:val="center"/>
            </w:pPr>
            <w:r>
              <w:rPr>
                <w:rFonts w:ascii="宋体" w:hAnsi="宋体" w:eastAsia="宋体"/>
                <w:sz w:val="16"/>
              </w:rPr>
              <w:t>召开全体会议次数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0EE10">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5643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33F2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EDFB8">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A91C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32CCB">
            <w:pPr>
              <w:jc w:val="center"/>
            </w:pPr>
            <w:r>
              <w:rPr>
                <w:rFonts w:ascii="宋体" w:hAnsi="宋体" w:eastAsia="宋体"/>
                <w:sz w:val="16"/>
              </w:rPr>
              <w:t>18</w:t>
            </w:r>
          </w:p>
        </w:tc>
      </w:tr>
      <w:tr w14:paraId="54CC14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957E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496E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FFE04">
            <w:pPr>
              <w:jc w:val="center"/>
            </w:pPr>
            <w:r>
              <w:rPr>
                <w:rFonts w:ascii="宋体" w:hAnsi="宋体" w:eastAsia="宋体"/>
                <w:sz w:val="16"/>
              </w:rPr>
              <w:t>召开专题议政性</w:t>
            </w:r>
            <w:r>
              <w:rPr>
                <w:rFonts w:hint="eastAsia" w:ascii="宋体" w:hAnsi="宋体"/>
                <w:sz w:val="16"/>
                <w:lang w:eastAsia="zh-CN"/>
              </w:rPr>
              <w:t>常委会会议</w:t>
            </w:r>
            <w:r>
              <w:rPr>
                <w:rFonts w:ascii="宋体" w:hAnsi="宋体" w:eastAsia="宋体"/>
                <w:sz w:val="16"/>
              </w:rPr>
              <w:t>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1FDC8">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6720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769B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D9266">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51B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0F0F4">
            <w:pPr>
              <w:jc w:val="center"/>
            </w:pPr>
            <w:r>
              <w:rPr>
                <w:rFonts w:ascii="宋体" w:hAnsi="宋体" w:eastAsia="宋体"/>
                <w:sz w:val="16"/>
              </w:rPr>
              <w:t>18</w:t>
            </w:r>
          </w:p>
        </w:tc>
      </w:tr>
      <w:tr w14:paraId="11AF4C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78D1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A488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ADE01">
            <w:pPr>
              <w:jc w:val="center"/>
            </w:pPr>
            <w:r>
              <w:rPr>
                <w:rFonts w:ascii="宋体" w:hAnsi="宋体" w:eastAsia="宋体"/>
                <w:sz w:val="16"/>
              </w:rPr>
              <w:t>民主监督委员参与度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89A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B00A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5FE3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E7E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6E5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D76F0">
            <w:pPr>
              <w:jc w:val="center"/>
            </w:pPr>
            <w:r>
              <w:rPr>
                <w:rFonts w:ascii="宋体" w:hAnsi="宋体" w:eastAsia="宋体"/>
                <w:sz w:val="16"/>
              </w:rPr>
              <w:t>18</w:t>
            </w:r>
          </w:p>
        </w:tc>
      </w:tr>
      <w:tr w14:paraId="1B667A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36D5B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9E68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63437">
            <w:pPr>
              <w:jc w:val="center"/>
            </w:pPr>
            <w:r>
              <w:rPr>
                <w:rFonts w:ascii="宋体" w:hAnsi="宋体" w:eastAsia="宋体"/>
                <w:sz w:val="16"/>
              </w:rPr>
              <w:t>政协会议按期完成及时率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59A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710B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C3AD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2B4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AEF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BFAC9">
            <w:pPr>
              <w:jc w:val="center"/>
            </w:pPr>
            <w:r>
              <w:rPr>
                <w:rFonts w:ascii="宋体" w:hAnsi="宋体" w:eastAsia="宋体"/>
                <w:sz w:val="16"/>
              </w:rPr>
              <w:t>18</w:t>
            </w:r>
          </w:p>
        </w:tc>
      </w:tr>
      <w:tr w14:paraId="47C387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BEC3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706B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60F63">
            <w:pPr>
              <w:jc w:val="center"/>
            </w:pPr>
            <w:r>
              <w:rPr>
                <w:rFonts w:ascii="宋体" w:hAnsi="宋体" w:eastAsia="宋体"/>
                <w:sz w:val="16"/>
              </w:rPr>
              <w:t>调研视察活动完成及时率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25C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3ACF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4D30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675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A7C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4C1F0">
            <w:pPr>
              <w:jc w:val="center"/>
            </w:pPr>
            <w:r>
              <w:rPr>
                <w:rFonts w:ascii="宋体" w:hAnsi="宋体" w:eastAsia="宋体"/>
                <w:sz w:val="16"/>
              </w:rPr>
              <w:t>18</w:t>
            </w:r>
          </w:p>
        </w:tc>
      </w:tr>
    </w:tbl>
    <w:p w14:paraId="6E0CFC6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AE14541">
        <w:tblPrEx>
          <w:tblCellMar>
            <w:top w:w="0" w:type="dxa"/>
            <w:left w:w="108" w:type="dxa"/>
            <w:bottom w:w="0" w:type="dxa"/>
            <w:right w:w="108" w:type="dxa"/>
          </w:tblCellMar>
        </w:tblPrEx>
        <w:tc>
          <w:tcPr>
            <w:tcW w:w="8848" w:type="dxa"/>
            <w:gridSpan w:val="14"/>
            <w:vAlign w:val="center"/>
          </w:tcPr>
          <w:p w14:paraId="47D844A9">
            <w:pPr>
              <w:jc w:val="center"/>
            </w:pPr>
            <w:r>
              <w:rPr>
                <w:rFonts w:ascii="宋体" w:hAnsi="宋体" w:eastAsia="宋体"/>
                <w:sz w:val="24"/>
              </w:rPr>
              <w:t>项目支出绩效自评表</w:t>
            </w:r>
          </w:p>
        </w:tc>
      </w:tr>
      <w:tr w14:paraId="1644BCE0">
        <w:tblPrEx>
          <w:tblCellMar>
            <w:top w:w="0" w:type="dxa"/>
            <w:left w:w="108" w:type="dxa"/>
            <w:bottom w:w="0" w:type="dxa"/>
            <w:right w:w="108" w:type="dxa"/>
          </w:tblCellMar>
        </w:tblPrEx>
        <w:tc>
          <w:tcPr>
            <w:tcW w:w="8848" w:type="dxa"/>
            <w:gridSpan w:val="14"/>
            <w:vAlign w:val="center"/>
          </w:tcPr>
          <w:p w14:paraId="48D20E1B">
            <w:pPr>
              <w:jc w:val="center"/>
            </w:pPr>
            <w:r>
              <w:rPr>
                <w:rFonts w:ascii="宋体" w:hAnsi="宋体" w:eastAsia="宋体"/>
                <w:sz w:val="24"/>
              </w:rPr>
              <w:t>(2024年度)</w:t>
            </w:r>
          </w:p>
        </w:tc>
      </w:tr>
      <w:tr w14:paraId="1638E7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DEA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D5DA3B">
            <w:pPr>
              <w:jc w:val="center"/>
            </w:pPr>
            <w:r>
              <w:rPr>
                <w:rFonts w:ascii="宋体" w:hAnsi="宋体" w:eastAsia="宋体"/>
                <w:sz w:val="16"/>
              </w:rPr>
              <w:t>2024年度基层政协补助经费项目</w:t>
            </w:r>
          </w:p>
        </w:tc>
      </w:tr>
      <w:tr w14:paraId="595BC5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D07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8FA094">
            <w:pPr>
              <w:jc w:val="center"/>
            </w:pPr>
            <w:r>
              <w:rPr>
                <w:rFonts w:ascii="宋体" w:hAnsi="宋体" w:eastAsia="宋体"/>
                <w:sz w:val="16"/>
              </w:rPr>
              <w:t>中国人民政治协商会议新疆维吾尔自治区岳普湖县委员会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B0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DCDF4A">
            <w:pPr>
              <w:jc w:val="center"/>
            </w:pPr>
            <w:r>
              <w:rPr>
                <w:rFonts w:ascii="宋体" w:hAnsi="宋体" w:eastAsia="宋体"/>
                <w:sz w:val="16"/>
              </w:rPr>
              <w:t>中国人民政治协商会议新疆维吾尔自治区岳普湖县委员会</w:t>
            </w:r>
          </w:p>
        </w:tc>
      </w:tr>
      <w:tr w14:paraId="2CFF07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D837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FCA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864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9FA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22FE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CF6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853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36ED">
            <w:pPr>
              <w:jc w:val="center"/>
            </w:pPr>
            <w:r>
              <w:rPr>
                <w:rFonts w:ascii="宋体" w:hAnsi="宋体" w:eastAsia="宋体"/>
                <w:sz w:val="16"/>
              </w:rPr>
              <w:t>得分</w:t>
            </w:r>
          </w:p>
        </w:tc>
      </w:tr>
      <w:tr w14:paraId="3D586F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B9D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E9F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9458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F8A7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B89E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41A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1BC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B6F6B">
            <w:pPr>
              <w:jc w:val="center"/>
            </w:pPr>
            <w:r>
              <w:rPr>
                <w:rFonts w:ascii="宋体" w:hAnsi="宋体" w:eastAsia="宋体"/>
                <w:sz w:val="16"/>
              </w:rPr>
              <w:t>10.00分</w:t>
            </w:r>
          </w:p>
        </w:tc>
      </w:tr>
      <w:tr w14:paraId="5BC65B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E50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52B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5867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B88B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15BD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2D5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D28D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675A1">
            <w:pPr>
              <w:jc w:val="center"/>
            </w:pPr>
            <w:r>
              <w:rPr>
                <w:rFonts w:ascii="宋体" w:hAnsi="宋体" w:eastAsia="宋体"/>
                <w:sz w:val="16"/>
              </w:rPr>
              <w:t>—</w:t>
            </w:r>
          </w:p>
        </w:tc>
      </w:tr>
      <w:tr w14:paraId="739647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929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0C5E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E5B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584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212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BE0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26A1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7081">
            <w:pPr>
              <w:jc w:val="center"/>
            </w:pPr>
            <w:r>
              <w:rPr>
                <w:rFonts w:ascii="宋体" w:hAnsi="宋体" w:eastAsia="宋体"/>
                <w:sz w:val="16"/>
              </w:rPr>
              <w:t>—</w:t>
            </w:r>
          </w:p>
        </w:tc>
      </w:tr>
      <w:tr w14:paraId="2A21F5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9D10B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8EC8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952233">
            <w:pPr>
              <w:jc w:val="center"/>
            </w:pPr>
            <w:r>
              <w:rPr>
                <w:rFonts w:ascii="宋体" w:hAnsi="宋体" w:eastAsia="宋体"/>
                <w:sz w:val="16"/>
              </w:rPr>
              <w:t>实际完成情况</w:t>
            </w:r>
          </w:p>
        </w:tc>
      </w:tr>
      <w:tr w14:paraId="3EE9F3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7E34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909EDA">
            <w:pPr>
              <w:jc w:val="both"/>
            </w:pPr>
            <w:r>
              <w:rPr>
                <w:rFonts w:ascii="宋体" w:hAnsi="宋体" w:eastAsia="宋体"/>
                <w:sz w:val="16"/>
              </w:rPr>
              <w:t>补充1个基层政协经费不足，保障基层政协正常运转。开展3次视察培训活动。加强基层政协工作，提升委员履职能力建设。提升社会服务能力。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2E43CC">
            <w:pPr>
              <w:jc w:val="both"/>
            </w:pPr>
            <w:r>
              <w:rPr>
                <w:rFonts w:ascii="宋体" w:hAnsi="宋体" w:eastAsia="宋体"/>
                <w:sz w:val="16"/>
              </w:rPr>
              <w:t>现阶段已完成1个基层政协经费的补充，有效保障基层政协正常运转。已开展3次视察培训活动。预算执行率为100%。项目的实施加强基层政协工作，提升委员履职能力建设。提升社会服务能力。基层政协满意度为100%。</w:t>
            </w:r>
          </w:p>
        </w:tc>
      </w:tr>
      <w:tr w14:paraId="2EA20A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70AA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58D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203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C3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C3F7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56A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38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9AF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FD20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B8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0F2D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985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BD1B9">
            <w:pPr>
              <w:jc w:val="center"/>
            </w:pPr>
            <w:r>
              <w:rPr>
                <w:rFonts w:ascii="宋体" w:hAnsi="宋体" w:eastAsia="宋体"/>
                <w:sz w:val="16"/>
              </w:rPr>
              <w:t>偏差原因分析及改进措施</w:t>
            </w:r>
          </w:p>
        </w:tc>
      </w:tr>
      <w:tr w14:paraId="2E64F6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021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6FAA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6DF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C972">
            <w:pPr>
              <w:jc w:val="center"/>
            </w:pPr>
            <w:r>
              <w:rPr>
                <w:rFonts w:ascii="宋体" w:hAnsi="宋体" w:eastAsia="宋体"/>
                <w:sz w:val="16"/>
              </w:rPr>
              <w:t>基层政协数量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F08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14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3D54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FD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88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77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925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44D6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474B0">
            <w:pPr>
              <w:jc w:val="center"/>
            </w:pPr>
          </w:p>
        </w:tc>
      </w:tr>
      <w:tr w14:paraId="63547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806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2AE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D9F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BD15">
            <w:pPr>
              <w:jc w:val="center"/>
            </w:pPr>
            <w:r>
              <w:rPr>
                <w:rFonts w:ascii="宋体" w:hAnsi="宋体" w:eastAsia="宋体"/>
                <w:sz w:val="16"/>
              </w:rPr>
              <w:t>开展视察培训活动次数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4003">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59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061A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0C4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FC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DEC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6764">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1DB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B9DBF">
            <w:pPr>
              <w:jc w:val="center"/>
            </w:pPr>
          </w:p>
        </w:tc>
      </w:tr>
      <w:tr w14:paraId="3F621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439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C3B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A07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55D52">
            <w:pPr>
              <w:jc w:val="center"/>
            </w:pPr>
            <w:r>
              <w:rPr>
                <w:rFonts w:ascii="宋体" w:hAnsi="宋体" w:eastAsia="宋体"/>
                <w:sz w:val="16"/>
              </w:rPr>
              <w:t>补充基层政协经费覆盖率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681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2F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5A7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350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1C0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1E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D6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5F2A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87612">
            <w:pPr>
              <w:jc w:val="center"/>
            </w:pPr>
          </w:p>
        </w:tc>
      </w:tr>
      <w:tr w14:paraId="76E9B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786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370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730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CE7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8D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7FA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DA4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256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0C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F37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11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FE3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18967">
            <w:pPr>
              <w:jc w:val="center"/>
            </w:pPr>
          </w:p>
        </w:tc>
      </w:tr>
      <w:tr w14:paraId="0346B4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E1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0F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506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3F6D">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20DC">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9A0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8D6C">
            <w:pPr>
              <w:jc w:val="center"/>
            </w:pPr>
            <w:r>
              <w:rPr>
                <w:rFonts w:ascii="宋体" w:hAnsi="宋体" w:eastAsia="宋体"/>
                <w:sz w:val="16"/>
              </w:rPr>
              <w:t>2023年7月10日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9D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AF8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F27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556D">
            <w:pPr>
              <w:jc w:val="center"/>
            </w:pPr>
            <w:r>
              <w:rPr>
                <w:rFonts w:ascii="宋体" w:hAnsi="宋体" w:eastAsia="宋体"/>
                <w:sz w:val="16"/>
              </w:rPr>
              <w:t>=2024年11月27日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47CB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86C99">
            <w:pPr>
              <w:jc w:val="center"/>
            </w:pPr>
          </w:p>
        </w:tc>
      </w:tr>
      <w:tr w14:paraId="50EAC2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B50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F11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99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66D4">
            <w:pPr>
              <w:jc w:val="center"/>
            </w:pPr>
            <w:r>
              <w:rPr>
                <w:rFonts w:ascii="宋体" w:hAnsi="宋体" w:eastAsia="宋体"/>
                <w:sz w:val="16"/>
              </w:rPr>
              <w:t>基层政协经费支出预算控制数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17ED">
            <w:pPr>
              <w:jc w:val="center"/>
            </w:pPr>
            <w:r>
              <w:rPr>
                <w:rFonts w:ascii="宋体" w:hAnsi="宋体" w:eastAsia="宋体"/>
                <w:sz w:val="16"/>
              </w:rPr>
              <w:t>&lt;=5万元/个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718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8C6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9E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79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AD6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B5ECB">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2B9F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1A72C">
            <w:pPr>
              <w:jc w:val="center"/>
            </w:pPr>
          </w:p>
        </w:tc>
      </w:tr>
      <w:tr w14:paraId="4703A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E30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59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D7F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46ED">
            <w:pPr>
              <w:jc w:val="center"/>
            </w:pPr>
            <w:r>
              <w:rPr>
                <w:rFonts w:ascii="宋体" w:hAnsi="宋体" w:eastAsia="宋体"/>
                <w:sz w:val="16"/>
              </w:rPr>
              <w:t>补充基层政协经费不足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62EE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629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35D3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8E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DA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428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E54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998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50BA9">
            <w:pPr>
              <w:jc w:val="center"/>
            </w:pPr>
          </w:p>
        </w:tc>
      </w:tr>
      <w:tr w14:paraId="7D67AF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EA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6F6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EC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5757">
            <w:pPr>
              <w:jc w:val="center"/>
            </w:pPr>
            <w:r>
              <w:rPr>
                <w:rFonts w:ascii="宋体" w:hAnsi="宋体" w:eastAsia="宋体"/>
                <w:sz w:val="16"/>
              </w:rPr>
              <w:t>基层政协满意度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946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49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90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F0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972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1C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F7C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4C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B1E59">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3B2F10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2290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860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0A4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6779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0208040"/>
        </w:tc>
      </w:tr>
    </w:tbl>
    <w:p w14:paraId="35BA3955">
      <w:r>
        <w:br w:type="page"/>
      </w:r>
    </w:p>
    <w:p w14:paraId="33D4E9E3">
      <w:pPr>
        <w:spacing w:line="640" w:lineRule="exact"/>
        <w:ind w:firstLine="640"/>
        <w:jc w:val="both"/>
        <w:outlineLvl w:val="2"/>
      </w:pPr>
      <w:r>
        <w:rPr>
          <w:rFonts w:ascii="黑体" w:hAnsi="黑体" w:eastAsia="黑体"/>
          <w:sz w:val="32"/>
        </w:rPr>
        <w:t>十二、其他需说明的事项</w:t>
      </w:r>
    </w:p>
    <w:p w14:paraId="71F2560F">
      <w:pPr>
        <w:spacing w:line="580" w:lineRule="exact"/>
        <w:ind w:firstLine="640"/>
        <w:jc w:val="both"/>
      </w:pPr>
      <w:r>
        <w:rPr>
          <w:rFonts w:ascii="仿宋_GB2312" w:hAnsi="仿宋_GB2312" w:eastAsia="仿宋_GB2312"/>
          <w:b w:val="0"/>
          <w:sz w:val="32"/>
        </w:rPr>
        <w:t>本单位无其他需说明的事项。</w:t>
      </w:r>
    </w:p>
    <w:p w14:paraId="13EE0CE5">
      <w:r>
        <w:br w:type="page"/>
      </w:r>
    </w:p>
    <w:p w14:paraId="6F17CDF6">
      <w:pPr>
        <w:spacing w:line="240" w:lineRule="auto"/>
        <w:jc w:val="center"/>
        <w:outlineLvl w:val="1"/>
      </w:pPr>
      <w:r>
        <w:rPr>
          <w:rFonts w:ascii="黑体" w:hAnsi="黑体" w:eastAsia="黑体"/>
          <w:sz w:val="32"/>
        </w:rPr>
        <w:t>第三部分 专业名词解释</w:t>
      </w:r>
    </w:p>
    <w:p w14:paraId="4268BA6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78A51F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89B56E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AFE6BE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FE3B72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50C565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049EB2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FBC40D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F66B20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F4B307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9DADF8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01F8DF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6F1F1C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79CE6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0EF4D23">
      <w:r>
        <w:br w:type="page"/>
      </w:r>
    </w:p>
    <w:p w14:paraId="600F4448">
      <w:pPr>
        <w:spacing w:line="240" w:lineRule="auto"/>
        <w:jc w:val="center"/>
        <w:outlineLvl w:val="1"/>
      </w:pPr>
      <w:r>
        <w:rPr>
          <w:rFonts w:ascii="黑体" w:hAnsi="黑体" w:eastAsia="黑体"/>
          <w:sz w:val="32"/>
        </w:rPr>
        <w:t>第四部分 部门决算报表（见附表）</w:t>
      </w:r>
    </w:p>
    <w:p w14:paraId="5A9D737D">
      <w:pPr>
        <w:spacing w:line="240" w:lineRule="auto"/>
        <w:ind w:firstLine="640"/>
        <w:jc w:val="both"/>
      </w:pPr>
      <w:r>
        <w:rPr>
          <w:rFonts w:ascii="仿宋_GB2312" w:hAnsi="仿宋_GB2312" w:eastAsia="仿宋_GB2312"/>
          <w:b w:val="0"/>
          <w:sz w:val="32"/>
        </w:rPr>
        <w:t>一、《收入支出决算总表》</w:t>
      </w:r>
    </w:p>
    <w:p w14:paraId="2CB11FC7">
      <w:pPr>
        <w:spacing w:line="240" w:lineRule="auto"/>
        <w:ind w:firstLine="640"/>
        <w:jc w:val="both"/>
      </w:pPr>
      <w:r>
        <w:rPr>
          <w:rFonts w:ascii="仿宋_GB2312" w:hAnsi="仿宋_GB2312" w:eastAsia="仿宋_GB2312"/>
          <w:b w:val="0"/>
          <w:sz w:val="32"/>
        </w:rPr>
        <w:t>二、《收入决算表》</w:t>
      </w:r>
    </w:p>
    <w:p w14:paraId="1980BA28">
      <w:pPr>
        <w:spacing w:line="240" w:lineRule="auto"/>
        <w:ind w:firstLine="640"/>
        <w:jc w:val="both"/>
      </w:pPr>
      <w:r>
        <w:rPr>
          <w:rFonts w:ascii="仿宋_GB2312" w:hAnsi="仿宋_GB2312" w:eastAsia="仿宋_GB2312"/>
          <w:b w:val="0"/>
          <w:sz w:val="32"/>
        </w:rPr>
        <w:t>三、《支出决算表》</w:t>
      </w:r>
    </w:p>
    <w:p w14:paraId="2614B4E1">
      <w:pPr>
        <w:spacing w:line="240" w:lineRule="auto"/>
        <w:ind w:firstLine="640"/>
        <w:jc w:val="both"/>
      </w:pPr>
      <w:r>
        <w:rPr>
          <w:rFonts w:ascii="仿宋_GB2312" w:hAnsi="仿宋_GB2312" w:eastAsia="仿宋_GB2312"/>
          <w:b w:val="0"/>
          <w:sz w:val="32"/>
        </w:rPr>
        <w:t>四、《财政拨款收入支出决算总表》</w:t>
      </w:r>
    </w:p>
    <w:p w14:paraId="1AD2969F">
      <w:pPr>
        <w:spacing w:line="240" w:lineRule="auto"/>
        <w:ind w:firstLine="640"/>
        <w:jc w:val="both"/>
      </w:pPr>
      <w:r>
        <w:rPr>
          <w:rFonts w:ascii="仿宋_GB2312" w:hAnsi="仿宋_GB2312" w:eastAsia="仿宋_GB2312"/>
          <w:b w:val="0"/>
          <w:sz w:val="32"/>
        </w:rPr>
        <w:t>五、《一般公共预算财政拨款支出决算表》</w:t>
      </w:r>
    </w:p>
    <w:p w14:paraId="18374ED3">
      <w:pPr>
        <w:spacing w:line="240" w:lineRule="auto"/>
        <w:ind w:firstLine="640"/>
        <w:jc w:val="both"/>
      </w:pPr>
      <w:r>
        <w:rPr>
          <w:rFonts w:ascii="仿宋_GB2312" w:hAnsi="仿宋_GB2312" w:eastAsia="仿宋_GB2312"/>
          <w:b w:val="0"/>
          <w:sz w:val="32"/>
        </w:rPr>
        <w:t>六、《一般公共预算财政拨款基本支出决算表》</w:t>
      </w:r>
    </w:p>
    <w:p w14:paraId="275A5169">
      <w:pPr>
        <w:spacing w:line="240" w:lineRule="auto"/>
        <w:ind w:firstLine="640"/>
        <w:jc w:val="both"/>
      </w:pPr>
      <w:r>
        <w:rPr>
          <w:rFonts w:ascii="仿宋_GB2312" w:hAnsi="仿宋_GB2312" w:eastAsia="仿宋_GB2312"/>
          <w:b w:val="0"/>
          <w:sz w:val="32"/>
        </w:rPr>
        <w:t>七、《政府性基金预算财政拨款收入支出决算表》</w:t>
      </w:r>
    </w:p>
    <w:p w14:paraId="7F2AB940">
      <w:pPr>
        <w:spacing w:line="240" w:lineRule="auto"/>
        <w:ind w:firstLine="640"/>
        <w:jc w:val="both"/>
      </w:pPr>
      <w:r>
        <w:rPr>
          <w:rFonts w:ascii="仿宋_GB2312" w:hAnsi="仿宋_GB2312" w:eastAsia="仿宋_GB2312"/>
          <w:b w:val="0"/>
          <w:sz w:val="32"/>
        </w:rPr>
        <w:t>八、《国有资本经营预算财政拨款收入支出决算表》</w:t>
      </w:r>
    </w:p>
    <w:p w14:paraId="23E19506">
      <w:pPr>
        <w:spacing w:line="240" w:lineRule="auto"/>
        <w:ind w:firstLine="640"/>
        <w:jc w:val="both"/>
      </w:pPr>
      <w:r>
        <w:rPr>
          <w:rFonts w:ascii="仿宋_GB2312" w:hAnsi="仿宋_GB2312" w:eastAsia="仿宋_GB2312"/>
          <w:b w:val="0"/>
          <w:sz w:val="32"/>
        </w:rPr>
        <w:t>九、《财政拨款“三公”经费支出决算表》</w:t>
      </w:r>
    </w:p>
    <w:p w14:paraId="26EE5E45">
      <w:pPr>
        <w:spacing w:line="240" w:lineRule="auto"/>
        <w:ind w:firstLine="640"/>
        <w:jc w:val="both"/>
      </w:pPr>
    </w:p>
    <w:p w14:paraId="7CFA8ECA">
      <w:pPr>
        <w:spacing w:line="240" w:lineRule="auto"/>
        <w:ind w:firstLine="640"/>
        <w:jc w:val="both"/>
      </w:pPr>
    </w:p>
    <w:p w14:paraId="65EC703D">
      <w:pPr>
        <w:spacing w:line="240" w:lineRule="auto"/>
        <w:ind w:firstLine="640"/>
        <w:jc w:val="both"/>
      </w:pPr>
    </w:p>
    <w:p w14:paraId="77C62B9F">
      <w:pPr>
        <w:spacing w:line="240" w:lineRule="auto"/>
        <w:ind w:firstLine="640"/>
        <w:jc w:val="both"/>
      </w:pPr>
    </w:p>
    <w:p w14:paraId="3A89829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BBCC38B-583F-46A7-B96C-643AD4959B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1ABD062-1D28-4F4C-ACBE-9F78D5112600}"/>
  </w:font>
  <w:font w:name="仿宋_GB2312">
    <w:panose1 w:val="02010609030101010101"/>
    <w:charset w:val="86"/>
    <w:family w:val="modern"/>
    <w:pitch w:val="default"/>
    <w:sig w:usb0="00000001" w:usb1="080E0000" w:usb2="00000000" w:usb3="00000000" w:csb0="00040000" w:csb1="00000000"/>
    <w:embedRegular r:id="rId3" w:fontKey="{0C9117AD-D020-46BD-86B0-BBA627DB8BE9}"/>
  </w:font>
  <w:font w:name="楷体_GB2312">
    <w:panose1 w:val="02010609030101010101"/>
    <w:charset w:val="86"/>
    <w:family w:val="auto"/>
    <w:pitch w:val="default"/>
    <w:sig w:usb0="00000001" w:usb1="080E0000" w:usb2="00000000" w:usb3="00000000" w:csb0="00040000" w:csb1="00000000"/>
    <w:embedRegular r:id="rId4" w:fontKey="{8FE1EC72-CA03-4606-A2F3-747890A9CD4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5B6022"/>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2115A5"/>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5119</Words>
  <Characters>5886</Characters>
  <Lines>0</Lines>
  <Paragraphs>0</Paragraphs>
  <TotalTime>10</TotalTime>
  <ScaleCrop>false</ScaleCrop>
  <LinksUpToDate>false</LinksUpToDate>
  <CharactersWithSpaces>5894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2025-09-12T10:28:33Z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