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岳普湖县人民代表大会常务委员会2024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1146054">
      <w:r>
        <w:br w:type="page"/>
      </w:r>
    </w:p>
    <w:p w14:paraId="41A12B57">
      <w:pPr>
        <w:spacing w:line="640" w:lineRule="exact"/>
        <w:jc w:val="center"/>
        <w:outlineLvl w:val="1"/>
      </w:pPr>
      <w:r>
        <w:rPr>
          <w:rFonts w:ascii="黑体" w:hAnsi="黑体" w:eastAsia="黑体"/>
          <w:sz w:val="32"/>
        </w:rPr>
        <w:t>第一部分 单位概况</w:t>
      </w:r>
    </w:p>
    <w:p w14:paraId="3414FEC2">
      <w:pPr>
        <w:spacing w:line="640" w:lineRule="exact"/>
        <w:ind w:firstLine="640"/>
        <w:jc w:val="both"/>
        <w:outlineLvl w:val="2"/>
      </w:pPr>
      <w:r>
        <w:rPr>
          <w:rFonts w:ascii="黑体" w:hAnsi="黑体" w:eastAsia="黑体"/>
          <w:sz w:val="32"/>
        </w:rPr>
        <w:t>一、主要职能</w:t>
      </w:r>
    </w:p>
    <w:p w14:paraId="2E9D8B59">
      <w:pPr>
        <w:spacing w:line="580" w:lineRule="exact"/>
        <w:ind w:firstLine="640"/>
        <w:jc w:val="both"/>
      </w:pPr>
      <w:r>
        <w:rPr>
          <w:rFonts w:ascii="仿宋_GB2312" w:hAnsi="仿宋_GB2312" w:eastAsia="仿宋_GB2312"/>
          <w:sz w:val="32"/>
        </w:rPr>
        <w:t>按时完成县级人民代表大会换届选举组织筹备工作，指导乡（镇）人民代表大会换届选举及乡镇人民代表大会主席团日常工作；定期筹备组织县级人民代表大会和人民代表大会常务委员会；按时完成人大常委会及其党组安排的工作。</w:t>
      </w:r>
    </w:p>
    <w:p w14:paraId="2C1ED205">
      <w:pPr>
        <w:spacing w:line="640" w:lineRule="exact"/>
        <w:ind w:firstLine="640"/>
        <w:jc w:val="both"/>
        <w:outlineLvl w:val="2"/>
      </w:pPr>
      <w:r>
        <w:rPr>
          <w:rFonts w:ascii="黑体" w:hAnsi="黑体" w:eastAsia="黑体"/>
          <w:sz w:val="32"/>
        </w:rPr>
        <w:t>二、机构设置及人员情况</w:t>
      </w:r>
    </w:p>
    <w:p w14:paraId="2EA2A4CD">
      <w:pPr>
        <w:spacing w:line="580" w:lineRule="exact"/>
        <w:ind w:firstLine="640"/>
        <w:jc w:val="both"/>
      </w:pPr>
      <w:r>
        <w:rPr>
          <w:rFonts w:ascii="仿宋_GB2312" w:hAnsi="仿宋_GB2312" w:eastAsia="仿宋_GB2312"/>
          <w:sz w:val="32"/>
        </w:rPr>
        <w:t>岳普湖县人民代表大会常务委员会2024年度，实有人数70人，其中：在职人员21人，增加1人；离休人员0人，增加0人；退休人员49人,增加2人。</w:t>
      </w:r>
    </w:p>
    <w:p w14:paraId="4A02F819">
      <w:pPr>
        <w:spacing w:line="580" w:lineRule="exact"/>
        <w:ind w:firstLine="640"/>
        <w:jc w:val="both"/>
      </w:pPr>
      <w:r>
        <w:rPr>
          <w:rFonts w:ascii="仿宋_GB2312" w:hAnsi="仿宋_GB2312" w:eastAsia="仿宋_GB2312"/>
          <w:sz w:val="32"/>
        </w:rPr>
        <w:t>岳普湖县人民代表大会常务委员会无下属预算单位，下设7个科室，分别是：人大办公室、代表人事工委、法制工委、财经工委、教科文卫工委、信访办、预算联网监督服务中心。</w:t>
      </w:r>
    </w:p>
    <w:p w14:paraId="3649CD94">
      <w:r>
        <w:br w:type="page"/>
      </w:r>
    </w:p>
    <w:p w14:paraId="2CC3892C">
      <w:pPr>
        <w:spacing w:line="240" w:lineRule="auto"/>
        <w:jc w:val="center"/>
        <w:outlineLvl w:val="1"/>
      </w:pPr>
      <w:r>
        <w:rPr>
          <w:rFonts w:ascii="黑体" w:hAnsi="黑体" w:eastAsia="黑体"/>
          <w:sz w:val="32"/>
        </w:rPr>
        <w:t>第二部分 部门决算情况说明</w:t>
      </w:r>
    </w:p>
    <w:p w14:paraId="18C11C2E">
      <w:pPr>
        <w:spacing w:line="640" w:lineRule="exact"/>
        <w:ind w:firstLine="640"/>
        <w:jc w:val="both"/>
        <w:outlineLvl w:val="2"/>
      </w:pPr>
      <w:r>
        <w:rPr>
          <w:rFonts w:ascii="黑体" w:hAnsi="黑体" w:eastAsia="黑体"/>
          <w:sz w:val="32"/>
        </w:rPr>
        <w:t>一、收入支出决算总体情况说明</w:t>
      </w:r>
    </w:p>
    <w:p w14:paraId="3E6E54B5">
      <w:pPr>
        <w:spacing w:line="580" w:lineRule="exact"/>
        <w:ind w:firstLine="640"/>
        <w:jc w:val="both"/>
      </w:pPr>
      <w:r>
        <w:rPr>
          <w:rFonts w:ascii="仿宋_GB2312" w:hAnsi="仿宋_GB2312" w:eastAsia="仿宋_GB2312"/>
          <w:b/>
          <w:sz w:val="32"/>
        </w:rPr>
        <w:t>2024年度收入总计561.50万元，</w:t>
      </w:r>
      <w:r>
        <w:rPr>
          <w:rFonts w:ascii="仿宋_GB2312" w:hAnsi="仿宋_GB2312" w:eastAsia="仿宋_GB2312"/>
          <w:b w:val="0"/>
          <w:sz w:val="32"/>
        </w:rPr>
        <w:t>其中：本年收入合计561.50万元，使用非财政拨款结余（含专用结余）0.00万元，年初结转和结余0.00万元。</w:t>
      </w:r>
    </w:p>
    <w:p w14:paraId="62114CA0">
      <w:pPr>
        <w:spacing w:line="580" w:lineRule="exact"/>
        <w:ind w:firstLine="640"/>
        <w:jc w:val="both"/>
      </w:pPr>
      <w:r>
        <w:rPr>
          <w:rFonts w:ascii="仿宋_GB2312" w:hAnsi="仿宋_GB2312" w:eastAsia="仿宋_GB2312"/>
          <w:b/>
          <w:sz w:val="32"/>
        </w:rPr>
        <w:t>2024年度支出总计561.50万元，</w:t>
      </w:r>
      <w:r>
        <w:rPr>
          <w:rFonts w:ascii="仿宋_GB2312" w:hAnsi="仿宋_GB2312" w:eastAsia="仿宋_GB2312"/>
          <w:b w:val="0"/>
          <w:sz w:val="32"/>
        </w:rPr>
        <w:t>其中：本年支出合计561.50万元，结余分配0.00万元，年末结转和结余0.00万元。</w:t>
      </w:r>
    </w:p>
    <w:p w14:paraId="54F0C0C0">
      <w:pPr>
        <w:spacing w:line="580" w:lineRule="exact"/>
        <w:ind w:firstLine="640"/>
        <w:jc w:val="both"/>
      </w:pPr>
      <w:r>
        <w:rPr>
          <w:rFonts w:ascii="仿宋_GB2312" w:hAnsi="仿宋_GB2312" w:eastAsia="仿宋_GB2312"/>
          <w:b w:val="0"/>
          <w:sz w:val="32"/>
        </w:rPr>
        <w:t>收入支出总体与上年相比，增加18.81万元，增长3.47%，主要原因是：本年新增退休人员，职业年金缴费支出增加。</w:t>
      </w:r>
    </w:p>
    <w:p w14:paraId="0681253E">
      <w:pPr>
        <w:spacing w:line="640" w:lineRule="exact"/>
        <w:ind w:firstLine="640"/>
        <w:jc w:val="both"/>
        <w:outlineLvl w:val="2"/>
      </w:pPr>
      <w:r>
        <w:rPr>
          <w:rFonts w:ascii="黑体" w:hAnsi="黑体" w:eastAsia="黑体"/>
          <w:sz w:val="32"/>
        </w:rPr>
        <w:t>二、收入决算情况说明</w:t>
      </w:r>
    </w:p>
    <w:p w14:paraId="4E99DF04">
      <w:pPr>
        <w:spacing w:line="580" w:lineRule="exact"/>
        <w:ind w:firstLine="640"/>
        <w:jc w:val="both"/>
      </w:pPr>
      <w:r>
        <w:rPr>
          <w:rFonts w:ascii="仿宋_GB2312" w:hAnsi="仿宋_GB2312" w:eastAsia="仿宋_GB2312"/>
          <w:b/>
          <w:sz w:val="32"/>
        </w:rPr>
        <w:t>本年收入561.50万元，</w:t>
      </w:r>
      <w:r>
        <w:rPr>
          <w:rFonts w:ascii="仿宋_GB2312" w:hAnsi="仿宋_GB2312" w:eastAsia="仿宋_GB2312"/>
          <w:b w:val="0"/>
          <w:sz w:val="32"/>
        </w:rPr>
        <w:t>其中：财政拨款收入561.50万元，占100.00%；上级补助收入0.00万元，占0.00%；事业收入0.00万元，占0.00%；经营收入0.00万元，占0.00%；附属单位上缴收入0.00万元，占0.00%；其他收入0.00万元，占0.00%。</w:t>
      </w:r>
    </w:p>
    <w:p w14:paraId="24C4C99B">
      <w:pPr>
        <w:spacing w:line="640" w:lineRule="exact"/>
        <w:ind w:firstLine="640"/>
        <w:jc w:val="both"/>
        <w:outlineLvl w:val="2"/>
      </w:pPr>
      <w:r>
        <w:rPr>
          <w:rFonts w:ascii="黑体" w:hAnsi="黑体" w:eastAsia="黑体"/>
          <w:sz w:val="32"/>
        </w:rPr>
        <w:t>三、支出决算情况说明</w:t>
      </w:r>
    </w:p>
    <w:p w14:paraId="74CE1C3A">
      <w:pPr>
        <w:spacing w:line="580" w:lineRule="exact"/>
        <w:ind w:firstLine="640"/>
        <w:jc w:val="both"/>
      </w:pPr>
      <w:r>
        <w:rPr>
          <w:rFonts w:ascii="仿宋_GB2312" w:hAnsi="仿宋_GB2312" w:eastAsia="仿宋_GB2312"/>
          <w:b/>
          <w:sz w:val="32"/>
        </w:rPr>
        <w:t>本年支出561.50万元，</w:t>
      </w:r>
      <w:r>
        <w:rPr>
          <w:rFonts w:ascii="仿宋_GB2312" w:hAnsi="仿宋_GB2312" w:eastAsia="仿宋_GB2312"/>
          <w:b w:val="0"/>
          <w:sz w:val="32"/>
        </w:rPr>
        <w:t>其中：基本支出530.04万元，占94.40%；项目支出31.46万元，占5.60%；上缴上级支出0.00万元，占0.00%；经营支出0.00万元，占0.00%；对附属单位补助支出0.00万元，占0.00%。</w:t>
      </w:r>
    </w:p>
    <w:p w14:paraId="55C57C67">
      <w:pPr>
        <w:spacing w:line="640" w:lineRule="exact"/>
        <w:ind w:firstLine="640"/>
        <w:jc w:val="both"/>
        <w:outlineLvl w:val="2"/>
      </w:pPr>
      <w:r>
        <w:rPr>
          <w:rFonts w:ascii="黑体" w:hAnsi="黑体" w:eastAsia="黑体"/>
          <w:sz w:val="32"/>
        </w:rPr>
        <w:t>四、财政拨款收入支出决算总体情况说明</w:t>
      </w:r>
    </w:p>
    <w:p w14:paraId="69F365D4">
      <w:pPr>
        <w:spacing w:line="580" w:lineRule="exact"/>
        <w:ind w:firstLine="640"/>
        <w:jc w:val="both"/>
      </w:pPr>
      <w:r>
        <w:rPr>
          <w:rFonts w:ascii="仿宋_GB2312" w:hAnsi="仿宋_GB2312" w:eastAsia="仿宋_GB2312"/>
          <w:b/>
          <w:sz w:val="32"/>
        </w:rPr>
        <w:t>2024年度财政拨款收入总计561.50万元，</w:t>
      </w:r>
      <w:r>
        <w:rPr>
          <w:rFonts w:ascii="仿宋_GB2312" w:hAnsi="仿宋_GB2312" w:eastAsia="仿宋_GB2312"/>
          <w:b w:val="0"/>
          <w:sz w:val="32"/>
        </w:rPr>
        <w:t>其中：年初财政拨款结转和结余0.00万元，本年财政拨款收入561.50万元。</w:t>
      </w:r>
      <w:r>
        <w:rPr>
          <w:rFonts w:ascii="仿宋_GB2312" w:hAnsi="仿宋_GB2312" w:eastAsia="仿宋_GB2312"/>
          <w:b/>
          <w:sz w:val="32"/>
        </w:rPr>
        <w:t>财政拨款支出总计561.50万元，</w:t>
      </w:r>
      <w:r>
        <w:rPr>
          <w:rFonts w:ascii="仿宋_GB2312" w:hAnsi="仿宋_GB2312" w:eastAsia="仿宋_GB2312"/>
          <w:b w:val="0"/>
          <w:sz w:val="32"/>
        </w:rPr>
        <w:t>其中：年末财政拨款结转和结余0.00万元，本年财政拨款支出561.50万元。</w:t>
      </w:r>
    </w:p>
    <w:p w14:paraId="5A5B858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增加18.81万元，增长3.47%，主要原因是：本年新增退休人员，职业年金缴费支出增加。</w:t>
      </w:r>
      <w:r>
        <w:rPr>
          <w:rFonts w:ascii="仿宋_GB2312" w:hAnsi="仿宋_GB2312" w:eastAsia="仿宋_GB2312"/>
          <w:b/>
          <w:sz w:val="32"/>
        </w:rPr>
        <w:t>与年初预算相比，</w:t>
      </w:r>
      <w:r>
        <w:rPr>
          <w:rFonts w:ascii="仿宋_GB2312" w:hAnsi="仿宋_GB2312" w:eastAsia="仿宋_GB2312"/>
          <w:b w:val="0"/>
          <w:sz w:val="32"/>
        </w:rPr>
        <w:t>年初预算数528.00万元，决算数561.50万元，预决算差异率6.34%，主要原因是：年中追加人员工资、社保、公积金基数调增部分资金，导致预决算存在差异。</w:t>
      </w:r>
    </w:p>
    <w:p w14:paraId="4D61CC03">
      <w:pPr>
        <w:spacing w:line="640" w:lineRule="exact"/>
        <w:ind w:firstLine="640"/>
        <w:jc w:val="both"/>
        <w:outlineLvl w:val="2"/>
      </w:pPr>
      <w:r>
        <w:rPr>
          <w:rFonts w:ascii="黑体" w:hAnsi="黑体" w:eastAsia="黑体"/>
          <w:sz w:val="32"/>
        </w:rPr>
        <w:t>五、一般公共预算财政拨款支出决算情况说明</w:t>
      </w:r>
    </w:p>
    <w:p w14:paraId="7B2ADF1D">
      <w:pPr>
        <w:spacing w:line="640" w:lineRule="exact"/>
        <w:ind w:firstLine="640"/>
        <w:jc w:val="both"/>
        <w:outlineLvl w:val="3"/>
      </w:pPr>
      <w:r>
        <w:rPr>
          <w:rFonts w:ascii="楷体_GB2312" w:hAnsi="楷体_GB2312" w:eastAsia="楷体_GB2312"/>
          <w:b/>
          <w:sz w:val="32"/>
        </w:rPr>
        <w:t>（一）一般公共预算财政拨款支出决算总体情况</w:t>
      </w:r>
    </w:p>
    <w:p w14:paraId="64582A1D">
      <w:pPr>
        <w:spacing w:line="580" w:lineRule="exact"/>
        <w:ind w:firstLine="640"/>
        <w:jc w:val="both"/>
      </w:pPr>
      <w:r>
        <w:rPr>
          <w:rFonts w:ascii="仿宋_GB2312" w:hAnsi="仿宋_GB2312" w:eastAsia="仿宋_GB2312"/>
          <w:b/>
          <w:sz w:val="32"/>
        </w:rPr>
        <w:t>2024年度一般公共预算财政拨款支出561.50万元，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增加18.81万元，增长3.47%，主要原因是：本年新增退休人员，职业年金缴费支出增加。</w:t>
      </w:r>
      <w:r>
        <w:rPr>
          <w:rFonts w:ascii="仿宋_GB2312" w:hAnsi="仿宋_GB2312" w:eastAsia="仿宋_GB2312"/>
          <w:b/>
          <w:sz w:val="32"/>
        </w:rPr>
        <w:t>与年初预算相比,</w:t>
      </w:r>
      <w:r>
        <w:rPr>
          <w:rFonts w:ascii="仿宋_GB2312" w:hAnsi="仿宋_GB2312" w:eastAsia="仿宋_GB2312"/>
          <w:b w:val="0"/>
          <w:sz w:val="32"/>
        </w:rPr>
        <w:t>年初预算数528.00万元，决算数561.50万元，预决算差异率6.34%，主要原因是：年中追加人员工资、社保、公积金基数调增部分资金，导致预决算存在差异。</w:t>
      </w:r>
    </w:p>
    <w:p w14:paraId="4907929D">
      <w:pPr>
        <w:spacing w:line="640" w:lineRule="exact"/>
        <w:ind w:firstLine="640"/>
        <w:jc w:val="both"/>
        <w:outlineLvl w:val="3"/>
      </w:pPr>
      <w:r>
        <w:rPr>
          <w:rFonts w:ascii="楷体_GB2312" w:hAnsi="楷体_GB2312" w:eastAsia="楷体_GB2312"/>
          <w:b/>
          <w:sz w:val="32"/>
        </w:rPr>
        <w:t>（二）一般公共预算财政拨款支出决算结构情况</w:t>
      </w:r>
    </w:p>
    <w:p w14:paraId="13C349E2">
      <w:pPr>
        <w:spacing w:line="580" w:lineRule="exact"/>
        <w:ind w:firstLine="640"/>
        <w:jc w:val="both"/>
      </w:pPr>
      <w:r>
        <w:rPr>
          <w:rFonts w:ascii="仿宋_GB2312" w:hAnsi="仿宋_GB2312" w:eastAsia="仿宋_GB2312"/>
          <w:b w:val="0"/>
          <w:sz w:val="32"/>
        </w:rPr>
        <w:t>1.一般公共服务支出(类)368.65万元,占65.65%。</w:t>
      </w:r>
    </w:p>
    <w:p w14:paraId="6B66D30E">
      <w:pPr>
        <w:spacing w:line="580" w:lineRule="exact"/>
        <w:ind w:firstLine="640"/>
        <w:jc w:val="both"/>
      </w:pPr>
      <w:r>
        <w:rPr>
          <w:rFonts w:ascii="仿宋_GB2312" w:hAnsi="仿宋_GB2312" w:eastAsia="仿宋_GB2312"/>
          <w:b w:val="0"/>
          <w:sz w:val="32"/>
        </w:rPr>
        <w:t>2.社会保障和就业支出(类)139.35万元,占24.82%。</w:t>
      </w:r>
    </w:p>
    <w:p w14:paraId="2BE5106B">
      <w:pPr>
        <w:spacing w:line="580" w:lineRule="exact"/>
        <w:ind w:firstLine="640"/>
        <w:jc w:val="both"/>
      </w:pPr>
      <w:r>
        <w:rPr>
          <w:rFonts w:ascii="仿宋_GB2312" w:hAnsi="仿宋_GB2312" w:eastAsia="仿宋_GB2312"/>
          <w:b w:val="0"/>
          <w:sz w:val="32"/>
        </w:rPr>
        <w:t>3.卫生健康支出(类)20.99万元,占3.74%。</w:t>
      </w:r>
    </w:p>
    <w:p w14:paraId="776AB6DC">
      <w:pPr>
        <w:spacing w:line="580" w:lineRule="exact"/>
        <w:ind w:firstLine="640"/>
        <w:jc w:val="both"/>
      </w:pPr>
      <w:r>
        <w:rPr>
          <w:rFonts w:ascii="仿宋_GB2312" w:hAnsi="仿宋_GB2312" w:eastAsia="仿宋_GB2312"/>
          <w:b w:val="0"/>
          <w:sz w:val="32"/>
        </w:rPr>
        <w:t>4.住房保障支出(类)32.50万元,占5.79%。</w:t>
      </w:r>
    </w:p>
    <w:p w14:paraId="42B240E6">
      <w:pPr>
        <w:spacing w:line="640" w:lineRule="exact"/>
        <w:ind w:firstLine="640"/>
        <w:jc w:val="both"/>
        <w:outlineLvl w:val="3"/>
      </w:pPr>
      <w:r>
        <w:rPr>
          <w:rFonts w:ascii="楷体_GB2312" w:hAnsi="楷体_GB2312" w:eastAsia="楷体_GB2312"/>
          <w:b/>
          <w:sz w:val="32"/>
        </w:rPr>
        <w:t>（三）一般公共预算财政拨款支出决算具体情况</w:t>
      </w:r>
    </w:p>
    <w:p w14:paraId="08C539E5">
      <w:pPr>
        <w:spacing w:line="580" w:lineRule="exact"/>
        <w:ind w:firstLine="640"/>
        <w:jc w:val="both"/>
      </w:pPr>
      <w:r>
        <w:rPr>
          <w:rFonts w:ascii="仿宋_GB2312" w:hAnsi="仿宋_GB2312" w:eastAsia="仿宋_GB2312"/>
          <w:b w:val="0"/>
          <w:sz w:val="32"/>
        </w:rPr>
        <w:t>1.一般公共服务支出(类)人大事务(款)行政运行(项):支出决算数为337.19万元，比上年决算减少4.25万元，下降1.24%,主要原因是：本年在职人员调入调出，人员职级不同，工资基数不同，导致人员经费较上年减少。</w:t>
      </w:r>
    </w:p>
    <w:p w14:paraId="274DF02E">
      <w:pPr>
        <w:spacing w:line="580" w:lineRule="exact"/>
        <w:ind w:firstLine="640"/>
        <w:jc w:val="both"/>
      </w:pPr>
      <w:r>
        <w:rPr>
          <w:rFonts w:ascii="仿宋_GB2312" w:hAnsi="仿宋_GB2312" w:eastAsia="仿宋_GB2312"/>
          <w:b w:val="0"/>
          <w:sz w:val="32"/>
        </w:rPr>
        <w:t>2.一般公共服务支出(类)人大事务(款)代表工作(项):支出决算数为18.12万元，比上年决算增加1.94万元，增长11.99%,主要原因是：本年增加人大代表活动经费。</w:t>
      </w:r>
    </w:p>
    <w:p w14:paraId="1E57350A">
      <w:pPr>
        <w:spacing w:line="580" w:lineRule="exact"/>
        <w:ind w:firstLine="640"/>
        <w:jc w:val="both"/>
      </w:pPr>
      <w:r>
        <w:rPr>
          <w:rFonts w:ascii="仿宋_GB2312" w:hAnsi="仿宋_GB2312" w:eastAsia="仿宋_GB2312"/>
          <w:b w:val="0"/>
          <w:sz w:val="32"/>
        </w:rPr>
        <w:t>3.一般公共服务支出(类)人大事务(款)其他人大事务支出(项):支出决算数为13.35万元，比上年决算增加9.85万元，增长281.43%,主要原因是：本年增加</w:t>
      </w:r>
      <w:r>
        <w:rPr>
          <w:rFonts w:hint="eastAsia" w:ascii="仿宋_GB2312" w:hAnsi="仿宋_GB2312" w:eastAsia="仿宋_GB2312"/>
          <w:b w:val="0"/>
          <w:sz w:val="32"/>
        </w:rPr>
        <w:t>自治区基层人大补助经费</w:t>
      </w:r>
      <w:r>
        <w:rPr>
          <w:rFonts w:ascii="仿宋_GB2312" w:hAnsi="仿宋_GB2312" w:eastAsia="仿宋_GB2312"/>
          <w:b w:val="0"/>
          <w:sz w:val="32"/>
        </w:rPr>
        <w:t>。</w:t>
      </w:r>
    </w:p>
    <w:p w14:paraId="09964A04">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4.社会保障和就业支出(类)行政事业单位养老支出(款)行政单位离退休(项):支出决算数为72.11万元，比上年决算增加11.96万元，增长19.88%,主要原因是：本年退休人员增加，退休费支出增加。</w:t>
      </w:r>
    </w:p>
    <w:p w14:paraId="41465EED">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40.06万元，比上年决算增加3.19万元，增长8.65%,主要原因是：本年在职人员工资基数调增，养老缴费基数上涨，相应支出增加。</w:t>
      </w:r>
    </w:p>
    <w:p w14:paraId="389B9360">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6.社会保障和就业支出(类)行政事业单位养老支出(款)机关事业单位职业年金缴费支出(项):支出决算数为27.18万元，比上年决算增加21.38万元，增长368.62%,主要原因是：本年新增退休人员，职业年金缴费支出增加。</w:t>
      </w:r>
    </w:p>
    <w:p w14:paraId="65343107">
      <w:pPr>
        <w:spacing w:line="580" w:lineRule="exact"/>
        <w:ind w:firstLine="640"/>
        <w:jc w:val="both"/>
      </w:pPr>
      <w:r>
        <w:rPr>
          <w:rFonts w:ascii="仿宋_GB2312" w:hAnsi="仿宋_GB2312" w:eastAsia="仿宋_GB2312"/>
          <w:b w:val="0"/>
          <w:sz w:val="32"/>
        </w:rPr>
        <w:t>7.卫生健康支出(类)行政事业单位医疗(款)行政单位医疗(项):支出决算数为17.02万元，比上年决算减少21.62万元，下降55.95%,主要原因是：本年在职人员转退休、在职人员调入调出，人员职级不同，缴费基数不同，导致行政单位医疗较上年减少。</w:t>
      </w:r>
    </w:p>
    <w:p w14:paraId="5BEAB653">
      <w:pPr>
        <w:spacing w:line="580" w:lineRule="exact"/>
        <w:ind w:firstLine="640"/>
        <w:jc w:val="both"/>
      </w:pPr>
      <w:r>
        <w:rPr>
          <w:rFonts w:ascii="仿宋_GB2312" w:hAnsi="仿宋_GB2312" w:eastAsia="仿宋_GB2312"/>
          <w:b w:val="0"/>
          <w:sz w:val="32"/>
        </w:rPr>
        <w:t>8.卫生健康支出(类)行政事业单位医疗(款)公务员医疗补助(项):支出决算数为3.97万元，比上年决算减少6.70万元，下降62.79%,主要原因是：本单位本年在职人员转退休、在职人员调入调出，人员职级不同，缴费基数不同，导致公务员医疗补助较上年减少。</w:t>
      </w:r>
    </w:p>
    <w:p w14:paraId="7CDABF8D">
      <w:pPr>
        <w:spacing w:line="580" w:lineRule="exact"/>
        <w:ind w:firstLine="640"/>
        <w:jc w:val="both"/>
      </w:pPr>
      <w:r>
        <w:rPr>
          <w:rFonts w:ascii="仿宋_GB2312" w:hAnsi="仿宋_GB2312" w:eastAsia="仿宋_GB2312"/>
          <w:b w:val="0"/>
          <w:sz w:val="32"/>
        </w:rPr>
        <w:t>9.住房保障支出(类)住房改革支出(款)住房公积金(项):支出决算数为32.50万元，比上年决算增加3.06万元，增长10.39%,主要原因是：本年在职人员工资基数调增，公积金缴费基数上涨，相应支出增加。</w:t>
      </w:r>
    </w:p>
    <w:p w14:paraId="4AA17C92">
      <w:pPr>
        <w:spacing w:line="640" w:lineRule="exact"/>
        <w:ind w:firstLine="640"/>
        <w:jc w:val="both"/>
        <w:outlineLvl w:val="2"/>
      </w:pPr>
      <w:r>
        <w:rPr>
          <w:rFonts w:ascii="黑体" w:hAnsi="黑体" w:eastAsia="黑体"/>
          <w:sz w:val="32"/>
        </w:rPr>
        <w:t>六、一般公共预算财政拨款基本支出决算情况说明</w:t>
      </w:r>
    </w:p>
    <w:p w14:paraId="0D5DB216">
      <w:pPr>
        <w:spacing w:line="580" w:lineRule="exact"/>
        <w:ind w:firstLine="640"/>
        <w:jc w:val="both"/>
      </w:pPr>
      <w:r>
        <w:rPr>
          <w:rFonts w:ascii="仿宋_GB2312" w:hAnsi="仿宋_GB2312" w:eastAsia="仿宋_GB2312"/>
          <w:b w:val="0"/>
          <w:sz w:val="32"/>
        </w:rPr>
        <w:t>2024年度一般公共预算财政拨款基本支出530.04万元，其中：</w:t>
      </w:r>
      <w:r>
        <w:rPr>
          <w:rFonts w:ascii="仿宋_GB2312" w:hAnsi="仿宋_GB2312" w:eastAsia="仿宋_GB2312"/>
          <w:b/>
          <w:sz w:val="32"/>
        </w:rPr>
        <w:t>人员经费513.38万元，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w:t>
      </w:r>
    </w:p>
    <w:p w14:paraId="0BB65EBF">
      <w:pPr>
        <w:spacing w:line="580" w:lineRule="exact"/>
        <w:ind w:firstLine="640"/>
        <w:jc w:val="both"/>
      </w:pPr>
      <w:r>
        <w:rPr>
          <w:rFonts w:ascii="仿宋_GB2312" w:hAnsi="仿宋_GB2312" w:eastAsia="仿宋_GB2312"/>
          <w:b/>
          <w:sz w:val="32"/>
        </w:rPr>
        <w:t>公用经费16.66万元，</w:t>
      </w:r>
      <w:r>
        <w:rPr>
          <w:rFonts w:ascii="仿宋_GB2312" w:hAnsi="仿宋_GB2312" w:eastAsia="仿宋_GB2312"/>
          <w:b w:val="0"/>
          <w:sz w:val="32"/>
        </w:rPr>
        <w:t>包括：办公费、手续费、邮电费、取暖费、物业管理费、差旅费、租赁费、公务接待费、公务用车运行维护费。</w:t>
      </w:r>
    </w:p>
    <w:p w14:paraId="65BBE005">
      <w:pPr>
        <w:spacing w:line="640" w:lineRule="exact"/>
        <w:ind w:firstLine="640"/>
        <w:jc w:val="both"/>
        <w:outlineLvl w:val="2"/>
      </w:pPr>
      <w:r>
        <w:rPr>
          <w:rFonts w:ascii="黑体" w:hAnsi="黑体" w:eastAsia="黑体"/>
          <w:sz w:val="32"/>
        </w:rPr>
        <w:t>七、政府性基金预算财政拨款收入支出决算情况说明</w:t>
      </w:r>
    </w:p>
    <w:p w14:paraId="3AE2D1F4">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7C026DF">
      <w:pPr>
        <w:spacing w:line="640" w:lineRule="exact"/>
        <w:ind w:firstLine="640"/>
        <w:jc w:val="both"/>
        <w:outlineLvl w:val="2"/>
      </w:pPr>
      <w:r>
        <w:rPr>
          <w:rFonts w:ascii="黑体" w:hAnsi="黑体" w:eastAsia="黑体"/>
          <w:sz w:val="32"/>
        </w:rPr>
        <w:t>八、国有资本经营预算财政拨款收入支出决算情况说明</w:t>
      </w:r>
    </w:p>
    <w:p w14:paraId="43F6BF5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6A8528D">
      <w:pPr>
        <w:spacing w:line="640" w:lineRule="exact"/>
        <w:ind w:firstLine="640"/>
        <w:jc w:val="both"/>
        <w:outlineLvl w:val="2"/>
      </w:pPr>
      <w:r>
        <w:rPr>
          <w:rFonts w:ascii="黑体" w:hAnsi="黑体" w:eastAsia="黑体"/>
          <w:sz w:val="32"/>
        </w:rPr>
        <w:t>九、财政拨款“三公”经费支出决算情况说明</w:t>
      </w:r>
    </w:p>
    <w:p w14:paraId="718DD452">
      <w:pPr>
        <w:spacing w:line="580" w:lineRule="exact"/>
        <w:ind w:firstLine="640"/>
        <w:jc w:val="both"/>
      </w:pPr>
      <w:r>
        <w:rPr>
          <w:rFonts w:ascii="仿宋_GB2312" w:hAnsi="仿宋_GB2312" w:eastAsia="仿宋_GB2312"/>
          <w:b/>
          <w:sz w:val="32"/>
        </w:rPr>
        <w:t>2024年度财政拨款“三公”经费支出8.24万元，</w:t>
      </w:r>
      <w:r>
        <w:rPr>
          <w:rFonts w:ascii="仿宋_GB2312" w:hAnsi="仿宋_GB2312" w:eastAsia="仿宋_GB2312"/>
          <w:b w:val="0"/>
          <w:sz w:val="32"/>
        </w:rPr>
        <w:t>比上年减少0.01万元，下降0.12%，主要原因是：严格落实中央八项规定精神，厉行节约，减少公务接待费。其中：因公出国（境）费支出0.00万元，占0.00%，比上年增加0.00万元，增长0.00%，主要原因是：2023年与2024年均未安排因公出国（境）费支出。公务用车购置及运行维护费支出7.27万元，占88.23%，比上年增加0.00万元，增长0.00%，主要原因是：本单位公务用车运行维护费与上年一致无变化。公务接待费支出0.97万元，占11.77%，比上年减少0.01万元，下降1.02%，主要原因是：严格落实中央八项规定精神，厉行节约，减少公务接待费。</w:t>
      </w:r>
    </w:p>
    <w:p w14:paraId="389CA72E">
      <w:pPr>
        <w:spacing w:line="580" w:lineRule="exact"/>
        <w:ind w:firstLine="640"/>
        <w:jc w:val="both"/>
      </w:pPr>
      <w:r>
        <w:rPr>
          <w:rFonts w:ascii="仿宋_GB2312" w:hAnsi="仿宋_GB2312" w:eastAsia="仿宋_GB2312"/>
          <w:b/>
          <w:sz w:val="32"/>
        </w:rPr>
        <w:t>具体情况如下：</w:t>
      </w:r>
    </w:p>
    <w:p w14:paraId="1450F4E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BBFCB37">
      <w:pPr>
        <w:spacing w:line="580" w:lineRule="exact"/>
        <w:ind w:firstLine="640"/>
        <w:jc w:val="both"/>
      </w:pPr>
      <w:r>
        <w:rPr>
          <w:rFonts w:ascii="仿宋_GB2312" w:hAnsi="仿宋_GB2312" w:eastAsia="仿宋_GB2312"/>
          <w:b w:val="0"/>
          <w:sz w:val="32"/>
        </w:rPr>
        <w:t>公务用车购置及运行维护费7.27万元，其中：公务用车购置费0.00万元，公务用车运行维护费7.27万元。公务用车运行维护费开支内容包括车辆加油费、维修费、保险费、审车费、过路费。公务用车购置数0辆，公务用车保有量6辆。国有资产占用情况中固定资产车辆4辆，与公务用车保有量差异原因是：</w:t>
      </w:r>
      <w:r>
        <w:rPr>
          <w:rFonts w:hint="eastAsia" w:ascii="仿宋_GB2312" w:hAnsi="仿宋_GB2312" w:eastAsia="仿宋_GB2312"/>
          <w:b w:val="0"/>
          <w:sz w:val="32"/>
          <w:lang w:eastAsia="zh-CN"/>
        </w:rPr>
        <w:t>借用其他单位车辆，车辆费用由本单位支付</w:t>
      </w:r>
      <w:r>
        <w:rPr>
          <w:rFonts w:ascii="仿宋_GB2312" w:hAnsi="仿宋_GB2312" w:eastAsia="仿宋_GB2312"/>
          <w:b w:val="0"/>
          <w:sz w:val="32"/>
        </w:rPr>
        <w:t>。</w:t>
      </w:r>
    </w:p>
    <w:p w14:paraId="38C010CE">
      <w:pPr>
        <w:spacing w:line="580" w:lineRule="exact"/>
        <w:ind w:firstLine="640"/>
        <w:jc w:val="both"/>
      </w:pPr>
      <w:r>
        <w:rPr>
          <w:rFonts w:ascii="仿宋_GB2312" w:hAnsi="仿宋_GB2312" w:eastAsia="仿宋_GB2312"/>
          <w:b w:val="0"/>
          <w:sz w:val="32"/>
        </w:rPr>
        <w:t>公务接待费0.97万元，开支内容包括因接待上级领导检查、调研产生的就餐费。单位全年安排的国内公务接待11批次，183人次。</w:t>
      </w:r>
    </w:p>
    <w:p w14:paraId="12D36D7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8.24万元，决算数8.24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7.27万元，决算数7.27万元，预决算差异率0.00%，主要原因是：严格按照预算执行，预决算无差异。公务接待费全年预算数0.97万元，决算数0.97万元，预决算差异率0.00%，主要原因是：严格按照预算执行，预决算无差异。</w:t>
      </w:r>
    </w:p>
    <w:p w14:paraId="714FA4B8">
      <w:pPr>
        <w:spacing w:line="640" w:lineRule="exact"/>
        <w:ind w:firstLine="640"/>
        <w:jc w:val="both"/>
        <w:outlineLvl w:val="2"/>
      </w:pPr>
      <w:r>
        <w:rPr>
          <w:rFonts w:ascii="黑体" w:hAnsi="黑体" w:eastAsia="黑体"/>
          <w:sz w:val="32"/>
        </w:rPr>
        <w:t>十、其他重要事项的情况说明</w:t>
      </w:r>
    </w:p>
    <w:p w14:paraId="47F978F4">
      <w:pPr>
        <w:spacing w:line="640" w:lineRule="exact"/>
        <w:ind w:firstLine="640"/>
        <w:jc w:val="both"/>
        <w:outlineLvl w:val="3"/>
      </w:pPr>
      <w:r>
        <w:rPr>
          <w:rFonts w:ascii="楷体_GB2312" w:hAnsi="楷体_GB2312" w:eastAsia="楷体_GB2312"/>
          <w:b/>
          <w:sz w:val="32"/>
        </w:rPr>
        <w:t>（一）机关运行经费及公用经费支出情况</w:t>
      </w:r>
    </w:p>
    <w:p w14:paraId="6F9124D1">
      <w:pPr>
        <w:spacing w:line="580" w:lineRule="exact"/>
        <w:ind w:firstLine="640"/>
        <w:jc w:val="both"/>
      </w:pPr>
      <w:r>
        <w:rPr>
          <w:rFonts w:ascii="仿宋_GB2312" w:hAnsi="仿宋_GB2312" w:eastAsia="仿宋_GB2312"/>
          <w:b w:val="0"/>
          <w:sz w:val="32"/>
        </w:rPr>
        <w:t>2024年度岳普湖县人民代表大会常务委员会（行政单位和参照公务员法管理事业单位）机关运行经费支出16.66万元，比上年增加0.42万元，增长2.59%，主要原因是：本年增加办公经费。</w:t>
      </w:r>
    </w:p>
    <w:p w14:paraId="29A957A4">
      <w:pPr>
        <w:spacing w:line="640" w:lineRule="exact"/>
        <w:ind w:firstLine="640"/>
        <w:jc w:val="both"/>
        <w:outlineLvl w:val="3"/>
      </w:pPr>
      <w:r>
        <w:rPr>
          <w:rFonts w:ascii="楷体_GB2312" w:hAnsi="楷体_GB2312" w:eastAsia="楷体_GB2312"/>
          <w:b/>
          <w:sz w:val="32"/>
        </w:rPr>
        <w:t>（二）政府采购情况</w:t>
      </w:r>
    </w:p>
    <w:p w14:paraId="1BEFB480">
      <w:pPr>
        <w:spacing w:line="580" w:lineRule="exact"/>
        <w:ind w:firstLine="640"/>
        <w:jc w:val="both"/>
      </w:pPr>
      <w:r>
        <w:rPr>
          <w:rFonts w:ascii="仿宋_GB2312" w:hAnsi="仿宋_GB2312" w:eastAsia="仿宋_GB2312"/>
          <w:b w:val="0"/>
          <w:sz w:val="32"/>
        </w:rPr>
        <w:t>2024年度政府采购支出总额6.44万元，其中：政府采购货物支出2.49万元、政府采购工程支出0.00万元、政府采购服务支出3.95万元。</w:t>
      </w:r>
    </w:p>
    <w:p w14:paraId="1DA6C875">
      <w:pPr>
        <w:spacing w:line="580" w:lineRule="exact"/>
        <w:ind w:firstLine="640"/>
        <w:jc w:val="both"/>
      </w:pPr>
      <w:r>
        <w:rPr>
          <w:rFonts w:ascii="仿宋_GB2312" w:hAnsi="仿宋_GB2312" w:eastAsia="仿宋_GB2312"/>
          <w:b w:val="0"/>
          <w:sz w:val="32"/>
        </w:rPr>
        <w:t>授予中小企业合同金额5.84万元，占政府采购支出总额的90.68%，其中：授予小微企业合同金额4.49万元，占政府采购支出总额的69.72%。</w:t>
      </w:r>
    </w:p>
    <w:p w14:paraId="609098D4">
      <w:pPr>
        <w:spacing w:line="640" w:lineRule="exact"/>
        <w:ind w:firstLine="640"/>
        <w:jc w:val="both"/>
        <w:outlineLvl w:val="3"/>
      </w:pPr>
      <w:r>
        <w:rPr>
          <w:rFonts w:ascii="楷体_GB2312" w:hAnsi="楷体_GB2312" w:eastAsia="楷体_GB2312"/>
          <w:b/>
          <w:sz w:val="32"/>
        </w:rPr>
        <w:t>（三）国有资产占用情况说明</w:t>
      </w:r>
    </w:p>
    <w:p w14:paraId="4323FA74">
      <w:pPr>
        <w:spacing w:line="580" w:lineRule="exact"/>
        <w:ind w:firstLine="640"/>
        <w:jc w:val="both"/>
      </w:pPr>
      <w:r>
        <w:rPr>
          <w:rFonts w:ascii="仿宋_GB2312" w:hAnsi="仿宋_GB2312" w:eastAsia="仿宋_GB2312"/>
          <w:b w:val="0"/>
          <w:sz w:val="32"/>
        </w:rPr>
        <w:t>截至2024年12月31日，房屋0.00平方米，价值0.00万元。车辆4辆，价值60.12万元，其中：副部（省）级及以上领导用车0辆、主要负责人用车0辆、机要通信用车0辆、应急保障用车0辆、执法执勤用车0辆、特种专业技术用车0辆、离退休干部服务用车0辆、其他用车4辆，其他用车主要是：一般公务用车。单价100万元（含）以上设备（不含车辆）0台（套）。</w:t>
      </w:r>
    </w:p>
    <w:p w14:paraId="0FD0DF74">
      <w:pPr>
        <w:spacing w:line="640" w:lineRule="exact"/>
        <w:ind w:firstLine="640"/>
        <w:jc w:val="both"/>
        <w:outlineLvl w:val="2"/>
      </w:pPr>
      <w:r>
        <w:rPr>
          <w:rFonts w:ascii="黑体" w:hAnsi="黑体" w:eastAsia="黑体"/>
          <w:sz w:val="32"/>
        </w:rPr>
        <w:t>十一、预算绩效的情况说明</w:t>
      </w:r>
    </w:p>
    <w:p w14:paraId="422A8373">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561.50万元，实际执行总额561.50万元；预算绩效评价项目3个，全年预算数65.30万元，全年执行数42.17万元。预算绩效管理取得的成效：一是预算绩效管理格局初步形成。将本级预算收支全部纳入预算绩效管理，提高财政资源配置效益和可持续性。在逐步深化项目绩效管理的基础上，不断提升管理层级，加快推动预算绩效管理。积极探索开展部门整体绩效目标编报；二是积极发挥考核“指挥棒”作用，把部门绩效管理工作纳入年底工作考核。发现的问题及原因：一是绩效管理经验不足，预算绩效管理工作有待进一步落实；二是绩效指标的明确性、可衡量性、相关性还需进一步提升。下一步改进措施：一是加大绩效工作宣传力度，强化绩效理念；二是完善绩效指标，依据对部门工作任务的分解形成工作活动层面的绩效目标，提高整体绩效目标质量。具体附整体支出绩效自评表，项目支出绩效自评表和评价报告。</w:t>
      </w:r>
    </w:p>
    <w:p w14:paraId="1637DB38">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02D42D0">
        <w:tblPrEx>
          <w:tblCellMar>
            <w:top w:w="0" w:type="dxa"/>
            <w:left w:w="108" w:type="dxa"/>
            <w:bottom w:w="0" w:type="dxa"/>
            <w:right w:w="108" w:type="dxa"/>
          </w:tblCellMar>
        </w:tblPrEx>
        <w:tc>
          <w:tcPr>
            <w:tcW w:w="8847" w:type="dxa"/>
            <w:gridSpan w:val="9"/>
            <w:vAlign w:val="center"/>
          </w:tcPr>
          <w:p w14:paraId="483DDABE">
            <w:pPr>
              <w:jc w:val="center"/>
            </w:pPr>
            <w:r>
              <w:rPr>
                <w:rFonts w:ascii="宋体" w:hAnsi="宋体" w:eastAsia="宋体"/>
                <w:sz w:val="24"/>
              </w:rPr>
              <w:t>单位整体支出绩效自评表</w:t>
            </w:r>
          </w:p>
        </w:tc>
      </w:tr>
      <w:tr w14:paraId="7A09EAB5">
        <w:tblPrEx>
          <w:tblCellMar>
            <w:top w:w="0" w:type="dxa"/>
            <w:left w:w="108" w:type="dxa"/>
            <w:bottom w:w="0" w:type="dxa"/>
            <w:right w:w="108" w:type="dxa"/>
          </w:tblCellMar>
        </w:tblPrEx>
        <w:tc>
          <w:tcPr>
            <w:tcW w:w="8847" w:type="dxa"/>
            <w:gridSpan w:val="9"/>
            <w:vAlign w:val="center"/>
          </w:tcPr>
          <w:p w14:paraId="5A2179BF">
            <w:pPr>
              <w:jc w:val="center"/>
            </w:pPr>
            <w:r>
              <w:rPr>
                <w:rFonts w:ascii="宋体" w:hAnsi="宋体" w:eastAsia="宋体"/>
                <w:sz w:val="24"/>
              </w:rPr>
              <w:t>（2024年度）</w:t>
            </w:r>
          </w:p>
        </w:tc>
      </w:tr>
      <w:tr w14:paraId="085CCAB6">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3B2405">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E4092F3">
            <w:pPr>
              <w:jc w:val="center"/>
            </w:pPr>
            <w:r>
              <w:rPr>
                <w:rFonts w:ascii="宋体" w:hAnsi="宋体" w:eastAsia="宋体"/>
                <w:sz w:val="16"/>
              </w:rPr>
              <w:t>岳普湖县人民代表大会常务委员会</w:t>
            </w:r>
          </w:p>
        </w:tc>
      </w:tr>
      <w:tr w14:paraId="09E6E31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D66918">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5C222E">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D10917">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CA23A3">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2750A8">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9F47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696A20">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86FBE">
            <w:pPr>
              <w:jc w:val="center"/>
            </w:pPr>
            <w:r>
              <w:rPr>
                <w:rFonts w:ascii="宋体" w:hAnsi="宋体" w:eastAsia="宋体"/>
                <w:sz w:val="16"/>
              </w:rPr>
              <w:t>得分</w:t>
            </w:r>
          </w:p>
        </w:tc>
      </w:tr>
      <w:tr w14:paraId="6D8ADA1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468B22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75142">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0B79D7">
            <w:pPr>
              <w:jc w:val="center"/>
            </w:pPr>
            <w:r>
              <w:rPr>
                <w:rFonts w:ascii="宋体" w:hAnsi="宋体" w:eastAsia="宋体"/>
                <w:sz w:val="16"/>
              </w:rPr>
              <w:t>528.00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95BDF9">
            <w:pPr>
              <w:jc w:val="center"/>
            </w:pPr>
            <w:r>
              <w:rPr>
                <w:rFonts w:ascii="宋体" w:hAnsi="宋体" w:eastAsia="宋体"/>
                <w:sz w:val="16"/>
              </w:rPr>
              <w:t>561.50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61A3EB">
            <w:pPr>
              <w:jc w:val="center"/>
            </w:pPr>
            <w:r>
              <w:rPr>
                <w:rFonts w:ascii="宋体" w:hAnsi="宋体" w:eastAsia="宋体"/>
                <w:sz w:val="16"/>
              </w:rPr>
              <w:t>561.50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9CAAD0">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3554C7">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D15E88">
            <w:pPr>
              <w:jc w:val="center"/>
            </w:pPr>
            <w:r>
              <w:rPr>
                <w:rFonts w:ascii="宋体" w:hAnsi="宋体" w:eastAsia="宋体"/>
                <w:sz w:val="16"/>
              </w:rPr>
              <w:t>10</w:t>
            </w:r>
          </w:p>
        </w:tc>
      </w:tr>
      <w:tr w14:paraId="3F34AC2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FD12B7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96B0B4">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5DE741">
            <w:pPr>
              <w:jc w:val="center"/>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A3382F">
            <w:pPr>
              <w:jc w:val="center"/>
            </w:pPr>
            <w:r>
              <w:rPr>
                <w:rFonts w:ascii="宋体" w:hAnsi="宋体" w:eastAsia="宋体"/>
                <w:sz w:val="16"/>
              </w:rPr>
              <w:t>51.79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2AA08">
            <w:pPr>
              <w:jc w:val="center"/>
            </w:pPr>
            <w:r>
              <w:rPr>
                <w:rFonts w:ascii="宋体" w:hAnsi="宋体" w:eastAsia="宋体"/>
                <w:sz w:val="16"/>
              </w:rPr>
              <w:t>51.79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F1CF1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A2CC46">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9B3B0">
            <w:pPr>
              <w:jc w:val="center"/>
            </w:pPr>
            <w:r>
              <w:rPr>
                <w:rFonts w:ascii="宋体" w:hAnsi="宋体" w:eastAsia="宋体"/>
                <w:sz w:val="16"/>
              </w:rPr>
              <w:t>—</w:t>
            </w:r>
          </w:p>
        </w:tc>
      </w:tr>
      <w:tr w14:paraId="05C6E9B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8A1136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C5AEA">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F2854">
            <w:pPr>
              <w:jc w:val="center"/>
            </w:pPr>
            <w:r>
              <w:rPr>
                <w:rFonts w:ascii="宋体" w:hAnsi="宋体" w:eastAsia="宋体"/>
                <w:sz w:val="16"/>
              </w:rPr>
              <w:t>518.00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0E83F4">
            <w:pPr>
              <w:jc w:val="center"/>
            </w:pPr>
            <w:r>
              <w:rPr>
                <w:rFonts w:ascii="宋体" w:hAnsi="宋体" w:eastAsia="宋体"/>
                <w:sz w:val="16"/>
              </w:rPr>
              <w:t>509.71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AD6309">
            <w:pPr>
              <w:jc w:val="center"/>
            </w:pPr>
            <w:r>
              <w:rPr>
                <w:rFonts w:ascii="宋体" w:hAnsi="宋体" w:eastAsia="宋体"/>
                <w:sz w:val="16"/>
              </w:rPr>
              <w:t>509.71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5B8FA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AAB93">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5F25B">
            <w:pPr>
              <w:jc w:val="center"/>
            </w:pPr>
            <w:r>
              <w:rPr>
                <w:rFonts w:ascii="宋体" w:hAnsi="宋体" w:eastAsia="宋体"/>
                <w:sz w:val="16"/>
              </w:rPr>
              <w:t>—</w:t>
            </w:r>
          </w:p>
        </w:tc>
      </w:tr>
      <w:tr w14:paraId="77A733A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5DEF2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97B3AA">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5E936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A6542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17F1D">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2BC6A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8F07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59AF5">
            <w:pPr>
              <w:jc w:val="center"/>
            </w:pPr>
            <w:r>
              <w:rPr>
                <w:rFonts w:ascii="宋体" w:hAnsi="宋体" w:eastAsia="宋体"/>
                <w:sz w:val="16"/>
              </w:rPr>
              <w:t>—</w:t>
            </w:r>
          </w:p>
        </w:tc>
      </w:tr>
      <w:tr w14:paraId="2E62F6F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1614A9">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5F7DA3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9F37F9">
            <w:pPr>
              <w:jc w:val="center"/>
            </w:pPr>
            <w:r>
              <w:rPr>
                <w:rFonts w:ascii="宋体" w:hAnsi="宋体" w:eastAsia="宋体"/>
                <w:sz w:val="16"/>
              </w:rPr>
              <w:t>实际完成情况</w:t>
            </w:r>
          </w:p>
        </w:tc>
      </w:tr>
      <w:tr w14:paraId="37B5DE3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570324"/>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241D9CD">
            <w:pPr>
              <w:jc w:val="both"/>
            </w:pPr>
            <w:r>
              <w:rPr>
                <w:rFonts w:ascii="宋体" w:hAnsi="宋体" w:eastAsia="宋体"/>
                <w:sz w:val="16"/>
              </w:rPr>
              <w:t>对岳普湖县“一府一委两院”进行监督，监督政府机构数量4个，履职人大代表数量622人，召开全县十七届人大四次会议1次，召开人大常委会会议8次。保障重大事项决定权和人事任免权依法行使；支持人大代表依法履职，不断完善“双联系”制度，虚心听取人大代表的意见和建议，及时回应社会关切，维护人民群众的合法权益；坚持在监督中参与</w:t>
            </w:r>
            <w:r>
              <w:rPr>
                <w:rFonts w:hint="eastAsia" w:ascii="宋体" w:hAnsi="宋体"/>
                <w:sz w:val="16"/>
                <w:lang w:eastAsia="zh-CN"/>
              </w:rPr>
              <w:t>、在</w:t>
            </w:r>
            <w:r>
              <w:rPr>
                <w:rFonts w:ascii="宋体" w:hAnsi="宋体" w:eastAsia="宋体"/>
                <w:sz w:val="16"/>
              </w:rPr>
              <w:t>参与中监督</w:t>
            </w:r>
            <w:r>
              <w:rPr>
                <w:rFonts w:hint="eastAsia" w:ascii="宋体" w:hAnsi="宋体"/>
                <w:sz w:val="16"/>
                <w:lang w:eastAsia="zh-CN"/>
              </w:rPr>
              <w:t>，在</w:t>
            </w:r>
            <w:r>
              <w:rPr>
                <w:rFonts w:ascii="宋体" w:hAnsi="宋体" w:eastAsia="宋体"/>
                <w:sz w:val="16"/>
              </w:rPr>
              <w:t>监督中支持，推动各项工作落到实处，确保各项会议按期顺利召开，提升人大代表立法监督的效能。完善人大民主民意表达平台和渠道，健全吸纳民意、汇集民智的工作机制，在人大工作全流程各个环节中体现“全过程人民民主”的原则要求。</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12C218">
            <w:pPr>
              <w:jc w:val="both"/>
            </w:pPr>
            <w:r>
              <w:rPr>
                <w:rFonts w:ascii="宋体" w:hAnsi="宋体" w:eastAsia="宋体"/>
                <w:sz w:val="16"/>
              </w:rPr>
              <w:t>按期完成了对岳普湖县“一府一委两院”的监督工作，监督政府机构数量达到了4个，履职人大代表达到了622人，按期召开了全县十七届人大四次会议，召开人大常委会会议达到了8次。保障了重大事项决定权和人事任免权依法行使；支持了人大代表依法履职，不断完善了“双联系”制度，虚心听取了人大代表的意见和建议，及时回应了社会关切，维护了人民群众的合法权益；坚持贯彻了在监督中参与、参与中监督</w:t>
            </w:r>
            <w:r>
              <w:rPr>
                <w:rFonts w:hint="eastAsia" w:ascii="宋体" w:hAnsi="宋体"/>
                <w:sz w:val="16"/>
                <w:lang w:eastAsia="zh-CN"/>
              </w:rPr>
              <w:t>，在</w:t>
            </w:r>
            <w:r>
              <w:rPr>
                <w:rFonts w:ascii="宋体" w:hAnsi="宋体" w:eastAsia="宋体"/>
                <w:sz w:val="16"/>
              </w:rPr>
              <w:t>监督中支持，不断推动各项工作落到实处，确保了各项会议按期顺利召开，进一步提升了人大代表立法监督的效能。完善了人大民主民意表达平台和渠道，健全了吸纳民意、汇集民智的工作机制，在人大工作全流程各个环节中精准体现了“全过程人民民主”的原则要求。</w:t>
            </w:r>
          </w:p>
        </w:tc>
      </w:tr>
      <w:tr w14:paraId="5580AD0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0EA74">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B5BE0C">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4B8CB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031564">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B51FC3">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E602F3">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9964E">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76D5BD">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F07FD4">
            <w:pPr>
              <w:jc w:val="center"/>
            </w:pPr>
            <w:r>
              <w:rPr>
                <w:rFonts w:ascii="宋体" w:hAnsi="宋体" w:eastAsia="宋体"/>
                <w:sz w:val="16"/>
              </w:rPr>
              <w:t>得分</w:t>
            </w:r>
          </w:p>
        </w:tc>
      </w:tr>
      <w:tr w14:paraId="6041698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3D101B">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67B7D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9E832A">
            <w:pPr>
              <w:jc w:val="center"/>
            </w:pPr>
            <w:r>
              <w:rPr>
                <w:rFonts w:ascii="宋体" w:hAnsi="宋体" w:eastAsia="宋体"/>
                <w:sz w:val="16"/>
              </w:rPr>
              <w:t>监督政府机构数量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51998">
            <w:pPr>
              <w:jc w:val="center"/>
            </w:pPr>
            <w:r>
              <w:rPr>
                <w:rFonts w:ascii="宋体" w:hAnsi="宋体" w:eastAsia="宋体"/>
                <w:sz w:val="16"/>
              </w:rPr>
              <w:t>&gt;=4个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DBE216">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6916B8">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7B8316">
            <w:pPr>
              <w:jc w:val="center"/>
            </w:pPr>
            <w:r>
              <w:rPr>
                <w:rFonts w:ascii="宋体" w:hAnsi="宋体" w:eastAsia="宋体"/>
                <w:sz w:val="16"/>
              </w:rPr>
              <w:t>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CDCE6B">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582B4">
            <w:pPr>
              <w:jc w:val="center"/>
            </w:pPr>
            <w:r>
              <w:rPr>
                <w:rFonts w:ascii="宋体" w:hAnsi="宋体" w:eastAsia="宋体"/>
                <w:sz w:val="16"/>
              </w:rPr>
              <w:t>15</w:t>
            </w:r>
          </w:p>
        </w:tc>
      </w:tr>
      <w:tr w14:paraId="7493F03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219453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C392E6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A16BEC">
            <w:pPr>
              <w:jc w:val="center"/>
            </w:pPr>
            <w:r>
              <w:rPr>
                <w:rFonts w:ascii="宋体" w:hAnsi="宋体" w:eastAsia="宋体"/>
                <w:sz w:val="16"/>
              </w:rPr>
              <w:t>履职人大代表数量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764224">
            <w:pPr>
              <w:jc w:val="center"/>
            </w:pPr>
            <w:r>
              <w:rPr>
                <w:rFonts w:ascii="宋体" w:hAnsi="宋体" w:eastAsia="宋体"/>
                <w:sz w:val="16"/>
              </w:rPr>
              <w:t>&gt;=622人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E546B">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2E0524">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80F244">
            <w:pPr>
              <w:jc w:val="center"/>
            </w:pPr>
            <w:r>
              <w:rPr>
                <w:rFonts w:ascii="宋体" w:hAnsi="宋体" w:eastAsia="宋体"/>
                <w:sz w:val="16"/>
              </w:rPr>
              <w:t>622人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227E5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EDF814">
            <w:pPr>
              <w:jc w:val="center"/>
            </w:pPr>
            <w:r>
              <w:rPr>
                <w:rFonts w:ascii="宋体" w:hAnsi="宋体" w:eastAsia="宋体"/>
                <w:sz w:val="16"/>
              </w:rPr>
              <w:t>15</w:t>
            </w:r>
          </w:p>
        </w:tc>
      </w:tr>
      <w:tr w14:paraId="212619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83CCE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B8784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6E8BAD">
            <w:pPr>
              <w:jc w:val="center"/>
            </w:pPr>
            <w:r>
              <w:rPr>
                <w:rFonts w:ascii="宋体" w:hAnsi="宋体" w:eastAsia="宋体"/>
                <w:sz w:val="16"/>
              </w:rPr>
              <w:t>召开全县十七届人大四次会议次数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CE6683">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E02DD9">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DACF1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433923">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84935">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E63779">
            <w:pPr>
              <w:jc w:val="center"/>
            </w:pPr>
            <w:r>
              <w:rPr>
                <w:rFonts w:ascii="宋体" w:hAnsi="宋体" w:eastAsia="宋体"/>
                <w:sz w:val="16"/>
              </w:rPr>
              <w:t>15</w:t>
            </w:r>
          </w:p>
        </w:tc>
      </w:tr>
      <w:tr w14:paraId="041E43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6DB6C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542AF9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B668E2">
            <w:pPr>
              <w:jc w:val="center"/>
            </w:pPr>
            <w:r>
              <w:rPr>
                <w:rFonts w:ascii="宋体" w:hAnsi="宋体" w:eastAsia="宋体"/>
                <w:sz w:val="16"/>
              </w:rPr>
              <w:t>召开人大常委会会议次数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60C708">
            <w:pPr>
              <w:jc w:val="center"/>
            </w:pPr>
            <w:r>
              <w:rPr>
                <w:rFonts w:ascii="宋体" w:hAnsi="宋体" w:eastAsia="宋体"/>
                <w:sz w:val="16"/>
              </w:rPr>
              <w:t>&gt;=8次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7AA048">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D616FD">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AEB4EB">
            <w:pPr>
              <w:jc w:val="center"/>
            </w:pPr>
            <w:r>
              <w:rPr>
                <w:rFonts w:ascii="宋体" w:hAnsi="宋体" w:eastAsia="宋体"/>
                <w:sz w:val="16"/>
              </w:rPr>
              <w:t>8次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4D0A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47353">
            <w:pPr>
              <w:jc w:val="center"/>
            </w:pPr>
            <w:r>
              <w:rPr>
                <w:rFonts w:ascii="宋体" w:hAnsi="宋体" w:eastAsia="宋体"/>
                <w:sz w:val="16"/>
              </w:rPr>
              <w:t>15</w:t>
            </w:r>
          </w:p>
        </w:tc>
      </w:tr>
      <w:tr w14:paraId="36B7505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BCD61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C66B4">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D62FD5">
            <w:pPr>
              <w:jc w:val="center"/>
            </w:pPr>
            <w:r>
              <w:rPr>
                <w:rFonts w:ascii="宋体" w:hAnsi="宋体" w:eastAsia="宋体"/>
                <w:sz w:val="16"/>
              </w:rPr>
              <w:t>年度监督检查任务完成率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9067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34893B">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272DC78">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CC607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63BC4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71ABFD">
            <w:pPr>
              <w:jc w:val="center"/>
            </w:pPr>
            <w:r>
              <w:rPr>
                <w:rFonts w:ascii="宋体" w:hAnsi="宋体" w:eastAsia="宋体"/>
                <w:sz w:val="16"/>
              </w:rPr>
              <w:t>15</w:t>
            </w:r>
          </w:p>
        </w:tc>
      </w:tr>
      <w:tr w14:paraId="1EFD251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F7CA2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9D612E">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6782DB">
            <w:pPr>
              <w:jc w:val="center"/>
            </w:pPr>
            <w:r>
              <w:rPr>
                <w:rFonts w:ascii="宋体" w:hAnsi="宋体" w:eastAsia="宋体"/>
                <w:sz w:val="16"/>
              </w:rPr>
              <w:t>会议按期完成率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49ADE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FC4E1A">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CAE178">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4EF2D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7C403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6E6E6E">
            <w:pPr>
              <w:jc w:val="center"/>
            </w:pPr>
            <w:r>
              <w:rPr>
                <w:rFonts w:ascii="宋体" w:hAnsi="宋体" w:eastAsia="宋体"/>
                <w:sz w:val="16"/>
              </w:rPr>
              <w:t>15</w:t>
            </w:r>
          </w:p>
        </w:tc>
      </w:tr>
    </w:tbl>
    <w:p w14:paraId="49E421AE">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4"/>
        <w:gridCol w:w="776"/>
        <w:gridCol w:w="624"/>
        <w:gridCol w:w="629"/>
        <w:gridCol w:w="627"/>
        <w:gridCol w:w="624"/>
        <w:gridCol w:w="624"/>
        <w:gridCol w:w="776"/>
        <w:gridCol w:w="632"/>
        <w:gridCol w:w="617"/>
        <w:gridCol w:w="630"/>
      </w:tblGrid>
      <w:tr w14:paraId="32B16F97">
        <w:tblPrEx>
          <w:tblCellMar>
            <w:top w:w="0" w:type="dxa"/>
            <w:left w:w="108" w:type="dxa"/>
            <w:bottom w:w="0" w:type="dxa"/>
            <w:right w:w="108" w:type="dxa"/>
          </w:tblCellMar>
        </w:tblPrEx>
        <w:tc>
          <w:tcPr>
            <w:tcW w:w="8848" w:type="dxa"/>
            <w:gridSpan w:val="14"/>
            <w:vAlign w:val="center"/>
          </w:tcPr>
          <w:p w14:paraId="40B71A93">
            <w:pPr>
              <w:jc w:val="center"/>
            </w:pPr>
            <w:r>
              <w:rPr>
                <w:rFonts w:ascii="宋体" w:hAnsi="宋体" w:eastAsia="宋体"/>
                <w:sz w:val="24"/>
              </w:rPr>
              <w:t>项目支出绩效自评表</w:t>
            </w:r>
          </w:p>
        </w:tc>
      </w:tr>
      <w:tr w14:paraId="72807939">
        <w:tblPrEx>
          <w:tblCellMar>
            <w:top w:w="0" w:type="dxa"/>
            <w:left w:w="108" w:type="dxa"/>
            <w:bottom w:w="0" w:type="dxa"/>
            <w:right w:w="108" w:type="dxa"/>
          </w:tblCellMar>
        </w:tblPrEx>
        <w:tc>
          <w:tcPr>
            <w:tcW w:w="8848" w:type="dxa"/>
            <w:gridSpan w:val="14"/>
            <w:vAlign w:val="center"/>
          </w:tcPr>
          <w:p w14:paraId="3F9A0757">
            <w:pPr>
              <w:jc w:val="center"/>
            </w:pPr>
            <w:r>
              <w:rPr>
                <w:rFonts w:ascii="宋体" w:hAnsi="宋体" w:eastAsia="宋体"/>
                <w:sz w:val="24"/>
              </w:rPr>
              <w:t>(2024年度)</w:t>
            </w:r>
          </w:p>
        </w:tc>
      </w:tr>
      <w:tr w14:paraId="1CC923B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A8E4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46473C9">
            <w:pPr>
              <w:jc w:val="center"/>
            </w:pPr>
            <w:r>
              <w:rPr>
                <w:rFonts w:ascii="宋体" w:hAnsi="宋体" w:eastAsia="宋体"/>
                <w:sz w:val="16"/>
              </w:rPr>
              <w:t>人大代表活动经费项目</w:t>
            </w:r>
          </w:p>
        </w:tc>
      </w:tr>
      <w:tr w14:paraId="5F2D1A8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98D6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EC89DB">
            <w:pPr>
              <w:jc w:val="center"/>
            </w:pPr>
            <w:r>
              <w:rPr>
                <w:rFonts w:ascii="宋体" w:hAnsi="宋体" w:eastAsia="宋体"/>
                <w:sz w:val="16"/>
              </w:rPr>
              <w:t>岳普湖县人民代表大会常务委员会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07A2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0925459">
            <w:pPr>
              <w:jc w:val="center"/>
            </w:pPr>
            <w:r>
              <w:rPr>
                <w:rFonts w:ascii="宋体" w:hAnsi="宋体" w:eastAsia="宋体"/>
                <w:sz w:val="16"/>
              </w:rPr>
              <w:t>岳普湖县人民代表大会常务委员会</w:t>
            </w:r>
          </w:p>
        </w:tc>
      </w:tr>
      <w:tr w14:paraId="6A9015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5C99E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F178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74F8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43B6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27C2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C305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F0C9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374011">
            <w:pPr>
              <w:jc w:val="center"/>
            </w:pPr>
            <w:r>
              <w:rPr>
                <w:rFonts w:ascii="宋体" w:hAnsi="宋体" w:eastAsia="宋体"/>
                <w:sz w:val="16"/>
              </w:rPr>
              <w:t>得分</w:t>
            </w:r>
          </w:p>
        </w:tc>
      </w:tr>
      <w:tr w14:paraId="2163C2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D6209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D84F2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385897">
            <w:pPr>
              <w:jc w:val="center"/>
            </w:pPr>
            <w:r>
              <w:rPr>
                <w:rFonts w:ascii="宋体" w:hAnsi="宋体" w:eastAsia="宋体"/>
                <w:sz w:val="16"/>
              </w:rPr>
              <w:t>47.82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BEB8B">
            <w:pPr>
              <w:jc w:val="center"/>
            </w:pPr>
            <w:r>
              <w:rPr>
                <w:rFonts w:ascii="宋体" w:hAnsi="宋体" w:eastAsia="宋体"/>
                <w:sz w:val="16"/>
              </w:rPr>
              <w:t>47.82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285D7">
            <w:pPr>
              <w:jc w:val="center"/>
            </w:pPr>
            <w:r>
              <w:rPr>
                <w:rFonts w:ascii="宋体" w:hAnsi="宋体" w:eastAsia="宋体"/>
                <w:sz w:val="16"/>
              </w:rPr>
              <w:t>27.72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7883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1BDE74">
            <w:pPr>
              <w:jc w:val="center"/>
            </w:pPr>
            <w:r>
              <w:rPr>
                <w:rFonts w:ascii="宋体" w:hAnsi="宋体" w:eastAsia="宋体"/>
                <w:sz w:val="16"/>
              </w:rPr>
              <w:t>57.97%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6A4AE">
            <w:pPr>
              <w:jc w:val="center"/>
            </w:pPr>
            <w:r>
              <w:rPr>
                <w:rFonts w:ascii="宋体" w:hAnsi="宋体" w:eastAsia="宋体"/>
                <w:sz w:val="16"/>
              </w:rPr>
              <w:t>0.00分</w:t>
            </w:r>
          </w:p>
        </w:tc>
      </w:tr>
      <w:tr w14:paraId="7B6563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DE96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CA4B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54817">
            <w:pPr>
              <w:jc w:val="center"/>
            </w:pPr>
            <w:r>
              <w:rPr>
                <w:rFonts w:ascii="宋体" w:hAnsi="宋体" w:eastAsia="宋体"/>
                <w:sz w:val="16"/>
              </w:rPr>
              <w:t>47.82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784C1D">
            <w:pPr>
              <w:jc w:val="center"/>
            </w:pPr>
            <w:r>
              <w:rPr>
                <w:rFonts w:ascii="宋体" w:hAnsi="宋体" w:eastAsia="宋体"/>
                <w:sz w:val="16"/>
              </w:rPr>
              <w:t>47.82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0BD58">
            <w:pPr>
              <w:jc w:val="center"/>
            </w:pPr>
            <w:r>
              <w:rPr>
                <w:rFonts w:ascii="宋体" w:hAnsi="宋体" w:eastAsia="宋体"/>
                <w:sz w:val="16"/>
              </w:rPr>
              <w:t>27.72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40F5F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54C8EE">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739C7">
            <w:pPr>
              <w:jc w:val="center"/>
            </w:pPr>
            <w:r>
              <w:rPr>
                <w:rFonts w:ascii="宋体" w:hAnsi="宋体" w:eastAsia="宋体"/>
                <w:sz w:val="16"/>
              </w:rPr>
              <w:t>—</w:t>
            </w:r>
          </w:p>
        </w:tc>
      </w:tr>
      <w:tr w14:paraId="06AB98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968E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9746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823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ACDAD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BF3B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DF015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6621C">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6395F">
            <w:pPr>
              <w:jc w:val="center"/>
            </w:pPr>
            <w:r>
              <w:rPr>
                <w:rFonts w:ascii="宋体" w:hAnsi="宋体" w:eastAsia="宋体"/>
                <w:sz w:val="16"/>
              </w:rPr>
              <w:t>—</w:t>
            </w:r>
          </w:p>
        </w:tc>
      </w:tr>
      <w:tr w14:paraId="7EAB05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73B98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E66B02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22BE25">
            <w:pPr>
              <w:jc w:val="center"/>
            </w:pPr>
            <w:r>
              <w:rPr>
                <w:rFonts w:ascii="宋体" w:hAnsi="宋体" w:eastAsia="宋体"/>
                <w:sz w:val="16"/>
              </w:rPr>
              <w:t>实际完成情况</w:t>
            </w:r>
          </w:p>
        </w:tc>
      </w:tr>
      <w:tr w14:paraId="3FBEE6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CAF3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B68019">
            <w:pPr>
              <w:jc w:val="both"/>
            </w:pPr>
            <w:r>
              <w:rPr>
                <w:rFonts w:ascii="宋体" w:hAnsi="宋体" w:eastAsia="宋体"/>
                <w:sz w:val="16"/>
              </w:rPr>
              <w:t>为岳普湖县人大代表活动提供经费支持保障。根据自治区党委人大工作会议精神，围绕加</w:t>
            </w:r>
            <w:r>
              <w:rPr>
                <w:rFonts w:hint="eastAsia" w:ascii="宋体" w:hAnsi="宋体"/>
                <w:sz w:val="16"/>
                <w:lang w:eastAsia="zh-CN"/>
              </w:rPr>
              <w:t>强和</w:t>
            </w:r>
            <w:r>
              <w:rPr>
                <w:rFonts w:ascii="宋体" w:hAnsi="宋体" w:eastAsia="宋体"/>
                <w:sz w:val="16"/>
              </w:rPr>
              <w:t>改进新时代代表工作，为更好保障代表开展集中视察、专题调研、代表小组活动、参加代表培训、列席下级人大常委会会议、保障代表进“家、室、站”开展活动等闭会期间活动按期开展。资金保障县级基层人大机构数量1个。通过项目的实施落实开展法律规定的代表活动，提升人大代表履职能力、改善活动固定场所环境，充分尊重代表主体地位，充分发挥代表作用，提高人大代表工作的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95B4A9B">
            <w:pPr>
              <w:jc w:val="both"/>
            </w:pPr>
            <w:r>
              <w:rPr>
                <w:rFonts w:ascii="宋体" w:hAnsi="宋体" w:eastAsia="宋体"/>
                <w:sz w:val="16"/>
              </w:rPr>
              <w:t>资金保障县级基层人大机构数量为1个，保障了代表开展集中视察、专题调研、代表小组活动、参加代表培训、列席下级人大常委会会议、保障代表进“家、室、站”开展活动等闭会期间活动按期开展。项目预算执行率为58%。通过项目的实施有效落实了开展法律规定的代表活动，进一步提升了人大代表履职能力、改善了活动固定场所环境，充分尊重了代表主体地位，充分发挥了代表作用，提高了人大代表工作的积极性。基层人大代表满意度达到了100%。</w:t>
            </w:r>
          </w:p>
        </w:tc>
      </w:tr>
      <w:tr w14:paraId="769A1E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D33EC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8535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A246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8A79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BA39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0C3B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00DA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5D79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B6F1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72A4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AF7AE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C0A1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B4871">
            <w:pPr>
              <w:jc w:val="center"/>
            </w:pPr>
            <w:r>
              <w:rPr>
                <w:rFonts w:ascii="宋体" w:hAnsi="宋体" w:eastAsia="宋体"/>
                <w:sz w:val="16"/>
              </w:rPr>
              <w:t>偏差原因分析及改进措施</w:t>
            </w:r>
          </w:p>
        </w:tc>
      </w:tr>
      <w:tr w14:paraId="14200B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05D69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282173">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87ED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9D6C3">
            <w:pPr>
              <w:jc w:val="center"/>
            </w:pPr>
            <w:r>
              <w:rPr>
                <w:rFonts w:ascii="宋体" w:hAnsi="宋体" w:eastAsia="宋体"/>
                <w:sz w:val="16"/>
              </w:rPr>
              <w:t>资金保障县级基层人大机构数量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54A07">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FBB4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A34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C9D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2A3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4C8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27A3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899C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445F5">
            <w:pPr>
              <w:jc w:val="center"/>
            </w:pPr>
          </w:p>
        </w:tc>
      </w:tr>
      <w:tr w14:paraId="371EFD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A8B5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53B71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91AB1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F9FB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BC7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734D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A59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0D51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D64C1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41D7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080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6947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39ECA">
            <w:pPr>
              <w:jc w:val="center"/>
            </w:pPr>
          </w:p>
        </w:tc>
      </w:tr>
      <w:tr w14:paraId="678DB2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0963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7A6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2589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CA905">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79F7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934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6658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9F88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FA5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2201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61D9C">
            <w:pPr>
              <w:jc w:val="center"/>
            </w:pPr>
            <w:r>
              <w:rPr>
                <w:rFonts w:ascii="宋体" w:hAnsi="宋体" w:eastAsia="宋体"/>
                <w:sz w:val="16"/>
              </w:rPr>
              <w:t>=57.96%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0E45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F5C7EB">
            <w:pPr>
              <w:jc w:val="center"/>
            </w:pPr>
            <w:r>
              <w:rPr>
                <w:rFonts w:ascii="宋体" w:hAnsi="宋体" w:eastAsia="宋体"/>
                <w:sz w:val="16"/>
              </w:rPr>
              <w:t>未完成原因：经费支出主要用于人大代表开展视察和培训等方向，2024年度</w:t>
            </w:r>
            <w:r>
              <w:rPr>
                <w:rFonts w:hint="eastAsia" w:ascii="宋体" w:hAnsi="宋体"/>
                <w:sz w:val="16"/>
                <w:lang w:eastAsia="zh-CN"/>
              </w:rPr>
              <w:t>本单位</w:t>
            </w:r>
            <w:r>
              <w:rPr>
                <w:rFonts w:ascii="宋体" w:hAnsi="宋体" w:eastAsia="宋体"/>
                <w:sz w:val="16"/>
              </w:rPr>
              <w:t>已经按计划组织完成了人大代表开展视察和培训工作，相关经费已经据实支付，剩余资金计划次年继续用于同类项目。改进措施：进一步细化人大代表视察和培训方案，对于已经发生的支出事项及时申请支付项目资金。</w:t>
            </w:r>
          </w:p>
        </w:tc>
      </w:tr>
      <w:tr w14:paraId="01D64D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C401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2885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41BF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E25D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76ACE">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2EE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7636A">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A139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621A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0CF8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1700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E61A4">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829C2">
            <w:pPr>
              <w:jc w:val="center"/>
            </w:pPr>
            <w:r>
              <w:rPr>
                <w:rFonts w:ascii="宋体" w:hAnsi="宋体" w:eastAsia="宋体"/>
                <w:sz w:val="16"/>
              </w:rPr>
              <w:t>未完成原因：经费支出主要用于人大代表开展视察和培训等方向，2024年度</w:t>
            </w:r>
            <w:r>
              <w:rPr>
                <w:rFonts w:hint="eastAsia" w:ascii="宋体" w:hAnsi="宋体"/>
                <w:sz w:val="16"/>
                <w:lang w:eastAsia="zh-CN"/>
              </w:rPr>
              <w:t>本单位</w:t>
            </w:r>
            <w:r>
              <w:rPr>
                <w:rFonts w:ascii="宋体" w:hAnsi="宋体" w:eastAsia="宋体"/>
                <w:sz w:val="16"/>
              </w:rPr>
              <w:t>已经按计划组织完成了人大代表开展视察和培训工作，相关经费已经据实支付，剩余资金计划次年继续用于同类项目。改进措施：进一步细化人大代表视察和培训方案，对于已经发生的支出事项及时申请支付项目资金。</w:t>
            </w:r>
          </w:p>
        </w:tc>
      </w:tr>
      <w:tr w14:paraId="735923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3F18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5681A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BBB8A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BD254">
            <w:pPr>
              <w:jc w:val="center"/>
            </w:pPr>
            <w:r>
              <w:rPr>
                <w:rFonts w:ascii="宋体" w:hAnsi="宋体" w:eastAsia="宋体"/>
                <w:sz w:val="16"/>
              </w:rPr>
              <w:t>县级经费预算支出金额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E45B1">
            <w:pPr>
              <w:jc w:val="center"/>
            </w:pPr>
            <w:r>
              <w:rPr>
                <w:rFonts w:ascii="宋体" w:hAnsi="宋体" w:eastAsia="宋体"/>
                <w:sz w:val="16"/>
              </w:rPr>
              <w:t>&lt;=33.85万元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CA4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067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1A25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A15C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82FB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BD021">
            <w:pPr>
              <w:jc w:val="center"/>
            </w:pPr>
            <w:r>
              <w:rPr>
                <w:rFonts w:ascii="宋体" w:hAnsi="宋体" w:eastAsia="宋体"/>
                <w:sz w:val="16"/>
              </w:rPr>
              <w:t>=18.12万元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BAF4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B128A">
            <w:pPr>
              <w:jc w:val="center"/>
            </w:pPr>
            <w:r>
              <w:rPr>
                <w:rFonts w:ascii="宋体" w:hAnsi="宋体" w:eastAsia="宋体"/>
                <w:sz w:val="16"/>
              </w:rPr>
              <w:t>未完成原因：经费支出主要用于人大代表开展视察和培训等方向，2024年度</w:t>
            </w:r>
            <w:r>
              <w:rPr>
                <w:rFonts w:hint="eastAsia" w:ascii="宋体" w:hAnsi="宋体"/>
                <w:sz w:val="16"/>
                <w:lang w:eastAsia="zh-CN"/>
              </w:rPr>
              <w:t>本单位</w:t>
            </w:r>
            <w:r>
              <w:rPr>
                <w:rFonts w:ascii="宋体" w:hAnsi="宋体" w:eastAsia="宋体"/>
                <w:sz w:val="16"/>
              </w:rPr>
              <w:t>已经按计划组织完成了人大代表开展视察和培训工作，相关经费已经据实支付，剩余资金计划次年继续用于同类项目。改进措施：进一步细化人大代表视察和培训方案，对于已经发生的支出事项及时申请支付项目资金。</w:t>
            </w:r>
          </w:p>
        </w:tc>
      </w:tr>
      <w:tr w14:paraId="35715D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8F289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220A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02CF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BF47C">
            <w:pPr>
              <w:jc w:val="center"/>
            </w:pPr>
            <w:r>
              <w:rPr>
                <w:rFonts w:ascii="宋体" w:hAnsi="宋体" w:eastAsia="宋体"/>
                <w:sz w:val="16"/>
              </w:rPr>
              <w:t>乡镇经费预算支出金额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0DAF9">
            <w:pPr>
              <w:jc w:val="center"/>
            </w:pPr>
            <w:r>
              <w:rPr>
                <w:rFonts w:ascii="宋体" w:hAnsi="宋体" w:eastAsia="宋体"/>
                <w:sz w:val="16"/>
              </w:rPr>
              <w:t>&lt;=13.97万元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213A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EB03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C3D2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858B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B913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1EDCB">
            <w:pPr>
              <w:jc w:val="center"/>
            </w:pPr>
            <w:r>
              <w:rPr>
                <w:rFonts w:ascii="宋体" w:hAnsi="宋体" w:eastAsia="宋体"/>
                <w:sz w:val="16"/>
              </w:rPr>
              <w:t>=9.6万元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F79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121402">
            <w:pPr>
              <w:jc w:val="center"/>
            </w:pPr>
            <w:r>
              <w:rPr>
                <w:rFonts w:ascii="宋体" w:hAnsi="宋体" w:eastAsia="宋体"/>
                <w:sz w:val="16"/>
              </w:rPr>
              <w:t>未完成原因：乡镇人大代表经费主要用于办公用品、误工补贴等方向，经费根据实际发生情况据实列支。改进措施：进一步做好项目管理工作，细化各项支出预算，发生支出事项时及时按规定申请支付项目资金。</w:t>
            </w:r>
          </w:p>
        </w:tc>
      </w:tr>
      <w:tr w14:paraId="2098AD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09BD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6068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C04C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CB6AA">
            <w:pPr>
              <w:jc w:val="center"/>
            </w:pPr>
            <w:r>
              <w:rPr>
                <w:rFonts w:ascii="宋体" w:hAnsi="宋体" w:eastAsia="宋体"/>
                <w:sz w:val="16"/>
              </w:rPr>
              <w:t>提高人大代表工作的积极性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81A97">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CA5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B986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D28A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D50C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BFB5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6359D">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0ED2C">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3EC42">
            <w:pPr>
              <w:jc w:val="center"/>
            </w:pPr>
          </w:p>
        </w:tc>
      </w:tr>
      <w:tr w14:paraId="671EB3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40D3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CD73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04A9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AB317">
            <w:pPr>
              <w:jc w:val="center"/>
            </w:pPr>
            <w:r>
              <w:rPr>
                <w:rFonts w:ascii="宋体" w:hAnsi="宋体" w:eastAsia="宋体"/>
                <w:sz w:val="16"/>
              </w:rPr>
              <w:t>基层人大代表满意度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98803">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174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7702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489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4B42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737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36FA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B3CB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2B581">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300D607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CB17C2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169F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0DC8DC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CAAEB">
            <w:pPr>
              <w:jc w:val="center"/>
            </w:pPr>
            <w:r>
              <w:rPr>
                <w:rFonts w:ascii="宋体" w:hAnsi="宋体" w:eastAsia="宋体"/>
                <w:sz w:val="16"/>
              </w:rPr>
              <w:t>60分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5DFA9A1"/>
        </w:tc>
      </w:tr>
    </w:tbl>
    <w:p w14:paraId="48A80766">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96"/>
        <w:gridCol w:w="696"/>
        <w:gridCol w:w="625"/>
        <w:gridCol w:w="632"/>
        <w:gridCol w:w="627"/>
        <w:gridCol w:w="625"/>
        <w:gridCol w:w="625"/>
        <w:gridCol w:w="776"/>
        <w:gridCol w:w="632"/>
        <w:gridCol w:w="617"/>
        <w:gridCol w:w="630"/>
      </w:tblGrid>
      <w:tr w14:paraId="55E55678">
        <w:tblPrEx>
          <w:tblCellMar>
            <w:top w:w="0" w:type="dxa"/>
            <w:left w:w="108" w:type="dxa"/>
            <w:bottom w:w="0" w:type="dxa"/>
            <w:right w:w="108" w:type="dxa"/>
          </w:tblCellMar>
        </w:tblPrEx>
        <w:tc>
          <w:tcPr>
            <w:tcW w:w="8848" w:type="dxa"/>
            <w:gridSpan w:val="14"/>
            <w:vAlign w:val="center"/>
          </w:tcPr>
          <w:p w14:paraId="003BA6CF">
            <w:pPr>
              <w:jc w:val="center"/>
            </w:pPr>
            <w:r>
              <w:rPr>
                <w:rFonts w:ascii="宋体" w:hAnsi="宋体" w:eastAsia="宋体"/>
                <w:sz w:val="24"/>
              </w:rPr>
              <w:t>项目支出绩效自评表</w:t>
            </w:r>
          </w:p>
        </w:tc>
      </w:tr>
      <w:tr w14:paraId="29D429C0">
        <w:tblPrEx>
          <w:tblCellMar>
            <w:top w:w="0" w:type="dxa"/>
            <w:left w:w="108" w:type="dxa"/>
            <w:bottom w:w="0" w:type="dxa"/>
            <w:right w:w="108" w:type="dxa"/>
          </w:tblCellMar>
        </w:tblPrEx>
        <w:tc>
          <w:tcPr>
            <w:tcW w:w="8848" w:type="dxa"/>
            <w:gridSpan w:val="14"/>
            <w:vAlign w:val="center"/>
          </w:tcPr>
          <w:p w14:paraId="0BB2CFBC">
            <w:pPr>
              <w:jc w:val="center"/>
            </w:pPr>
            <w:r>
              <w:rPr>
                <w:rFonts w:ascii="宋体" w:hAnsi="宋体" w:eastAsia="宋体"/>
                <w:sz w:val="24"/>
              </w:rPr>
              <w:t>(2024年度)</w:t>
            </w:r>
          </w:p>
        </w:tc>
      </w:tr>
      <w:tr w14:paraId="7235814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2EEB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7EB3DFC">
            <w:pPr>
              <w:jc w:val="center"/>
            </w:pPr>
            <w:r>
              <w:rPr>
                <w:rFonts w:ascii="宋体" w:hAnsi="宋体" w:eastAsia="宋体"/>
                <w:sz w:val="16"/>
              </w:rPr>
              <w:t>基层人大补助项目</w:t>
            </w:r>
          </w:p>
        </w:tc>
      </w:tr>
      <w:tr w14:paraId="405066A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CBC0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640506">
            <w:pPr>
              <w:jc w:val="center"/>
            </w:pPr>
            <w:r>
              <w:rPr>
                <w:rFonts w:ascii="宋体" w:hAnsi="宋体" w:eastAsia="宋体"/>
                <w:sz w:val="16"/>
              </w:rPr>
              <w:t>岳普湖县人民代表大会常务委员会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BDB6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77CAFA8">
            <w:pPr>
              <w:jc w:val="center"/>
            </w:pPr>
            <w:r>
              <w:rPr>
                <w:rFonts w:ascii="宋体" w:hAnsi="宋体" w:eastAsia="宋体"/>
                <w:sz w:val="16"/>
              </w:rPr>
              <w:t>岳普湖县人民代表大会常务委员会</w:t>
            </w:r>
          </w:p>
        </w:tc>
      </w:tr>
      <w:tr w14:paraId="5C9567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D33E5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ACDA4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0FF23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0B5D3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316C9">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EA7A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41DE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B7D42">
            <w:pPr>
              <w:jc w:val="center"/>
            </w:pPr>
            <w:r>
              <w:rPr>
                <w:rFonts w:ascii="宋体" w:hAnsi="宋体" w:eastAsia="宋体"/>
                <w:sz w:val="16"/>
              </w:rPr>
              <w:t>得分</w:t>
            </w:r>
          </w:p>
        </w:tc>
      </w:tr>
      <w:tr w14:paraId="4ABACE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6BFE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1C16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E16DE">
            <w:pPr>
              <w:jc w:val="center"/>
            </w:pPr>
            <w:r>
              <w:rPr>
                <w:rFonts w:ascii="宋体" w:hAnsi="宋体" w:eastAsia="宋体"/>
                <w:sz w:val="16"/>
              </w:rPr>
              <w:t>11.12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A98027">
            <w:pPr>
              <w:jc w:val="center"/>
            </w:pPr>
            <w:r>
              <w:rPr>
                <w:rFonts w:ascii="宋体" w:hAnsi="宋体" w:eastAsia="宋体"/>
                <w:sz w:val="16"/>
              </w:rPr>
              <w:t>11.12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B0A731">
            <w:pPr>
              <w:jc w:val="center"/>
            </w:pPr>
            <w:r>
              <w:rPr>
                <w:rFonts w:ascii="宋体" w:hAnsi="宋体" w:eastAsia="宋体"/>
                <w:sz w:val="16"/>
              </w:rPr>
              <w:t>8.09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E70E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941454">
            <w:pPr>
              <w:jc w:val="center"/>
            </w:pPr>
            <w:r>
              <w:rPr>
                <w:rFonts w:ascii="宋体" w:hAnsi="宋体" w:eastAsia="宋体"/>
                <w:sz w:val="16"/>
              </w:rPr>
              <w:t>72.75%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3FBB8">
            <w:pPr>
              <w:jc w:val="center"/>
            </w:pPr>
            <w:r>
              <w:rPr>
                <w:rFonts w:ascii="宋体" w:hAnsi="宋体" w:eastAsia="宋体"/>
                <w:sz w:val="16"/>
              </w:rPr>
              <w:t>3.19分</w:t>
            </w:r>
          </w:p>
        </w:tc>
      </w:tr>
      <w:tr w14:paraId="0327B2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03880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5519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3A5C1">
            <w:pPr>
              <w:jc w:val="center"/>
            </w:pPr>
            <w:r>
              <w:rPr>
                <w:rFonts w:ascii="宋体" w:hAnsi="宋体" w:eastAsia="宋体"/>
                <w:sz w:val="16"/>
              </w:rPr>
              <w:t>11.12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21003E">
            <w:pPr>
              <w:jc w:val="center"/>
            </w:pPr>
            <w:r>
              <w:rPr>
                <w:rFonts w:ascii="宋体" w:hAnsi="宋体" w:eastAsia="宋体"/>
                <w:sz w:val="16"/>
              </w:rPr>
              <w:t>11.12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D110E">
            <w:pPr>
              <w:jc w:val="center"/>
            </w:pPr>
            <w:r>
              <w:rPr>
                <w:rFonts w:ascii="宋体" w:hAnsi="宋体" w:eastAsia="宋体"/>
                <w:sz w:val="16"/>
              </w:rPr>
              <w:t>8.09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6D6B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712356">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919EA">
            <w:pPr>
              <w:jc w:val="center"/>
            </w:pPr>
            <w:r>
              <w:rPr>
                <w:rFonts w:ascii="宋体" w:hAnsi="宋体" w:eastAsia="宋体"/>
                <w:sz w:val="16"/>
              </w:rPr>
              <w:t>—</w:t>
            </w:r>
          </w:p>
        </w:tc>
      </w:tr>
      <w:tr w14:paraId="7C3984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B36FF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8162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761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6B1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E25A0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D4830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B107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A465A">
            <w:pPr>
              <w:jc w:val="center"/>
            </w:pPr>
            <w:r>
              <w:rPr>
                <w:rFonts w:ascii="宋体" w:hAnsi="宋体" w:eastAsia="宋体"/>
                <w:sz w:val="16"/>
              </w:rPr>
              <w:t>—</w:t>
            </w:r>
          </w:p>
        </w:tc>
      </w:tr>
      <w:tr w14:paraId="7D6971D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7D5D2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12686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909EFF">
            <w:pPr>
              <w:jc w:val="center"/>
            </w:pPr>
            <w:r>
              <w:rPr>
                <w:rFonts w:ascii="宋体" w:hAnsi="宋体" w:eastAsia="宋体"/>
                <w:sz w:val="16"/>
              </w:rPr>
              <w:t>实际完成情况</w:t>
            </w:r>
          </w:p>
        </w:tc>
      </w:tr>
      <w:tr w14:paraId="735C3B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F993F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991343">
            <w:pPr>
              <w:jc w:val="both"/>
            </w:pPr>
            <w:r>
              <w:rPr>
                <w:rFonts w:ascii="宋体" w:hAnsi="宋体" w:eastAsia="宋体"/>
                <w:sz w:val="16"/>
              </w:rPr>
              <w:t>通过自治区给予基层人大经费补助，弥补基层人大建设中经费不足。全面加强基层人大建设，为基层人大代表“家室站”建设、开展立法监督等工作提供经费支持，经费保障县市代表室数量1个，通过项目的实施提高岳普湖县基层人大代表履职能力，提升办公效率，改善基层人大办公环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34C4270">
            <w:pPr>
              <w:jc w:val="both"/>
            </w:pPr>
            <w:r>
              <w:rPr>
                <w:rFonts w:ascii="宋体" w:hAnsi="宋体" w:eastAsia="宋体"/>
                <w:sz w:val="16"/>
              </w:rPr>
              <w:t>经费保障县市代表室数量1个，已经为基层人大代表“家室站”建设、开展立法监督等工作提供了经费支持，项目预算执行率为72.8%。通过项目的实施有效提高了岳普湖县基层人大代表履职能力，进一步提升了办公效率，持续改善了基层人大办公环境。各基层人大工委对于补助经费到位情况满意度达到了100%。</w:t>
            </w:r>
            <w:r>
              <w:rPr>
                <w:rFonts w:ascii="宋体" w:hAnsi="宋体" w:eastAsia="宋体"/>
                <w:sz w:val="16"/>
              </w:rPr>
              <w:br w:type="textWrapping"/>
            </w:r>
          </w:p>
        </w:tc>
      </w:tr>
      <w:tr w14:paraId="1E6D55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39E25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3496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1BA4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E1EE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9DAB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579D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D83B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E373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88D99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0C15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C67D7">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EFAD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05F25">
            <w:pPr>
              <w:jc w:val="center"/>
            </w:pPr>
            <w:r>
              <w:rPr>
                <w:rFonts w:ascii="宋体" w:hAnsi="宋体" w:eastAsia="宋体"/>
                <w:sz w:val="16"/>
              </w:rPr>
              <w:t>偏差原因分析及改进措施</w:t>
            </w:r>
          </w:p>
        </w:tc>
      </w:tr>
      <w:tr w14:paraId="7DBA7EF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11B90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6970C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F4968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4EFA7">
            <w:pPr>
              <w:jc w:val="center"/>
            </w:pPr>
            <w:r>
              <w:rPr>
                <w:rFonts w:ascii="宋体" w:hAnsi="宋体" w:eastAsia="宋体"/>
                <w:sz w:val="16"/>
              </w:rPr>
              <w:t>拨付直辖县级市数量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9C6D7">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5D5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86819">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4DD0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CE21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1178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9E30E">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0C6CE">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7EF95">
            <w:pPr>
              <w:jc w:val="center"/>
            </w:pPr>
          </w:p>
        </w:tc>
      </w:tr>
      <w:tr w14:paraId="5DB4E9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91B8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F117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B965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1FC39">
            <w:pPr>
              <w:jc w:val="center"/>
            </w:pPr>
            <w:r>
              <w:rPr>
                <w:rFonts w:ascii="宋体" w:hAnsi="宋体" w:eastAsia="宋体"/>
                <w:sz w:val="16"/>
              </w:rPr>
              <w:t>县市代表“室”数量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83C1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094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8848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570C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8C1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265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6BB7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D8B37">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B48691">
            <w:pPr>
              <w:jc w:val="center"/>
            </w:pPr>
          </w:p>
        </w:tc>
      </w:tr>
      <w:tr w14:paraId="10FABC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0ADB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6867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751D4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3B9F2">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FF24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CBB7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250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0B09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122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70ED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5B106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36376">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9482F6">
            <w:pPr>
              <w:jc w:val="center"/>
            </w:pPr>
          </w:p>
        </w:tc>
      </w:tr>
      <w:tr w14:paraId="59B2E1F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263D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6BE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0384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523CF">
            <w:pPr>
              <w:jc w:val="center"/>
            </w:pPr>
            <w:r>
              <w:rPr>
                <w:rFonts w:ascii="宋体" w:hAnsi="宋体" w:eastAsia="宋体"/>
                <w:sz w:val="16"/>
              </w:rPr>
              <w:t>补助经费拨付完成率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CB1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1E4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C452E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5D3A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ACD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F2BE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F5794">
            <w:pPr>
              <w:jc w:val="center"/>
            </w:pPr>
            <w:r>
              <w:rPr>
                <w:rFonts w:ascii="宋体" w:hAnsi="宋体" w:eastAsia="宋体"/>
                <w:sz w:val="16"/>
              </w:rPr>
              <w:t>=72.75%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5D9B6">
            <w:pPr>
              <w:jc w:val="center"/>
            </w:pPr>
            <w:r>
              <w:rPr>
                <w:rFonts w:ascii="宋体" w:hAnsi="宋体" w:eastAsia="宋体"/>
                <w:sz w:val="16"/>
              </w:rPr>
              <w:t>2.55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6313CA">
            <w:pPr>
              <w:jc w:val="center"/>
            </w:pPr>
            <w:r>
              <w:rPr>
                <w:rFonts w:ascii="宋体" w:hAnsi="宋体" w:eastAsia="宋体"/>
                <w:sz w:val="16"/>
              </w:rPr>
              <w:t>未完成原因：2024年度</w:t>
            </w:r>
            <w:r>
              <w:rPr>
                <w:rFonts w:hint="eastAsia" w:ascii="宋体" w:hAnsi="宋体"/>
                <w:sz w:val="16"/>
                <w:lang w:eastAsia="zh-CN"/>
              </w:rPr>
              <w:t>本单位</w:t>
            </w:r>
            <w:r>
              <w:rPr>
                <w:rFonts w:ascii="宋体" w:hAnsi="宋体" w:eastAsia="宋体"/>
                <w:sz w:val="16"/>
              </w:rPr>
              <w:t>已经按计划支付了办公用品费、资料费和耗材费等各项费用，剩余资金计划次年继续用于同类项目。改进措施：进一步细化基层人大补助方案，对于发生的支出事项及时申请支付项目资金。</w:t>
            </w:r>
          </w:p>
        </w:tc>
      </w:tr>
      <w:tr w14:paraId="4A4010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C992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8F91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3027D">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F3EA4">
            <w:pPr>
              <w:jc w:val="center"/>
            </w:pPr>
            <w:r>
              <w:rPr>
                <w:rFonts w:ascii="宋体" w:hAnsi="宋体" w:eastAsia="宋体"/>
                <w:sz w:val="16"/>
              </w:rPr>
              <w:t>经费支付完成时间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609D4">
            <w:pPr>
              <w:jc w:val="center"/>
            </w:pPr>
            <w:r>
              <w:rPr>
                <w:rFonts w:ascii="宋体" w:hAnsi="宋体" w:eastAsia="宋体"/>
                <w:sz w:val="16"/>
              </w:rPr>
              <w:t>=2024年12月29日前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BB5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A3FC8">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45EB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85D0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81E4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0AAA0">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A029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FB737">
            <w:pPr>
              <w:jc w:val="center"/>
            </w:pPr>
            <w:r>
              <w:rPr>
                <w:rFonts w:ascii="宋体" w:hAnsi="宋体" w:eastAsia="宋体"/>
                <w:sz w:val="16"/>
              </w:rPr>
              <w:t>未完成原因：2024年度</w:t>
            </w:r>
            <w:r>
              <w:rPr>
                <w:rFonts w:hint="eastAsia" w:ascii="宋体" w:hAnsi="宋体"/>
                <w:sz w:val="16"/>
                <w:lang w:eastAsia="zh-CN"/>
              </w:rPr>
              <w:t>本单位</w:t>
            </w:r>
            <w:r>
              <w:rPr>
                <w:rFonts w:ascii="宋体" w:hAnsi="宋体" w:eastAsia="宋体"/>
                <w:sz w:val="16"/>
              </w:rPr>
              <w:t>已经按计划支付了办公用品费、资料费和耗材费等各项费用，剩余资金计划次年继续用于同类项目。改进措施：进一步细化基层人大补助方案，对于发生的支出事项及时申请支付项目资金。</w:t>
            </w:r>
          </w:p>
        </w:tc>
      </w:tr>
      <w:tr w14:paraId="242593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F5120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9792C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B6BA5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CE9BD">
            <w:pPr>
              <w:jc w:val="center"/>
            </w:pPr>
            <w:r>
              <w:rPr>
                <w:rFonts w:ascii="宋体" w:hAnsi="宋体" w:eastAsia="宋体"/>
                <w:sz w:val="16"/>
              </w:rPr>
              <w:t>县级人大经费支出预算控制数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3D7FE">
            <w:pPr>
              <w:jc w:val="center"/>
            </w:pPr>
            <w:r>
              <w:rPr>
                <w:rFonts w:ascii="宋体" w:hAnsi="宋体" w:eastAsia="宋体"/>
                <w:sz w:val="16"/>
              </w:rPr>
              <w:t>&lt;=10万元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00FA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F11C6">
            <w:pPr>
              <w:jc w:val="center"/>
            </w:pPr>
            <w:r>
              <w:rPr>
                <w:rFonts w:ascii="宋体" w:hAnsi="宋体" w:eastAsia="宋体"/>
                <w:sz w:val="16"/>
              </w:rPr>
              <w:t>15000元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895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BF5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B1D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59534">
            <w:pPr>
              <w:jc w:val="center"/>
            </w:pPr>
            <w:r>
              <w:rPr>
                <w:rFonts w:ascii="宋体" w:hAnsi="宋体" w:eastAsia="宋体"/>
                <w:sz w:val="16"/>
              </w:rPr>
              <w:t>=6.98万元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016B5">
            <w:pPr>
              <w:jc w:val="center"/>
            </w:pPr>
            <w:r>
              <w:rPr>
                <w:rFonts w:ascii="宋体" w:hAnsi="宋体" w:eastAsia="宋体"/>
                <w:sz w:val="16"/>
              </w:rPr>
              <w:t>2.45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77853">
            <w:pPr>
              <w:jc w:val="center"/>
            </w:pPr>
            <w:r>
              <w:rPr>
                <w:rFonts w:ascii="宋体" w:hAnsi="宋体" w:eastAsia="宋体"/>
                <w:sz w:val="16"/>
              </w:rPr>
              <w:t>未完成原因：2024年度</w:t>
            </w:r>
            <w:r>
              <w:rPr>
                <w:rFonts w:hint="eastAsia" w:ascii="宋体" w:hAnsi="宋体"/>
                <w:sz w:val="16"/>
                <w:lang w:eastAsia="zh-CN"/>
              </w:rPr>
              <w:t>本单位</w:t>
            </w:r>
            <w:r>
              <w:rPr>
                <w:rFonts w:ascii="宋体" w:hAnsi="宋体" w:eastAsia="宋体"/>
                <w:sz w:val="16"/>
              </w:rPr>
              <w:t>已经按计划支付了办公用品费、资料费和耗材费等各项费用，剩余资金计划次年继续用于同类项目。改进措施：进一步细化基层人大补助方案，对于发生的支出事项及时申请支付项目资金。</w:t>
            </w:r>
          </w:p>
        </w:tc>
      </w:tr>
      <w:tr w14:paraId="054B2A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6C6D0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B889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970A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26D922">
            <w:pPr>
              <w:jc w:val="center"/>
            </w:pPr>
            <w:r>
              <w:rPr>
                <w:rFonts w:ascii="宋体" w:hAnsi="宋体" w:eastAsia="宋体"/>
                <w:sz w:val="16"/>
              </w:rPr>
              <w:t>乡镇人大经费支出预算控制数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B3F24">
            <w:pPr>
              <w:jc w:val="center"/>
            </w:pPr>
            <w:r>
              <w:rPr>
                <w:rFonts w:ascii="宋体" w:hAnsi="宋体" w:eastAsia="宋体"/>
                <w:sz w:val="16"/>
              </w:rPr>
              <w:t>&lt;=1.12万元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8B4C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2B4F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122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F3C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63B9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73082">
            <w:pPr>
              <w:jc w:val="center"/>
            </w:pPr>
            <w:r>
              <w:rPr>
                <w:rFonts w:ascii="宋体" w:hAnsi="宋体" w:eastAsia="宋体"/>
                <w:sz w:val="16"/>
              </w:rPr>
              <w:t>=1.11万元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EE6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BBE91">
            <w:pPr>
              <w:jc w:val="center"/>
            </w:pPr>
          </w:p>
        </w:tc>
      </w:tr>
      <w:tr w14:paraId="15BDFE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4494D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8CEE0F">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7F006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386CA">
            <w:pPr>
              <w:jc w:val="center"/>
            </w:pPr>
            <w:r>
              <w:rPr>
                <w:rFonts w:hint="eastAsia" w:ascii="宋体" w:hAnsi="宋体"/>
                <w:sz w:val="16"/>
                <w:lang w:eastAsia="zh-CN"/>
              </w:rPr>
              <w:t>提高</w:t>
            </w:r>
            <w:r>
              <w:rPr>
                <w:rFonts w:ascii="宋体" w:hAnsi="宋体" w:eastAsia="宋体"/>
                <w:sz w:val="16"/>
              </w:rPr>
              <w:t>基层人大代表履职能力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F715C">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6CD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54F29">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765D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C3B2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166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2BC5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889CD">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11BB40">
            <w:pPr>
              <w:jc w:val="center"/>
            </w:pPr>
          </w:p>
        </w:tc>
      </w:tr>
      <w:tr w14:paraId="29E6111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7BD15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56D8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70CE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2486B">
            <w:pPr>
              <w:jc w:val="center"/>
            </w:pPr>
            <w:r>
              <w:rPr>
                <w:rFonts w:ascii="宋体" w:hAnsi="宋体" w:eastAsia="宋体"/>
                <w:sz w:val="16"/>
              </w:rPr>
              <w:t>提升办公效率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9E42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81879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AC85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69A6F">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B87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A10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79B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937CA">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69953F">
            <w:pPr>
              <w:jc w:val="center"/>
            </w:pPr>
          </w:p>
        </w:tc>
      </w:tr>
      <w:tr w14:paraId="5382D0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5577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2913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48D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5B6DA">
            <w:pPr>
              <w:jc w:val="center"/>
            </w:pPr>
            <w:r>
              <w:rPr>
                <w:rFonts w:hint="eastAsia" w:ascii="宋体" w:hAnsi="宋体"/>
                <w:sz w:val="16"/>
                <w:lang w:eastAsia="zh-CN"/>
              </w:rPr>
              <w:t>改善</w:t>
            </w:r>
            <w:r>
              <w:rPr>
                <w:rFonts w:ascii="宋体" w:hAnsi="宋体" w:eastAsia="宋体"/>
                <w:sz w:val="16"/>
              </w:rPr>
              <w:t>基层人大办公环境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3EF23">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A5D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29768">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B6A0E">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42B4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AF6DD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3B7DF">
            <w:pPr>
              <w:jc w:val="center"/>
            </w:pPr>
            <w:r>
              <w:rPr>
                <w:rFonts w:ascii="宋体" w:hAnsi="宋体" w:eastAsia="宋体"/>
                <w:sz w:val="16"/>
              </w:rPr>
              <w:t>有所改善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22804">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976F7">
            <w:pPr>
              <w:jc w:val="center"/>
            </w:pPr>
          </w:p>
        </w:tc>
      </w:tr>
      <w:tr w14:paraId="0626115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7952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8FFA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EFCF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14074">
            <w:pPr>
              <w:jc w:val="center"/>
            </w:pPr>
            <w:r>
              <w:rPr>
                <w:rFonts w:ascii="宋体" w:hAnsi="宋体" w:eastAsia="宋体"/>
                <w:sz w:val="16"/>
              </w:rPr>
              <w:t>各基层人大工委对于补助经费到位情况满意度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D1151">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69D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FC2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8FC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31F7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933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8A2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933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179CD4">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3B935D5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61FFD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A29A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5802B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0EACA">
            <w:pPr>
              <w:jc w:val="center"/>
            </w:pPr>
            <w:r>
              <w:rPr>
                <w:rFonts w:ascii="宋体" w:hAnsi="宋体" w:eastAsia="宋体"/>
                <w:sz w:val="16"/>
              </w:rPr>
              <w:t>72.19分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79CFFA14"/>
        </w:tc>
      </w:tr>
    </w:tbl>
    <w:p w14:paraId="3611659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69FACB15">
        <w:tblPrEx>
          <w:tblCellMar>
            <w:top w:w="0" w:type="dxa"/>
            <w:left w:w="108" w:type="dxa"/>
            <w:bottom w:w="0" w:type="dxa"/>
            <w:right w:w="108" w:type="dxa"/>
          </w:tblCellMar>
        </w:tblPrEx>
        <w:tc>
          <w:tcPr>
            <w:tcW w:w="8848" w:type="dxa"/>
            <w:gridSpan w:val="14"/>
            <w:vAlign w:val="center"/>
          </w:tcPr>
          <w:p w14:paraId="39200E6A">
            <w:pPr>
              <w:jc w:val="center"/>
            </w:pPr>
            <w:r>
              <w:rPr>
                <w:rFonts w:ascii="宋体" w:hAnsi="宋体" w:eastAsia="宋体"/>
                <w:sz w:val="24"/>
              </w:rPr>
              <w:t>项目支出绩效自评表</w:t>
            </w:r>
          </w:p>
        </w:tc>
      </w:tr>
      <w:tr w14:paraId="723ED153">
        <w:tblPrEx>
          <w:tblCellMar>
            <w:top w:w="0" w:type="dxa"/>
            <w:left w:w="108" w:type="dxa"/>
            <w:bottom w:w="0" w:type="dxa"/>
            <w:right w:w="108" w:type="dxa"/>
          </w:tblCellMar>
        </w:tblPrEx>
        <w:tc>
          <w:tcPr>
            <w:tcW w:w="8848" w:type="dxa"/>
            <w:gridSpan w:val="14"/>
            <w:vAlign w:val="center"/>
          </w:tcPr>
          <w:p w14:paraId="632E2768">
            <w:pPr>
              <w:jc w:val="center"/>
            </w:pPr>
            <w:r>
              <w:rPr>
                <w:rFonts w:ascii="宋体" w:hAnsi="宋体" w:eastAsia="宋体"/>
                <w:sz w:val="24"/>
              </w:rPr>
              <w:t>(2024年度)</w:t>
            </w:r>
          </w:p>
        </w:tc>
      </w:tr>
      <w:tr w14:paraId="18FB4BA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527E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5C4DFCE">
            <w:pPr>
              <w:jc w:val="center"/>
            </w:pPr>
            <w:r>
              <w:rPr>
                <w:rFonts w:ascii="宋体" w:hAnsi="宋体" w:eastAsia="宋体"/>
                <w:sz w:val="16"/>
              </w:rPr>
              <w:t>清偿</w:t>
            </w:r>
            <w:bookmarkStart w:id="0" w:name="_GoBack"/>
            <w:r>
              <w:rPr>
                <w:rFonts w:ascii="宋体" w:hAnsi="宋体" w:eastAsia="宋体"/>
                <w:sz w:val="16"/>
              </w:rPr>
              <w:t>欠款</w:t>
            </w:r>
            <w:bookmarkEnd w:id="0"/>
            <w:r>
              <w:rPr>
                <w:rFonts w:ascii="宋体" w:hAnsi="宋体" w:eastAsia="宋体"/>
                <w:sz w:val="16"/>
              </w:rPr>
              <w:t>项目</w:t>
            </w:r>
          </w:p>
        </w:tc>
      </w:tr>
      <w:tr w14:paraId="487759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C7699">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139D82">
            <w:pPr>
              <w:jc w:val="center"/>
            </w:pPr>
            <w:r>
              <w:rPr>
                <w:rFonts w:ascii="宋体" w:hAnsi="宋体" w:eastAsia="宋体"/>
                <w:sz w:val="16"/>
              </w:rPr>
              <w:t>岳普湖县人民代表大会常务委员会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F49F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1EEC4A">
            <w:pPr>
              <w:jc w:val="center"/>
            </w:pPr>
            <w:r>
              <w:rPr>
                <w:rFonts w:ascii="宋体" w:hAnsi="宋体" w:eastAsia="宋体"/>
                <w:sz w:val="16"/>
              </w:rPr>
              <w:t>岳普湖县人民代表大会常务委员会</w:t>
            </w:r>
          </w:p>
        </w:tc>
      </w:tr>
      <w:tr w14:paraId="3BACFAD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79853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97F0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BAA0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4CD03B">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DC066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6240E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26FD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75E9E">
            <w:pPr>
              <w:jc w:val="center"/>
            </w:pPr>
            <w:r>
              <w:rPr>
                <w:rFonts w:ascii="宋体" w:hAnsi="宋体" w:eastAsia="宋体"/>
                <w:sz w:val="16"/>
              </w:rPr>
              <w:t>得分</w:t>
            </w:r>
          </w:p>
        </w:tc>
      </w:tr>
      <w:tr w14:paraId="21FE8A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BEFD7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7FC4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1C579">
            <w:pPr>
              <w:jc w:val="center"/>
            </w:pPr>
            <w:r>
              <w:rPr>
                <w:rFonts w:ascii="宋体" w:hAnsi="宋体" w:eastAsia="宋体"/>
                <w:sz w:val="16"/>
              </w:rPr>
              <w:t>6.36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13E31">
            <w:pPr>
              <w:jc w:val="center"/>
            </w:pPr>
            <w:r>
              <w:rPr>
                <w:rFonts w:ascii="宋体" w:hAnsi="宋体" w:eastAsia="宋体"/>
                <w:sz w:val="16"/>
              </w:rPr>
              <w:t>6.36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DEB08">
            <w:pPr>
              <w:jc w:val="center"/>
            </w:pPr>
            <w:r>
              <w:rPr>
                <w:rFonts w:ascii="宋体" w:hAnsi="宋体" w:eastAsia="宋体"/>
                <w:sz w:val="16"/>
              </w:rPr>
              <w:t>6.36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A59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0C9A7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2B917">
            <w:pPr>
              <w:jc w:val="center"/>
            </w:pPr>
            <w:r>
              <w:rPr>
                <w:rFonts w:ascii="宋体" w:hAnsi="宋体" w:eastAsia="宋体"/>
                <w:sz w:val="16"/>
              </w:rPr>
              <w:t>10.00分</w:t>
            </w:r>
          </w:p>
        </w:tc>
      </w:tr>
      <w:tr w14:paraId="6007B4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ED40C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3D61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0EF441">
            <w:pPr>
              <w:jc w:val="center"/>
            </w:pPr>
            <w:r>
              <w:rPr>
                <w:rFonts w:ascii="宋体" w:hAnsi="宋体" w:eastAsia="宋体"/>
                <w:sz w:val="16"/>
              </w:rPr>
              <w:t>6.36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69FED">
            <w:pPr>
              <w:jc w:val="center"/>
            </w:pPr>
            <w:r>
              <w:rPr>
                <w:rFonts w:ascii="宋体" w:hAnsi="宋体" w:eastAsia="宋体"/>
                <w:sz w:val="16"/>
              </w:rPr>
              <w:t>6.36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7A4F4D">
            <w:pPr>
              <w:jc w:val="center"/>
            </w:pPr>
            <w:r>
              <w:rPr>
                <w:rFonts w:ascii="宋体" w:hAnsi="宋体" w:eastAsia="宋体"/>
                <w:sz w:val="16"/>
              </w:rPr>
              <w:t>6.36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C4990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3BDA9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4E0BA2">
            <w:pPr>
              <w:jc w:val="center"/>
            </w:pPr>
            <w:r>
              <w:rPr>
                <w:rFonts w:ascii="宋体" w:hAnsi="宋体" w:eastAsia="宋体"/>
                <w:sz w:val="16"/>
              </w:rPr>
              <w:t>—</w:t>
            </w:r>
          </w:p>
        </w:tc>
      </w:tr>
      <w:tr w14:paraId="309174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A187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3B475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B433C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D34F6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745F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D975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C36E1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7218F">
            <w:pPr>
              <w:jc w:val="center"/>
            </w:pPr>
            <w:r>
              <w:rPr>
                <w:rFonts w:ascii="宋体" w:hAnsi="宋体" w:eastAsia="宋体"/>
                <w:sz w:val="16"/>
              </w:rPr>
              <w:t>—</w:t>
            </w:r>
          </w:p>
        </w:tc>
      </w:tr>
      <w:tr w14:paraId="5AFE36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0C506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37A5C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C0DD73">
            <w:pPr>
              <w:jc w:val="center"/>
            </w:pPr>
            <w:r>
              <w:rPr>
                <w:rFonts w:ascii="宋体" w:hAnsi="宋体" w:eastAsia="宋体"/>
                <w:sz w:val="16"/>
              </w:rPr>
              <w:t>实际完成情况</w:t>
            </w:r>
          </w:p>
        </w:tc>
      </w:tr>
      <w:tr w14:paraId="6844DF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0CCC4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031BF6">
            <w:pPr>
              <w:jc w:val="both"/>
            </w:pPr>
            <w:r>
              <w:rPr>
                <w:rFonts w:ascii="宋体" w:hAnsi="宋体" w:eastAsia="宋体"/>
                <w:sz w:val="16"/>
              </w:rPr>
              <w:t>项目资金主要用于清偿“人大预算联网监督工作经费项目”共计1个项目以前年度应付未付的项目欠款。确保项目欠款按期及时支付，提高政府部门的履约和服务能力，增强政府公信力。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2FE5F6A">
            <w:pPr>
              <w:jc w:val="both"/>
            </w:pPr>
            <w:r>
              <w:rPr>
                <w:rFonts w:ascii="宋体" w:hAnsi="宋体" w:eastAsia="宋体"/>
                <w:sz w:val="16"/>
              </w:rPr>
              <w:t>已经按期支付了“人大预算联网监督工作经费项目”共计1个项目以前年度应付未付的项目欠款。项目预算执行率为100%。通过项目的实施确保了项目欠款按期及时支付，有效提高了政府部门的履约和服务能力，进一步增强了政府公信力。</w:t>
            </w:r>
          </w:p>
        </w:tc>
      </w:tr>
      <w:tr w14:paraId="5F552F0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C6A17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C51B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39C4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8726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EA13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EFFB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4263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F319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7C06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CF01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ED4F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DD52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E6DB8">
            <w:pPr>
              <w:jc w:val="center"/>
            </w:pPr>
            <w:r>
              <w:rPr>
                <w:rFonts w:ascii="宋体" w:hAnsi="宋体" w:eastAsia="宋体"/>
                <w:sz w:val="16"/>
              </w:rPr>
              <w:t>偏差原因分析及改进措施</w:t>
            </w:r>
          </w:p>
        </w:tc>
      </w:tr>
      <w:tr w14:paraId="732E188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66BA1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B79E9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BD1C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F5F02">
            <w:pPr>
              <w:jc w:val="center"/>
            </w:pPr>
            <w:r>
              <w:rPr>
                <w:rFonts w:ascii="宋体" w:hAnsi="宋体" w:eastAsia="宋体"/>
                <w:sz w:val="16"/>
              </w:rPr>
              <w:t>清偿欠款项目数量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8F47E">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376C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4AC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2FA4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869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C944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1E84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F6D1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B054F">
            <w:pPr>
              <w:jc w:val="center"/>
            </w:pPr>
          </w:p>
        </w:tc>
      </w:tr>
      <w:tr w14:paraId="421131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BEED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ACD4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AB129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3103B">
            <w:pPr>
              <w:jc w:val="center"/>
            </w:pPr>
            <w:r>
              <w:rPr>
                <w:rFonts w:ascii="宋体" w:hAnsi="宋体" w:eastAsia="宋体"/>
                <w:sz w:val="16"/>
              </w:rPr>
              <w:t>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013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9B25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A41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7085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1FD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539E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8699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A062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C530B">
            <w:pPr>
              <w:jc w:val="center"/>
            </w:pPr>
          </w:p>
        </w:tc>
      </w:tr>
      <w:tr w14:paraId="714853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4250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5EA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7953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23D29">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4F9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2E29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2069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F454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7C1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689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9CE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CCD0A">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5DC35">
            <w:pPr>
              <w:jc w:val="center"/>
            </w:pPr>
          </w:p>
        </w:tc>
      </w:tr>
      <w:tr w14:paraId="6144D5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B8F7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2BF81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5DF37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F99EE">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EF2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701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E0AC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BB3E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15F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C717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9289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0A34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D5B04">
            <w:pPr>
              <w:jc w:val="center"/>
            </w:pPr>
          </w:p>
        </w:tc>
      </w:tr>
      <w:tr w14:paraId="35E2FA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A28EB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3987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AB9E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1A05C">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F126B">
            <w:pPr>
              <w:jc w:val="center"/>
            </w:pPr>
            <w:r>
              <w:rPr>
                <w:rFonts w:ascii="宋体" w:hAnsi="宋体" w:eastAsia="宋体"/>
                <w:sz w:val="16"/>
              </w:rPr>
              <w:t>=2024年12月23日前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BA1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BE52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C4C8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79FE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737D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1DAC69">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6858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F9431">
            <w:pPr>
              <w:jc w:val="center"/>
            </w:pPr>
          </w:p>
        </w:tc>
      </w:tr>
      <w:tr w14:paraId="4B9E9F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AE9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5CFA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373A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4F7ED">
            <w:pPr>
              <w:jc w:val="center"/>
            </w:pPr>
            <w:r>
              <w:rPr>
                <w:rFonts w:ascii="宋体" w:hAnsi="宋体" w:eastAsia="宋体"/>
                <w:sz w:val="16"/>
              </w:rPr>
              <w:t>清偿欠款平均成本控制数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E8439">
            <w:pPr>
              <w:jc w:val="center"/>
            </w:pPr>
            <w:r>
              <w:rPr>
                <w:rFonts w:ascii="宋体" w:hAnsi="宋体" w:eastAsia="宋体"/>
                <w:sz w:val="16"/>
              </w:rPr>
              <w:t>&lt;=6.36万元/个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A899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24F8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82D0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436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0FD2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511B5">
            <w:pPr>
              <w:jc w:val="center"/>
            </w:pPr>
            <w:r>
              <w:rPr>
                <w:rFonts w:ascii="宋体" w:hAnsi="宋体" w:eastAsia="宋体"/>
                <w:sz w:val="16"/>
              </w:rPr>
              <w:t>=6.36万元/个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924D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0AF076">
            <w:pPr>
              <w:jc w:val="center"/>
            </w:pPr>
          </w:p>
        </w:tc>
      </w:tr>
      <w:tr w14:paraId="794D1D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AF8E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6E3B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DC3D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493F2">
            <w:pPr>
              <w:jc w:val="center"/>
            </w:pPr>
            <w:r>
              <w:rPr>
                <w:rFonts w:ascii="宋体" w:hAnsi="宋体" w:eastAsia="宋体"/>
                <w:sz w:val="16"/>
              </w:rPr>
              <w:t>提高政府部门的履约和服务能力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D57A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022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57CC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9C783">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636F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D6CE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08527">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E699C">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FD1528">
            <w:pPr>
              <w:jc w:val="center"/>
            </w:pPr>
          </w:p>
        </w:tc>
      </w:tr>
      <w:tr w14:paraId="001BC23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2F3AF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549B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5EBB0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229A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0644741"/>
        </w:tc>
      </w:tr>
    </w:tbl>
    <w:p w14:paraId="1B958859">
      <w:r>
        <w:br w:type="page"/>
      </w:r>
    </w:p>
    <w:p w14:paraId="692BD3FA">
      <w:pPr>
        <w:spacing w:line="640" w:lineRule="exact"/>
        <w:ind w:firstLine="640"/>
        <w:jc w:val="both"/>
        <w:outlineLvl w:val="2"/>
      </w:pPr>
      <w:r>
        <w:rPr>
          <w:rFonts w:ascii="黑体" w:hAnsi="黑体" w:eastAsia="黑体"/>
          <w:sz w:val="32"/>
        </w:rPr>
        <w:t>十二、其他需说明的事项</w:t>
      </w:r>
    </w:p>
    <w:p w14:paraId="5C18D488">
      <w:pPr>
        <w:spacing w:line="580" w:lineRule="exact"/>
        <w:ind w:firstLine="640"/>
        <w:jc w:val="both"/>
      </w:pPr>
      <w:r>
        <w:rPr>
          <w:rFonts w:ascii="仿宋_GB2312" w:hAnsi="仿宋_GB2312" w:eastAsia="仿宋_GB2312"/>
          <w:b w:val="0"/>
          <w:sz w:val="32"/>
        </w:rPr>
        <w:t>本单位无其他需说明的事项。</w:t>
      </w:r>
    </w:p>
    <w:p w14:paraId="208610AF">
      <w:r>
        <w:br w:type="page"/>
      </w:r>
    </w:p>
    <w:p w14:paraId="70556BF5">
      <w:pPr>
        <w:spacing w:line="240" w:lineRule="auto"/>
        <w:jc w:val="center"/>
        <w:outlineLvl w:val="1"/>
      </w:pPr>
      <w:r>
        <w:rPr>
          <w:rFonts w:ascii="黑体" w:hAnsi="黑体" w:eastAsia="黑体"/>
          <w:sz w:val="32"/>
        </w:rPr>
        <w:t>第三部分 专业名词解释</w:t>
      </w:r>
    </w:p>
    <w:p w14:paraId="7D0BED4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AFF611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DCE567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C9867A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FA0B6C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37172313">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3FBB59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EA19B9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46E23BE">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81FC64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45C4E36">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251AD75">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3D0C3A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15324C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7EBF6AD">
      <w:r>
        <w:br w:type="page"/>
      </w:r>
    </w:p>
    <w:p w14:paraId="0C7561D0">
      <w:pPr>
        <w:spacing w:line="240" w:lineRule="auto"/>
        <w:jc w:val="center"/>
        <w:outlineLvl w:val="1"/>
      </w:pPr>
      <w:r>
        <w:rPr>
          <w:rFonts w:ascii="黑体" w:hAnsi="黑体" w:eastAsia="黑体"/>
          <w:sz w:val="32"/>
        </w:rPr>
        <w:t>第四部分 部门决算报表（见附表）</w:t>
      </w:r>
    </w:p>
    <w:p w14:paraId="5A4767ED">
      <w:pPr>
        <w:spacing w:line="240" w:lineRule="auto"/>
        <w:ind w:firstLine="640"/>
        <w:jc w:val="both"/>
      </w:pPr>
      <w:r>
        <w:rPr>
          <w:rFonts w:ascii="仿宋_GB2312" w:hAnsi="仿宋_GB2312" w:eastAsia="仿宋_GB2312"/>
          <w:b w:val="0"/>
          <w:sz w:val="32"/>
        </w:rPr>
        <w:t>一、《收入支出决算总表》</w:t>
      </w:r>
    </w:p>
    <w:p w14:paraId="2959CD3D">
      <w:pPr>
        <w:spacing w:line="240" w:lineRule="auto"/>
        <w:ind w:firstLine="640"/>
        <w:jc w:val="both"/>
      </w:pPr>
      <w:r>
        <w:rPr>
          <w:rFonts w:ascii="仿宋_GB2312" w:hAnsi="仿宋_GB2312" w:eastAsia="仿宋_GB2312"/>
          <w:b w:val="0"/>
          <w:sz w:val="32"/>
        </w:rPr>
        <w:t>二、《收入决算表》</w:t>
      </w:r>
    </w:p>
    <w:p w14:paraId="1F279DDD">
      <w:pPr>
        <w:spacing w:line="240" w:lineRule="auto"/>
        <w:ind w:firstLine="640"/>
        <w:jc w:val="both"/>
      </w:pPr>
      <w:r>
        <w:rPr>
          <w:rFonts w:ascii="仿宋_GB2312" w:hAnsi="仿宋_GB2312" w:eastAsia="仿宋_GB2312"/>
          <w:b w:val="0"/>
          <w:sz w:val="32"/>
        </w:rPr>
        <w:t>三、《支出决算表》</w:t>
      </w:r>
    </w:p>
    <w:p w14:paraId="0E5A55A9">
      <w:pPr>
        <w:spacing w:line="240" w:lineRule="auto"/>
        <w:ind w:firstLine="640"/>
        <w:jc w:val="both"/>
      </w:pPr>
      <w:r>
        <w:rPr>
          <w:rFonts w:ascii="仿宋_GB2312" w:hAnsi="仿宋_GB2312" w:eastAsia="仿宋_GB2312"/>
          <w:b w:val="0"/>
          <w:sz w:val="32"/>
        </w:rPr>
        <w:t>四、《财政拨款收入支出决算总表》</w:t>
      </w:r>
    </w:p>
    <w:p w14:paraId="64CC6911">
      <w:pPr>
        <w:spacing w:line="240" w:lineRule="auto"/>
        <w:ind w:firstLine="640"/>
        <w:jc w:val="both"/>
      </w:pPr>
      <w:r>
        <w:rPr>
          <w:rFonts w:ascii="仿宋_GB2312" w:hAnsi="仿宋_GB2312" w:eastAsia="仿宋_GB2312"/>
          <w:b w:val="0"/>
          <w:sz w:val="32"/>
        </w:rPr>
        <w:t>五、《一般公共预算财政拨款支出决算表》</w:t>
      </w:r>
    </w:p>
    <w:p w14:paraId="7736DDEB">
      <w:pPr>
        <w:spacing w:line="240" w:lineRule="auto"/>
        <w:ind w:firstLine="640"/>
        <w:jc w:val="both"/>
      </w:pPr>
      <w:r>
        <w:rPr>
          <w:rFonts w:ascii="仿宋_GB2312" w:hAnsi="仿宋_GB2312" w:eastAsia="仿宋_GB2312"/>
          <w:b w:val="0"/>
          <w:sz w:val="32"/>
        </w:rPr>
        <w:t>六、《一般公共预算财政拨款基本支出决算表》</w:t>
      </w:r>
    </w:p>
    <w:p w14:paraId="21966FF1">
      <w:pPr>
        <w:spacing w:line="240" w:lineRule="auto"/>
        <w:ind w:firstLine="640"/>
        <w:jc w:val="both"/>
      </w:pPr>
      <w:r>
        <w:rPr>
          <w:rFonts w:ascii="仿宋_GB2312" w:hAnsi="仿宋_GB2312" w:eastAsia="仿宋_GB2312"/>
          <w:b w:val="0"/>
          <w:sz w:val="32"/>
        </w:rPr>
        <w:t>七、《政府性基金预算财政拨款收入支出决算表》</w:t>
      </w:r>
    </w:p>
    <w:p w14:paraId="048C2A7A">
      <w:pPr>
        <w:spacing w:line="240" w:lineRule="auto"/>
        <w:ind w:firstLine="640"/>
        <w:jc w:val="both"/>
      </w:pPr>
      <w:r>
        <w:rPr>
          <w:rFonts w:ascii="仿宋_GB2312" w:hAnsi="仿宋_GB2312" w:eastAsia="仿宋_GB2312"/>
          <w:b w:val="0"/>
          <w:sz w:val="32"/>
        </w:rPr>
        <w:t>八、《国有资本经营预算财政拨款收入支出决算表》</w:t>
      </w:r>
    </w:p>
    <w:p w14:paraId="17119908">
      <w:pPr>
        <w:spacing w:line="240" w:lineRule="auto"/>
        <w:ind w:firstLine="640"/>
        <w:jc w:val="both"/>
      </w:pPr>
      <w:r>
        <w:rPr>
          <w:rFonts w:ascii="仿宋_GB2312" w:hAnsi="仿宋_GB2312" w:eastAsia="仿宋_GB2312"/>
          <w:b w:val="0"/>
          <w:sz w:val="32"/>
        </w:rPr>
        <w:t>九、《财政拨款“三公”经费支出决算表》</w:t>
      </w:r>
    </w:p>
    <w:p w14:paraId="215F2F5C">
      <w:pPr>
        <w:spacing w:line="240" w:lineRule="auto"/>
        <w:ind w:firstLine="640"/>
        <w:jc w:val="both"/>
      </w:pPr>
    </w:p>
    <w:p w14:paraId="2CE3A26D">
      <w:pPr>
        <w:spacing w:line="240" w:lineRule="auto"/>
        <w:ind w:firstLine="640"/>
        <w:jc w:val="both"/>
      </w:pPr>
    </w:p>
    <w:p w14:paraId="4D523A5C">
      <w:pPr>
        <w:spacing w:line="240" w:lineRule="auto"/>
        <w:ind w:firstLine="640"/>
        <w:jc w:val="both"/>
      </w:pPr>
    </w:p>
    <w:p w14:paraId="0562640B">
      <w:pPr>
        <w:spacing w:line="240" w:lineRule="auto"/>
        <w:ind w:firstLine="640"/>
        <w:jc w:val="both"/>
      </w:pPr>
    </w:p>
    <w:p w14:paraId="19AAAED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58C10E6"/>
    <w:rsid w:val="464B7E04"/>
    <w:rsid w:val="464F7E64"/>
    <w:rsid w:val="46901EEE"/>
    <w:rsid w:val="469C74D2"/>
    <w:rsid w:val="47445515"/>
    <w:rsid w:val="4B4C0111"/>
    <w:rsid w:val="4BB23021"/>
    <w:rsid w:val="4F3F074E"/>
    <w:rsid w:val="50DB5F45"/>
    <w:rsid w:val="52F92565"/>
    <w:rsid w:val="543D17CB"/>
    <w:rsid w:val="55DA564E"/>
    <w:rsid w:val="56DF4D55"/>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28</Pages>
  <Words>4555</Words>
  <Characters>5208</Characters>
  <Lines>0</Lines>
  <Paragraphs>0</Paragraphs>
  <TotalTime>5</TotalTime>
  <ScaleCrop>false</ScaleCrop>
  <LinksUpToDate>false</LinksUpToDate>
  <CharactersWithSpaces>5216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2025-09-12T11:08:54Z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eyJoZGlkIjoiZjE5ZjY4MTZmMjdlZTdiNDk2YjE2YjM5MDdjZDkwNjQiLCJ1c2VySWQiOiI0OTMxMTE3MjUifQ==</vt:lpwstr>
  </property>
</Properties>
</file>