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岳普湖县人民政府办公室2024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2ECD643">
      <w:r>
        <w:br w:type="page"/>
      </w:r>
    </w:p>
    <w:p w14:paraId="6714211A">
      <w:pPr>
        <w:spacing w:line="640" w:lineRule="exact"/>
        <w:jc w:val="center"/>
        <w:outlineLvl w:val="1"/>
      </w:pPr>
      <w:r>
        <w:rPr>
          <w:rFonts w:ascii="黑体" w:hAnsi="黑体" w:eastAsia="黑体"/>
          <w:sz w:val="32"/>
        </w:rPr>
        <w:t>第一部分 单位概况</w:t>
      </w:r>
    </w:p>
    <w:p w14:paraId="120D0DC2">
      <w:pPr>
        <w:spacing w:line="640" w:lineRule="exact"/>
        <w:ind w:firstLine="640"/>
        <w:jc w:val="both"/>
        <w:outlineLvl w:val="2"/>
      </w:pPr>
      <w:r>
        <w:rPr>
          <w:rFonts w:ascii="黑体" w:hAnsi="黑体" w:eastAsia="黑体"/>
          <w:sz w:val="32"/>
        </w:rPr>
        <w:t>一、主要职能</w:t>
      </w:r>
    </w:p>
    <w:p w14:paraId="6BF1F73E">
      <w:pPr>
        <w:spacing w:line="580" w:lineRule="exact"/>
        <w:ind w:firstLine="640"/>
        <w:jc w:val="both"/>
      </w:pPr>
      <w:r>
        <w:rPr>
          <w:rFonts w:ascii="仿宋_GB2312" w:hAnsi="仿宋_GB2312" w:eastAsia="仿宋_GB2312"/>
          <w:sz w:val="32"/>
        </w:rPr>
        <w:t>（1）负责政府会议的会务工作，协助政府领导同志组织实施会议决定事项。</w:t>
      </w:r>
    </w:p>
    <w:p w14:paraId="087FBC7B">
      <w:pPr>
        <w:spacing w:line="580" w:lineRule="exact"/>
        <w:ind w:firstLine="640"/>
        <w:jc w:val="both"/>
      </w:pPr>
      <w:r>
        <w:rPr>
          <w:rFonts w:ascii="仿宋_GB2312" w:hAnsi="仿宋_GB2312" w:eastAsia="仿宋_GB2312"/>
          <w:sz w:val="32"/>
        </w:rPr>
        <w:t>（2）协助政府领导同志组织起草或审核以政府、政府办公室名义发布的公文。</w:t>
      </w:r>
    </w:p>
    <w:p w14:paraId="072A7486">
      <w:pPr>
        <w:spacing w:line="580" w:lineRule="exact"/>
        <w:ind w:firstLine="640"/>
        <w:jc w:val="both"/>
      </w:pPr>
      <w:r>
        <w:rPr>
          <w:rFonts w:ascii="仿宋_GB2312" w:hAnsi="仿宋_GB2312" w:eastAsia="仿宋_GB2312"/>
          <w:sz w:val="32"/>
        </w:rPr>
        <w:t>（3）研究政府各工作部门和各乡镇人民政府请示政府的事项，提出审核意见，报政府领导同志审定。</w:t>
      </w:r>
    </w:p>
    <w:p w14:paraId="240F9370">
      <w:pPr>
        <w:spacing w:line="580" w:lineRule="exact"/>
        <w:ind w:firstLine="640"/>
        <w:jc w:val="both"/>
      </w:pPr>
      <w:r>
        <w:rPr>
          <w:rFonts w:ascii="仿宋_GB2312" w:hAnsi="仿宋_GB2312" w:eastAsia="仿宋_GB2312"/>
          <w:sz w:val="32"/>
        </w:rPr>
        <w:t>（4）承担政府和办公室文件、文稿的起草、修改、校对、翻译、印发和日常文书处理工作。</w:t>
      </w:r>
    </w:p>
    <w:p w14:paraId="40FF1046">
      <w:pPr>
        <w:spacing w:line="580" w:lineRule="exact"/>
        <w:ind w:firstLine="640"/>
        <w:jc w:val="both"/>
      </w:pPr>
      <w:r>
        <w:rPr>
          <w:rFonts w:ascii="仿宋_GB2312" w:hAnsi="仿宋_GB2312" w:eastAsia="仿宋_GB2312"/>
          <w:sz w:val="32"/>
        </w:rPr>
        <w:t>（5）负责对政府工作部署贯彻落实情况的督促检查；负责对政府领导同志指示、批示工作的督促检查并跟踪调研，及时向政府领导同志报告；负责人大代表、政协委员对政府的建议、批评、意见及提案的办理和答复工作。</w:t>
      </w:r>
    </w:p>
    <w:p w14:paraId="22702C4E">
      <w:pPr>
        <w:spacing w:line="580" w:lineRule="exact"/>
        <w:ind w:firstLine="640"/>
        <w:jc w:val="both"/>
      </w:pPr>
      <w:r>
        <w:rPr>
          <w:rFonts w:ascii="仿宋_GB2312" w:hAnsi="仿宋_GB2312" w:eastAsia="仿宋_GB2312"/>
          <w:sz w:val="32"/>
        </w:rPr>
        <w:t>（6）负责政府总值班工作，及时报告各乡镇人民政府、政府各部门主要情况，协助处理各乡镇和各部门向政府反映的重要问题，传达、督促落实政府领导同志的指示批示精神。</w:t>
      </w:r>
    </w:p>
    <w:p w14:paraId="42CC140F">
      <w:pPr>
        <w:spacing w:line="580" w:lineRule="exact"/>
        <w:ind w:firstLine="640"/>
        <w:jc w:val="both"/>
      </w:pPr>
      <w:r>
        <w:rPr>
          <w:rFonts w:ascii="仿宋_GB2312" w:hAnsi="仿宋_GB2312" w:eastAsia="仿宋_GB2312"/>
          <w:sz w:val="32"/>
        </w:rPr>
        <w:t>（7）负责指导、监督全县政务公开工作。</w:t>
      </w:r>
    </w:p>
    <w:p w14:paraId="02C79301">
      <w:pPr>
        <w:spacing w:line="580" w:lineRule="exact"/>
        <w:ind w:firstLine="640"/>
        <w:jc w:val="both"/>
      </w:pPr>
      <w:r>
        <w:rPr>
          <w:rFonts w:ascii="仿宋_GB2312" w:hAnsi="仿宋_GB2312" w:eastAsia="仿宋_GB2312"/>
          <w:sz w:val="32"/>
        </w:rPr>
        <w:t>（8）根据政府工作重点和政府领导同志的指示，组织专题调查研究，及时反映情况，提出建议。</w:t>
      </w:r>
    </w:p>
    <w:p w14:paraId="36F0FD75">
      <w:pPr>
        <w:spacing w:line="580" w:lineRule="exact"/>
        <w:ind w:firstLine="640"/>
        <w:jc w:val="both"/>
      </w:pPr>
      <w:r>
        <w:rPr>
          <w:rFonts w:ascii="仿宋_GB2312" w:hAnsi="仿宋_GB2312" w:eastAsia="仿宋_GB2312"/>
          <w:sz w:val="32"/>
        </w:rPr>
        <w:t>（9）牵头政府系统电子政务工作、在线政务服务平台和“互联网+政务服务”系统建设的组织推进、统筹协调等工作，推动政府职能转变、深化“放管服”改革。</w:t>
      </w:r>
    </w:p>
    <w:p w14:paraId="0D7A4817">
      <w:pPr>
        <w:spacing w:line="580" w:lineRule="exact"/>
        <w:ind w:firstLine="640"/>
        <w:jc w:val="both"/>
      </w:pPr>
      <w:r>
        <w:rPr>
          <w:rFonts w:ascii="仿宋_GB2312" w:hAnsi="仿宋_GB2312" w:eastAsia="仿宋_GB2312"/>
          <w:sz w:val="32"/>
        </w:rPr>
        <w:t>（10）承担县委外事工作委员会办公室工作。</w:t>
      </w:r>
    </w:p>
    <w:p w14:paraId="341CDDB3">
      <w:pPr>
        <w:spacing w:line="580" w:lineRule="exact"/>
        <w:ind w:firstLine="640"/>
        <w:jc w:val="both"/>
      </w:pPr>
      <w:r>
        <w:rPr>
          <w:rFonts w:ascii="仿宋_GB2312" w:hAnsi="仿宋_GB2312" w:eastAsia="仿宋_GB2312"/>
          <w:sz w:val="32"/>
        </w:rPr>
        <w:t>（11）承办县委、县政府交办的其他事项。</w:t>
      </w:r>
    </w:p>
    <w:p w14:paraId="5956218C">
      <w:pPr>
        <w:spacing w:line="640" w:lineRule="exact"/>
        <w:ind w:firstLine="640"/>
        <w:jc w:val="both"/>
        <w:outlineLvl w:val="2"/>
      </w:pPr>
      <w:r>
        <w:rPr>
          <w:rFonts w:ascii="黑体" w:hAnsi="黑体" w:eastAsia="黑体"/>
          <w:sz w:val="32"/>
        </w:rPr>
        <w:t>二、机构设置及人员情况</w:t>
      </w:r>
    </w:p>
    <w:p w14:paraId="69577E67">
      <w:pPr>
        <w:spacing w:line="580" w:lineRule="exact"/>
        <w:ind w:firstLine="640"/>
        <w:jc w:val="both"/>
      </w:pPr>
      <w:r>
        <w:rPr>
          <w:rFonts w:ascii="仿宋_GB2312" w:hAnsi="仿宋_GB2312" w:eastAsia="仿宋_GB2312"/>
          <w:sz w:val="32"/>
        </w:rPr>
        <w:t>岳普湖县人民政府办公室2024年度，实有人数52人，其中：在职人员37人，减少3人；离休人员1人，增加0人；退休人员14人,减少3人。</w:t>
      </w:r>
    </w:p>
    <w:p w14:paraId="50DB17B2">
      <w:pPr>
        <w:spacing w:line="580" w:lineRule="exact"/>
        <w:ind w:firstLine="640"/>
        <w:jc w:val="both"/>
      </w:pPr>
      <w:r>
        <w:rPr>
          <w:rFonts w:ascii="仿宋_GB2312" w:hAnsi="仿宋_GB2312" w:eastAsia="仿宋_GB2312"/>
          <w:sz w:val="32"/>
        </w:rPr>
        <w:t>岳普湖县人民政府办公室无下属预算单位，下设6个科室，分别是：办公室、秘书室、督察室、综合室、文书处理室、档案室。</w:t>
      </w:r>
    </w:p>
    <w:p w14:paraId="28B79DF3">
      <w:r>
        <w:br w:type="page"/>
      </w:r>
    </w:p>
    <w:p w14:paraId="1D4D0C21">
      <w:pPr>
        <w:spacing w:line="240" w:lineRule="auto"/>
        <w:jc w:val="center"/>
        <w:outlineLvl w:val="1"/>
      </w:pPr>
      <w:r>
        <w:rPr>
          <w:rFonts w:ascii="黑体" w:hAnsi="黑体" w:eastAsia="黑体"/>
          <w:sz w:val="32"/>
        </w:rPr>
        <w:t>第二部分 部门决算情况说明</w:t>
      </w:r>
    </w:p>
    <w:p w14:paraId="0E44189C">
      <w:pPr>
        <w:spacing w:line="640" w:lineRule="exact"/>
        <w:ind w:firstLine="640"/>
        <w:jc w:val="both"/>
        <w:outlineLvl w:val="2"/>
      </w:pPr>
      <w:r>
        <w:rPr>
          <w:rFonts w:ascii="黑体" w:hAnsi="黑体" w:eastAsia="黑体"/>
          <w:sz w:val="32"/>
        </w:rPr>
        <w:t>一、收入支出决算总体情况说明</w:t>
      </w:r>
    </w:p>
    <w:p w14:paraId="678DFC1B">
      <w:pPr>
        <w:spacing w:line="580" w:lineRule="exact"/>
        <w:ind w:firstLine="640"/>
        <w:jc w:val="both"/>
      </w:pPr>
      <w:r>
        <w:rPr>
          <w:rFonts w:ascii="仿宋_GB2312" w:hAnsi="仿宋_GB2312" w:eastAsia="仿宋_GB2312"/>
          <w:b/>
          <w:sz w:val="32"/>
        </w:rPr>
        <w:t>2024年度收入总计985.93万元，</w:t>
      </w:r>
      <w:r>
        <w:rPr>
          <w:rFonts w:ascii="仿宋_GB2312" w:hAnsi="仿宋_GB2312" w:eastAsia="仿宋_GB2312"/>
          <w:b w:val="0"/>
          <w:sz w:val="32"/>
        </w:rPr>
        <w:t>其中：本年收入合计985.93万元，使用非财政拨款结余（含专用结余）0.00万元，年初结转和结余0.00万元。</w:t>
      </w:r>
    </w:p>
    <w:p w14:paraId="14490D3E">
      <w:pPr>
        <w:spacing w:line="580" w:lineRule="exact"/>
        <w:ind w:firstLine="640"/>
        <w:jc w:val="both"/>
      </w:pPr>
      <w:r>
        <w:rPr>
          <w:rFonts w:ascii="仿宋_GB2312" w:hAnsi="仿宋_GB2312" w:eastAsia="仿宋_GB2312"/>
          <w:b/>
          <w:sz w:val="32"/>
        </w:rPr>
        <w:t>2024年度支出总计985.93万元，</w:t>
      </w:r>
      <w:r>
        <w:rPr>
          <w:rFonts w:ascii="仿宋_GB2312" w:hAnsi="仿宋_GB2312" w:eastAsia="仿宋_GB2312"/>
          <w:b w:val="0"/>
          <w:sz w:val="32"/>
        </w:rPr>
        <w:t>其中：本年支出合计985.93万元，结余分配0.00万元，年末结转和结余0.00万元。</w:t>
      </w:r>
    </w:p>
    <w:p w14:paraId="5A385702">
      <w:pPr>
        <w:spacing w:line="580" w:lineRule="exact"/>
        <w:ind w:firstLine="640"/>
        <w:jc w:val="both"/>
      </w:pPr>
      <w:r>
        <w:rPr>
          <w:rFonts w:ascii="仿宋_GB2312" w:hAnsi="仿宋_GB2312" w:eastAsia="仿宋_GB2312"/>
          <w:b w:val="0"/>
          <w:sz w:val="32"/>
        </w:rPr>
        <w:t>收入支出总体与上年相比，增加98.65万元，增长11.12%，主要原因是：本年在职人员工资调增，社保、公积金基数调增，人员经费增加；本年政府办聘请律师费用较上年增加。</w:t>
      </w:r>
    </w:p>
    <w:p w14:paraId="2B991F56">
      <w:pPr>
        <w:spacing w:line="640" w:lineRule="exact"/>
        <w:ind w:firstLine="640"/>
        <w:jc w:val="both"/>
        <w:outlineLvl w:val="2"/>
      </w:pPr>
      <w:r>
        <w:rPr>
          <w:rFonts w:ascii="黑体" w:hAnsi="黑体" w:eastAsia="黑体"/>
          <w:sz w:val="32"/>
        </w:rPr>
        <w:t>二、收入决算情况说明</w:t>
      </w:r>
    </w:p>
    <w:p w14:paraId="6FAE455B">
      <w:pPr>
        <w:spacing w:line="580" w:lineRule="exact"/>
        <w:ind w:firstLine="640"/>
        <w:jc w:val="both"/>
      </w:pPr>
      <w:r>
        <w:rPr>
          <w:rFonts w:ascii="仿宋_GB2312" w:hAnsi="仿宋_GB2312" w:eastAsia="仿宋_GB2312"/>
          <w:b/>
          <w:sz w:val="32"/>
        </w:rPr>
        <w:t>本年收入985.93万元，</w:t>
      </w:r>
      <w:r>
        <w:rPr>
          <w:rFonts w:ascii="仿宋_GB2312" w:hAnsi="仿宋_GB2312" w:eastAsia="仿宋_GB2312"/>
          <w:b w:val="0"/>
          <w:sz w:val="32"/>
        </w:rPr>
        <w:t>其中：财政拨款收入985.93万元，占100.00%；上级补助收入0.00万元，占0.00%；事业收入0.00万元，占0.00%；经营收入0.00万元，占0.00%；附属单位上缴收入0.00万元，占0.00%；其他收入0.00万元，占0.00%。</w:t>
      </w:r>
    </w:p>
    <w:p w14:paraId="5C1DBCEB">
      <w:pPr>
        <w:spacing w:line="640" w:lineRule="exact"/>
        <w:ind w:firstLine="640"/>
        <w:jc w:val="both"/>
        <w:outlineLvl w:val="2"/>
      </w:pPr>
      <w:r>
        <w:rPr>
          <w:rFonts w:ascii="黑体" w:hAnsi="黑体" w:eastAsia="黑体"/>
          <w:sz w:val="32"/>
        </w:rPr>
        <w:t>三、支出决算情况说明</w:t>
      </w:r>
    </w:p>
    <w:p w14:paraId="21017D1A">
      <w:pPr>
        <w:spacing w:line="580" w:lineRule="exact"/>
        <w:ind w:firstLine="640"/>
        <w:jc w:val="both"/>
      </w:pPr>
      <w:r>
        <w:rPr>
          <w:rFonts w:ascii="仿宋_GB2312" w:hAnsi="仿宋_GB2312" w:eastAsia="仿宋_GB2312"/>
          <w:b/>
          <w:sz w:val="32"/>
        </w:rPr>
        <w:t>本年支出985.93万元，</w:t>
      </w:r>
      <w:r>
        <w:rPr>
          <w:rFonts w:ascii="仿宋_GB2312" w:hAnsi="仿宋_GB2312" w:eastAsia="仿宋_GB2312"/>
          <w:b w:val="0"/>
          <w:sz w:val="32"/>
        </w:rPr>
        <w:t>其中：基本支出946.45万元，占96.00%；项目支出39.48万元，占4.00%；上缴上级支出0.00万元，占0.00%；经营支出0.00万元，占0.00%；对附属单位补助支出0.00万元，占0.00%。</w:t>
      </w:r>
    </w:p>
    <w:p w14:paraId="72B5BB80">
      <w:pPr>
        <w:spacing w:line="640" w:lineRule="exact"/>
        <w:ind w:firstLine="640"/>
        <w:jc w:val="both"/>
        <w:outlineLvl w:val="2"/>
      </w:pPr>
      <w:r>
        <w:rPr>
          <w:rFonts w:ascii="黑体" w:hAnsi="黑体" w:eastAsia="黑体"/>
          <w:sz w:val="32"/>
        </w:rPr>
        <w:t>四、财政拨款收入支出决算总体情况说明</w:t>
      </w:r>
    </w:p>
    <w:p w14:paraId="58A50621">
      <w:pPr>
        <w:spacing w:line="580" w:lineRule="exact"/>
        <w:ind w:firstLine="640"/>
        <w:jc w:val="both"/>
      </w:pPr>
      <w:r>
        <w:rPr>
          <w:rFonts w:ascii="仿宋_GB2312" w:hAnsi="仿宋_GB2312" w:eastAsia="仿宋_GB2312"/>
          <w:b/>
          <w:sz w:val="32"/>
        </w:rPr>
        <w:t>2024年度财政拨款收入总计985.93万元，</w:t>
      </w:r>
      <w:r>
        <w:rPr>
          <w:rFonts w:ascii="仿宋_GB2312" w:hAnsi="仿宋_GB2312" w:eastAsia="仿宋_GB2312"/>
          <w:b w:val="0"/>
          <w:sz w:val="32"/>
        </w:rPr>
        <w:t>其中：年初财政拨款结转和结余0.00万元，本年财政拨款收入985.93万元。</w:t>
      </w:r>
      <w:r>
        <w:rPr>
          <w:rFonts w:ascii="仿宋_GB2312" w:hAnsi="仿宋_GB2312" w:eastAsia="仿宋_GB2312"/>
          <w:b/>
          <w:sz w:val="32"/>
        </w:rPr>
        <w:t>财政拨款支出总计985.93万元，</w:t>
      </w:r>
      <w:r>
        <w:rPr>
          <w:rFonts w:ascii="仿宋_GB2312" w:hAnsi="仿宋_GB2312" w:eastAsia="仿宋_GB2312"/>
          <w:b w:val="0"/>
          <w:sz w:val="32"/>
        </w:rPr>
        <w:t>其中：年末财政拨款结转和结余0.00万元，本年财政拨款支出985.93万元。</w:t>
      </w:r>
    </w:p>
    <w:p w14:paraId="7A85E91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增加98.65万元，增长11.12%，主要原因是：本年在职人员工资调增，社保、公积金基数调增，人员经费增加；本年政府办聘请律师费用较上年增加。</w:t>
      </w:r>
      <w:r>
        <w:rPr>
          <w:rFonts w:ascii="仿宋_GB2312" w:hAnsi="仿宋_GB2312" w:eastAsia="仿宋_GB2312"/>
          <w:b/>
          <w:sz w:val="32"/>
        </w:rPr>
        <w:t>与年初预算相比，</w:t>
      </w:r>
      <w:r>
        <w:rPr>
          <w:rFonts w:ascii="仿宋_GB2312" w:hAnsi="仿宋_GB2312" w:eastAsia="仿宋_GB2312"/>
          <w:b w:val="0"/>
          <w:sz w:val="32"/>
        </w:rPr>
        <w:t>年初预算数973.17万元，决算数985.93万元，预决算差异率1.31%，主要原因是：本年在职人员工资调薪，工资、社保、公积金等相关人员经费</w:t>
      </w:r>
      <w:r>
        <w:rPr>
          <w:rFonts w:hint="eastAsia" w:ascii="仿宋_GB2312" w:hAnsi="仿宋_GB2312" w:eastAsia="仿宋_GB2312"/>
          <w:b w:val="0"/>
          <w:sz w:val="32"/>
          <w:lang w:eastAsia="zh-CN"/>
        </w:rPr>
        <w:t>增加</w:t>
      </w:r>
      <w:r>
        <w:rPr>
          <w:rFonts w:ascii="仿宋_GB2312" w:hAnsi="仿宋_GB2312" w:eastAsia="仿宋_GB2312"/>
          <w:b w:val="0"/>
          <w:sz w:val="32"/>
        </w:rPr>
        <w:t>，年中追加人员经费，年中追加政府法律顾问服务费项目经费，导致预决算存在差异。</w:t>
      </w:r>
    </w:p>
    <w:p w14:paraId="5D786C3A">
      <w:pPr>
        <w:spacing w:line="640" w:lineRule="exact"/>
        <w:ind w:firstLine="640"/>
        <w:jc w:val="both"/>
        <w:outlineLvl w:val="2"/>
      </w:pPr>
      <w:r>
        <w:rPr>
          <w:rFonts w:ascii="黑体" w:hAnsi="黑体" w:eastAsia="黑体"/>
          <w:sz w:val="32"/>
        </w:rPr>
        <w:t>五、一般公共预算财政拨款支出决算情况说明</w:t>
      </w:r>
    </w:p>
    <w:p w14:paraId="2363D402">
      <w:pPr>
        <w:spacing w:line="640" w:lineRule="exact"/>
        <w:ind w:firstLine="640"/>
        <w:jc w:val="both"/>
        <w:outlineLvl w:val="3"/>
      </w:pPr>
      <w:r>
        <w:rPr>
          <w:rFonts w:ascii="楷体_GB2312" w:hAnsi="楷体_GB2312" w:eastAsia="楷体_GB2312"/>
          <w:b/>
          <w:sz w:val="32"/>
        </w:rPr>
        <w:t>（一）一般公共预算财政拨款支出决算总体情况</w:t>
      </w:r>
    </w:p>
    <w:p w14:paraId="501F473D">
      <w:pPr>
        <w:spacing w:line="580" w:lineRule="exact"/>
        <w:ind w:firstLine="640"/>
        <w:jc w:val="both"/>
      </w:pPr>
      <w:r>
        <w:rPr>
          <w:rFonts w:ascii="仿宋_GB2312" w:hAnsi="仿宋_GB2312" w:eastAsia="仿宋_GB2312"/>
          <w:b/>
          <w:sz w:val="32"/>
        </w:rPr>
        <w:t>2024年度一般公共预算财政拨款支出985.93万元，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增加98.65万元，增长11.12%，主要原因是：本年在职人员工资调增，社保、公积金基数调增，人员经费增加；本年政府办聘请律师费用较上年增加。</w:t>
      </w:r>
      <w:r>
        <w:rPr>
          <w:rFonts w:ascii="仿宋_GB2312" w:hAnsi="仿宋_GB2312" w:eastAsia="仿宋_GB2312"/>
          <w:b/>
          <w:sz w:val="32"/>
        </w:rPr>
        <w:t>与年初预算相比,</w:t>
      </w:r>
      <w:r>
        <w:rPr>
          <w:rFonts w:ascii="仿宋_GB2312" w:hAnsi="仿宋_GB2312" w:eastAsia="仿宋_GB2312"/>
          <w:b w:val="0"/>
          <w:sz w:val="32"/>
        </w:rPr>
        <w:t>年初预算数973.17万元，决算数985.93万元，预决算差异率1.31%，主要原因是：本年在职人员工资调薪，工资、社保、公积金等相关人员经费</w:t>
      </w:r>
      <w:r>
        <w:rPr>
          <w:rFonts w:hint="eastAsia" w:ascii="仿宋_GB2312" w:hAnsi="仿宋_GB2312" w:eastAsia="仿宋_GB2312"/>
          <w:b w:val="0"/>
          <w:sz w:val="32"/>
          <w:lang w:eastAsia="zh-CN"/>
        </w:rPr>
        <w:t>增加</w:t>
      </w:r>
      <w:r>
        <w:rPr>
          <w:rFonts w:ascii="仿宋_GB2312" w:hAnsi="仿宋_GB2312" w:eastAsia="仿宋_GB2312"/>
          <w:b w:val="0"/>
          <w:sz w:val="32"/>
        </w:rPr>
        <w:t>，年中追加人员经费，年中追加政府法律顾问服务费项目经费，导致预决算存在差异。</w:t>
      </w:r>
    </w:p>
    <w:p w14:paraId="732DA1B6">
      <w:pPr>
        <w:spacing w:line="640" w:lineRule="exact"/>
        <w:ind w:firstLine="640"/>
        <w:jc w:val="both"/>
        <w:outlineLvl w:val="3"/>
      </w:pPr>
      <w:r>
        <w:rPr>
          <w:rFonts w:ascii="楷体_GB2312" w:hAnsi="楷体_GB2312" w:eastAsia="楷体_GB2312"/>
          <w:b/>
          <w:sz w:val="32"/>
        </w:rPr>
        <w:t>（二）一般公共预算财政拨款支出决算结构情况</w:t>
      </w:r>
    </w:p>
    <w:p w14:paraId="35C79D92">
      <w:pPr>
        <w:spacing w:line="580" w:lineRule="exact"/>
        <w:ind w:firstLine="640"/>
        <w:jc w:val="both"/>
      </w:pPr>
      <w:r>
        <w:rPr>
          <w:rFonts w:ascii="仿宋_GB2312" w:hAnsi="仿宋_GB2312" w:eastAsia="仿宋_GB2312"/>
          <w:b w:val="0"/>
          <w:sz w:val="32"/>
        </w:rPr>
        <w:t>1.一般公共服务支出(类)766.12万元,占77.71%。</w:t>
      </w:r>
    </w:p>
    <w:p w14:paraId="130657C8">
      <w:pPr>
        <w:spacing w:line="580" w:lineRule="exact"/>
        <w:ind w:firstLine="640"/>
        <w:jc w:val="both"/>
      </w:pPr>
      <w:r>
        <w:rPr>
          <w:rFonts w:ascii="仿宋_GB2312" w:hAnsi="仿宋_GB2312" w:eastAsia="仿宋_GB2312"/>
          <w:b w:val="0"/>
          <w:sz w:val="32"/>
        </w:rPr>
        <w:t>2.社会保障和就业支出(类)129.24万元,占13.11%。</w:t>
      </w:r>
    </w:p>
    <w:p w14:paraId="52294934">
      <w:pPr>
        <w:spacing w:line="580" w:lineRule="exact"/>
        <w:ind w:firstLine="640"/>
        <w:jc w:val="both"/>
      </w:pPr>
      <w:r>
        <w:rPr>
          <w:rFonts w:ascii="仿宋_GB2312" w:hAnsi="仿宋_GB2312" w:eastAsia="仿宋_GB2312"/>
          <w:b w:val="0"/>
          <w:sz w:val="32"/>
        </w:rPr>
        <w:t>3.卫生健康支出(类)34.41万元,占3.49%。</w:t>
      </w:r>
    </w:p>
    <w:p w14:paraId="63377C39">
      <w:pPr>
        <w:spacing w:line="580" w:lineRule="exact"/>
        <w:ind w:firstLine="640"/>
        <w:jc w:val="both"/>
      </w:pPr>
      <w:r>
        <w:rPr>
          <w:rFonts w:ascii="仿宋_GB2312" w:hAnsi="仿宋_GB2312" w:eastAsia="仿宋_GB2312"/>
          <w:b w:val="0"/>
          <w:sz w:val="32"/>
        </w:rPr>
        <w:t>4.住房保障支出(类)56.16万元,占5.70%。</w:t>
      </w:r>
    </w:p>
    <w:p w14:paraId="6DEA24B4">
      <w:pPr>
        <w:spacing w:line="640" w:lineRule="exact"/>
        <w:ind w:firstLine="640"/>
        <w:jc w:val="both"/>
        <w:outlineLvl w:val="3"/>
      </w:pPr>
      <w:r>
        <w:rPr>
          <w:rFonts w:ascii="楷体_GB2312" w:hAnsi="楷体_GB2312" w:eastAsia="楷体_GB2312"/>
          <w:b/>
          <w:sz w:val="32"/>
        </w:rPr>
        <w:t>（三）一般公共预算财政拨款支出决算具体情况</w:t>
      </w:r>
    </w:p>
    <w:p w14:paraId="4A706AEB">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1.一般公共服务支出(类)政府办公厅（室）及相关机构事务(款)行政运行(项):支出决算数为726.64万元，比上年决算增加34.10万元，增长4.92%,主要原因是：本年在职人员工资调增，导致相关人员经费较上年有所增加。</w:t>
      </w:r>
    </w:p>
    <w:p w14:paraId="53CCFD74">
      <w:pPr>
        <w:spacing w:line="580" w:lineRule="exact"/>
        <w:ind w:firstLine="640"/>
        <w:jc w:val="both"/>
      </w:pPr>
      <w:r>
        <w:rPr>
          <w:rFonts w:ascii="仿宋_GB2312" w:hAnsi="仿宋_GB2312" w:eastAsia="仿宋_GB2312"/>
          <w:b w:val="0"/>
          <w:sz w:val="32"/>
        </w:rPr>
        <w:t>2.一般公共服务支出(类)政府办公厅（室）及相关机构事务(款)一般行政管理事务(项):支出决算数为28.06万元，比上年决算增加22.00万元，增长363.04%,主要原因是：本年政府办聘请律师费用较上年增加。</w:t>
      </w:r>
    </w:p>
    <w:p w14:paraId="6E80758C">
      <w:pPr>
        <w:spacing w:line="580" w:lineRule="exact"/>
        <w:ind w:firstLine="640"/>
        <w:jc w:val="both"/>
      </w:pPr>
      <w:r>
        <w:rPr>
          <w:rFonts w:ascii="仿宋_GB2312" w:hAnsi="仿宋_GB2312" w:eastAsia="仿宋_GB2312"/>
          <w:b w:val="0"/>
          <w:sz w:val="32"/>
        </w:rPr>
        <w:t>3.一般公共服务支出(类)政府办公厅（室）及相关机构事务(款)其他政府办公厅（室）及相关机构事务支出(项):支出决算数为1.42万元，比上年决算增加1.42万元，增长100.00%,主要原因是：本年增加维权诉讼费项目和涉改部门牌匾制作项目。</w:t>
      </w:r>
    </w:p>
    <w:p w14:paraId="27622B1A">
      <w:pPr>
        <w:spacing w:line="580" w:lineRule="exact"/>
        <w:ind w:firstLine="640"/>
        <w:jc w:val="both"/>
      </w:pPr>
      <w:r>
        <w:rPr>
          <w:rFonts w:ascii="仿宋_GB2312" w:hAnsi="仿宋_GB2312" w:eastAsia="仿宋_GB2312"/>
          <w:b w:val="0"/>
          <w:sz w:val="32"/>
        </w:rPr>
        <w:t>4.一般公共服务支出(类)信访事务(款)信访业务(项):支出决算数为10.00万元，比上年决算增加10.00万元，增长100.00%,主要原因是：本年增加中央2024年解决特殊疑难信访问题资金。</w:t>
      </w:r>
    </w:p>
    <w:p w14:paraId="6B65E059">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5.社会保障和就业支出(类)行政事业单位养老支出(款)行政单位离退休(项):支出决算数为43.40万元，比上年决算增加4.04万元，增长10.26%,主要原因是：本年增加退休人员基础绩效奖，退休费支出增加。</w:t>
      </w:r>
    </w:p>
    <w:p w14:paraId="7FCD41E2">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69.58万元，比上年决算增加8.46万元，增长13.84%,主要原因是：本年在职人员工资基数调增，养老缴费基数上涨，相应支出增加。</w:t>
      </w:r>
    </w:p>
    <w:p w14:paraId="444D4A19">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7.社会保障和就业支出(类)行政事业单位养老支出(款)机关事业单位职业年金缴费支出(项):支出决算数为16.26万元，比上年决算增加16.26万元，增长100.00%,主要原因是：本年新增</w:t>
      </w:r>
      <w:r>
        <w:rPr>
          <w:rFonts w:hint="eastAsia" w:ascii="仿宋_GB2312" w:hAnsi="仿宋_GB2312" w:eastAsia="仿宋_GB2312"/>
          <w:b w:val="0"/>
          <w:sz w:val="32"/>
          <w:lang w:val="en-US" w:eastAsia="zh-CN"/>
        </w:rPr>
        <w:t>调出人员</w:t>
      </w:r>
      <w:r>
        <w:rPr>
          <w:rFonts w:ascii="仿宋_GB2312" w:hAnsi="仿宋_GB2312" w:eastAsia="仿宋_GB2312"/>
          <w:b w:val="0"/>
          <w:sz w:val="32"/>
        </w:rPr>
        <w:t>，职业年金缴费支出增加。</w:t>
      </w:r>
    </w:p>
    <w:p w14:paraId="28E62089">
      <w:pPr>
        <w:spacing w:line="580" w:lineRule="exact"/>
        <w:ind w:firstLine="640"/>
        <w:jc w:val="both"/>
      </w:pPr>
      <w:r>
        <w:rPr>
          <w:rFonts w:ascii="仿宋_GB2312" w:hAnsi="仿宋_GB2312" w:eastAsia="仿宋_GB2312"/>
          <w:b w:val="0"/>
          <w:sz w:val="32"/>
        </w:rPr>
        <w:t>8.卫生健康支出(类)行政事业单位医疗(款)行政单位医疗(项):支出决算数为29.57万元，比上年决算减少4.10万元，下降12.18%,主要原因是：本年在职人员减少，行政事业单位医疗支出较上年减少。</w:t>
      </w:r>
    </w:p>
    <w:p w14:paraId="415D9990">
      <w:pPr>
        <w:spacing w:line="580" w:lineRule="exact"/>
        <w:ind w:firstLine="640"/>
        <w:jc w:val="both"/>
      </w:pPr>
      <w:r>
        <w:rPr>
          <w:rFonts w:ascii="仿宋_GB2312" w:hAnsi="仿宋_GB2312" w:eastAsia="仿宋_GB2312"/>
          <w:b w:val="0"/>
          <w:sz w:val="32"/>
        </w:rPr>
        <w:t>9.卫生健康支出(类)行政事业单位医疗(款)公务员医疗补助(项):支出决算数为4.84万元，比上年决算减少0.99万元，下降16.98%,主要原因是：本年在职人员减少，公务员医疗补助较上年减少。</w:t>
      </w:r>
    </w:p>
    <w:p w14:paraId="0503763D">
      <w:pPr>
        <w:spacing w:line="580" w:lineRule="exact"/>
        <w:ind w:firstLine="640"/>
        <w:jc w:val="both"/>
      </w:pPr>
      <w:r>
        <w:rPr>
          <w:rFonts w:ascii="仿宋_GB2312" w:hAnsi="仿宋_GB2312" w:eastAsia="仿宋_GB2312"/>
          <w:b w:val="0"/>
          <w:sz w:val="32"/>
        </w:rPr>
        <w:t>10.住房保障支出(类)住房改革支出(款)住房公积金(项):支出决算数为56.16万元，比上年决算增加7.48万元，增长15.37%,主要原因是：本年在职人员工资基数调增，公积金缴费基数上涨，相应支出增加。</w:t>
      </w:r>
    </w:p>
    <w:p w14:paraId="78791F54">
      <w:pPr>
        <w:spacing w:line="640" w:lineRule="exact"/>
        <w:ind w:firstLine="640"/>
        <w:jc w:val="both"/>
        <w:outlineLvl w:val="2"/>
      </w:pPr>
      <w:r>
        <w:rPr>
          <w:rFonts w:ascii="黑体" w:hAnsi="黑体" w:eastAsia="黑体"/>
          <w:sz w:val="32"/>
        </w:rPr>
        <w:t>六、一般公共预算财政拨款基本支出决算情况说明</w:t>
      </w:r>
    </w:p>
    <w:p w14:paraId="6D4BD9BC">
      <w:pPr>
        <w:spacing w:line="580" w:lineRule="exact"/>
        <w:ind w:firstLine="640"/>
        <w:jc w:val="both"/>
      </w:pPr>
      <w:r>
        <w:rPr>
          <w:rFonts w:ascii="仿宋_GB2312" w:hAnsi="仿宋_GB2312" w:eastAsia="仿宋_GB2312"/>
          <w:b w:val="0"/>
          <w:sz w:val="32"/>
        </w:rPr>
        <w:t>2024年度一般公共预算财政拨款基本支出946.45万元，其中：</w:t>
      </w:r>
      <w:r>
        <w:rPr>
          <w:rFonts w:ascii="仿宋_GB2312" w:hAnsi="仿宋_GB2312" w:eastAsia="仿宋_GB2312"/>
          <w:b/>
          <w:sz w:val="32"/>
        </w:rPr>
        <w:t>人员经费824.70万元，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离休费、退休费、抚恤金、奖励金。</w:t>
      </w:r>
    </w:p>
    <w:p w14:paraId="6F6693BB">
      <w:pPr>
        <w:spacing w:line="580" w:lineRule="exact"/>
        <w:ind w:firstLine="640"/>
        <w:jc w:val="both"/>
      </w:pPr>
      <w:r>
        <w:rPr>
          <w:rFonts w:ascii="仿宋_GB2312" w:hAnsi="仿宋_GB2312" w:eastAsia="仿宋_GB2312"/>
          <w:b/>
          <w:sz w:val="32"/>
        </w:rPr>
        <w:t>公用经费121.75万元，</w:t>
      </w:r>
      <w:r>
        <w:rPr>
          <w:rFonts w:ascii="仿宋_GB2312" w:hAnsi="仿宋_GB2312" w:eastAsia="仿宋_GB2312"/>
          <w:b w:val="0"/>
          <w:sz w:val="32"/>
        </w:rPr>
        <w:t>包括：办公费、水费、电费、邮电费、取暖费、物业管理费、差旅费、维修（护）费、租赁费、培训费、公务用车运行维护费、其他商品和服务支出、办公设备购置。</w:t>
      </w:r>
    </w:p>
    <w:p w14:paraId="6656C9AE">
      <w:pPr>
        <w:spacing w:line="640" w:lineRule="exact"/>
        <w:ind w:firstLine="640"/>
        <w:jc w:val="both"/>
        <w:outlineLvl w:val="2"/>
      </w:pPr>
      <w:r>
        <w:rPr>
          <w:rFonts w:ascii="黑体" w:hAnsi="黑体" w:eastAsia="黑体"/>
          <w:sz w:val="32"/>
        </w:rPr>
        <w:t>七、政府性基金预算财政拨款收入支出决算情况说明</w:t>
      </w:r>
    </w:p>
    <w:p w14:paraId="594F9BAC">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37850EB">
      <w:pPr>
        <w:spacing w:line="640" w:lineRule="exact"/>
        <w:ind w:firstLine="640"/>
        <w:jc w:val="both"/>
        <w:outlineLvl w:val="2"/>
      </w:pPr>
      <w:r>
        <w:rPr>
          <w:rFonts w:ascii="黑体" w:hAnsi="黑体" w:eastAsia="黑体"/>
          <w:sz w:val="32"/>
        </w:rPr>
        <w:t>八、国有资本经营预算财政拨款收入支出决算情况说明</w:t>
      </w:r>
    </w:p>
    <w:p w14:paraId="691CE39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B3F236A">
      <w:pPr>
        <w:spacing w:line="640" w:lineRule="exact"/>
        <w:ind w:firstLine="640"/>
        <w:jc w:val="both"/>
        <w:outlineLvl w:val="2"/>
      </w:pPr>
      <w:r>
        <w:rPr>
          <w:rFonts w:ascii="黑体" w:hAnsi="黑体" w:eastAsia="黑体"/>
          <w:sz w:val="32"/>
        </w:rPr>
        <w:t>九、财政拨款“三公”经费支出决算情况说明</w:t>
      </w:r>
    </w:p>
    <w:p w14:paraId="7D63E851">
      <w:pPr>
        <w:spacing w:line="580" w:lineRule="exact"/>
        <w:ind w:firstLine="640"/>
        <w:jc w:val="both"/>
      </w:pPr>
      <w:r>
        <w:rPr>
          <w:rFonts w:ascii="仿宋_GB2312" w:hAnsi="仿宋_GB2312" w:eastAsia="仿宋_GB2312"/>
          <w:b/>
          <w:sz w:val="32"/>
        </w:rPr>
        <w:t>2024年度财政拨款“三公”经费支出21.84万元，</w:t>
      </w:r>
      <w:r>
        <w:rPr>
          <w:rFonts w:ascii="仿宋_GB2312" w:hAnsi="仿宋_GB2312" w:eastAsia="仿宋_GB2312"/>
          <w:b w:val="0"/>
          <w:sz w:val="32"/>
        </w:rPr>
        <w:t>比上年减少1.67万元，下降7.10%，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21.84万元，占100.00%，比上年减少1.67万元，下降7.10%，主要原因是：严格落实中央八项规定精神，厉行节约，减少公务用车运行维护费。公务接待费支出0.00万元，占0.00%，比上年增加0.00万元，增长0.00%，主要原因是：2023年与2024年均未安排公务接待费支出。</w:t>
      </w:r>
    </w:p>
    <w:p w14:paraId="4E0EAB9B">
      <w:pPr>
        <w:spacing w:line="580" w:lineRule="exact"/>
        <w:ind w:firstLine="640"/>
        <w:jc w:val="both"/>
      </w:pPr>
      <w:r>
        <w:rPr>
          <w:rFonts w:ascii="仿宋_GB2312" w:hAnsi="仿宋_GB2312" w:eastAsia="仿宋_GB2312"/>
          <w:b/>
          <w:sz w:val="32"/>
        </w:rPr>
        <w:t>具体情况如下：</w:t>
      </w:r>
    </w:p>
    <w:p w14:paraId="1E08F2B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C9C5C1E">
      <w:pPr>
        <w:spacing w:line="580" w:lineRule="exact"/>
        <w:ind w:firstLine="640"/>
        <w:jc w:val="both"/>
      </w:pPr>
      <w:r>
        <w:rPr>
          <w:rFonts w:ascii="仿宋_GB2312" w:hAnsi="仿宋_GB2312" w:eastAsia="仿宋_GB2312"/>
          <w:b w:val="0"/>
          <w:sz w:val="32"/>
        </w:rPr>
        <w:t>公务用车购置及运行维护费21.84万元，其中：公务用车购置费0.00万元，公务用车运行维护费21.84万元。公务用车运行维护费开支内容包括车辆加油费、维修费、保险费、审车费、过路费等。公务用车购置数0辆，公务用车保有量5辆。国有资产占用情况中固定资产车辆5辆，与公务用车保有量差异原因是：本单位固定资产车辆与公务用车保有量一致无差异。</w:t>
      </w:r>
    </w:p>
    <w:p w14:paraId="2420724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AD5A59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21.84万元，决算数21.84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21.84万元，决算数21.84万元，预决算差异率0.00%，主要原因是：严格按照预算执行，预决算无差异。公务接待费全年预算数0.00万元，决算数0.00万元，预决算差异率0.00%，主要原因是：本单位无公务接待费。</w:t>
      </w:r>
    </w:p>
    <w:p w14:paraId="29334F62">
      <w:pPr>
        <w:spacing w:line="640" w:lineRule="exact"/>
        <w:ind w:firstLine="640"/>
        <w:jc w:val="both"/>
        <w:outlineLvl w:val="2"/>
      </w:pPr>
      <w:r>
        <w:rPr>
          <w:rFonts w:ascii="黑体" w:hAnsi="黑体" w:eastAsia="黑体"/>
          <w:sz w:val="32"/>
        </w:rPr>
        <w:t>十、其他重要事项的情况说明</w:t>
      </w:r>
    </w:p>
    <w:p w14:paraId="7EBFFF78">
      <w:pPr>
        <w:spacing w:line="640" w:lineRule="exact"/>
        <w:ind w:firstLine="640"/>
        <w:jc w:val="both"/>
        <w:outlineLvl w:val="3"/>
      </w:pPr>
      <w:r>
        <w:rPr>
          <w:rFonts w:ascii="楷体_GB2312" w:hAnsi="楷体_GB2312" w:eastAsia="楷体_GB2312"/>
          <w:b/>
          <w:sz w:val="32"/>
        </w:rPr>
        <w:t>（一）机关运行经费及公用经费支出情况</w:t>
      </w:r>
    </w:p>
    <w:p w14:paraId="3472DCB7">
      <w:pPr>
        <w:spacing w:line="580" w:lineRule="exact"/>
        <w:ind w:firstLine="640"/>
        <w:jc w:val="both"/>
      </w:pPr>
      <w:r>
        <w:rPr>
          <w:rFonts w:ascii="仿宋_GB2312" w:hAnsi="仿宋_GB2312" w:eastAsia="仿宋_GB2312"/>
          <w:b w:val="0"/>
          <w:sz w:val="32"/>
        </w:rPr>
        <w:t>2024年度岳普湖县人民政府办公室（行政单位和参照公务员法管理事业单位）机关运行经费支出121.75万元，比上年增加11.47万元，增长10.40%，主要原因是：</w:t>
      </w:r>
      <w:r>
        <w:rPr>
          <w:rFonts w:hint="eastAsia" w:ascii="仿宋_GB2312" w:hAnsi="仿宋_GB2312" w:eastAsia="仿宋_GB2312"/>
          <w:b w:val="0"/>
          <w:sz w:val="32"/>
          <w:lang w:val="en-US" w:eastAsia="zh-CN"/>
        </w:rPr>
        <w:t>本年增加</w:t>
      </w:r>
      <w:r>
        <w:rPr>
          <w:rFonts w:hint="eastAsia" w:ascii="仿宋_GB2312" w:hAnsi="仿宋_GB2312" w:eastAsia="仿宋_GB2312"/>
          <w:b w:val="0"/>
          <w:sz w:val="32"/>
        </w:rPr>
        <w:t>维修（护）费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办公费等经费，</w:t>
      </w:r>
      <w:r>
        <w:rPr>
          <w:rFonts w:ascii="仿宋_GB2312" w:hAnsi="仿宋_GB2312" w:eastAsia="仿宋_GB2312"/>
          <w:b w:val="0"/>
          <w:sz w:val="32"/>
        </w:rPr>
        <w:t>导致机关运行经费增加。</w:t>
      </w:r>
    </w:p>
    <w:p w14:paraId="2CCE1442">
      <w:pPr>
        <w:spacing w:line="640" w:lineRule="exact"/>
        <w:ind w:firstLine="640"/>
        <w:jc w:val="both"/>
        <w:outlineLvl w:val="3"/>
      </w:pPr>
      <w:r>
        <w:rPr>
          <w:rFonts w:ascii="楷体_GB2312" w:hAnsi="楷体_GB2312" w:eastAsia="楷体_GB2312"/>
          <w:b/>
          <w:sz w:val="32"/>
        </w:rPr>
        <w:t>（二）政府采购情况</w:t>
      </w:r>
    </w:p>
    <w:p w14:paraId="036872CF">
      <w:pPr>
        <w:spacing w:line="580" w:lineRule="exact"/>
        <w:ind w:firstLine="640"/>
        <w:jc w:val="both"/>
      </w:pPr>
      <w:r>
        <w:rPr>
          <w:rFonts w:ascii="仿宋_GB2312" w:hAnsi="仿宋_GB2312" w:eastAsia="仿宋_GB2312"/>
          <w:b w:val="0"/>
          <w:sz w:val="32"/>
        </w:rPr>
        <w:t>2024年度政府采购支出总额16.07万元，其中：政府采购货物支出5.10万元、政府采购工程支出0.00万元、政府采购服务支出10.97万元。</w:t>
      </w:r>
    </w:p>
    <w:p w14:paraId="5F2C37DF">
      <w:pPr>
        <w:spacing w:line="580" w:lineRule="exact"/>
        <w:ind w:firstLine="640"/>
        <w:jc w:val="both"/>
      </w:pPr>
      <w:r>
        <w:rPr>
          <w:rFonts w:ascii="仿宋_GB2312" w:hAnsi="仿宋_GB2312" w:eastAsia="仿宋_GB2312"/>
          <w:b w:val="0"/>
          <w:sz w:val="32"/>
        </w:rPr>
        <w:t>授予中小企业合同金额15.71万元，占政府采购支出总额的97.76%，其中：授予小微企业合同金额15.71万元，占政府采购支出总额的97.76%。</w:t>
      </w:r>
    </w:p>
    <w:p w14:paraId="7175CA89">
      <w:pPr>
        <w:spacing w:line="640" w:lineRule="exact"/>
        <w:ind w:firstLine="640"/>
        <w:jc w:val="both"/>
        <w:outlineLvl w:val="3"/>
      </w:pPr>
      <w:r>
        <w:rPr>
          <w:rFonts w:ascii="楷体_GB2312" w:hAnsi="楷体_GB2312" w:eastAsia="楷体_GB2312"/>
          <w:b/>
          <w:sz w:val="32"/>
        </w:rPr>
        <w:t>（三）国有资产占用情况说明</w:t>
      </w:r>
    </w:p>
    <w:p w14:paraId="7F1F2388">
      <w:pPr>
        <w:spacing w:line="580" w:lineRule="exact"/>
        <w:ind w:firstLine="640"/>
        <w:jc w:val="both"/>
      </w:pPr>
      <w:r>
        <w:rPr>
          <w:rFonts w:ascii="仿宋_GB2312" w:hAnsi="仿宋_GB2312" w:eastAsia="仿宋_GB2312"/>
          <w:b w:val="0"/>
          <w:sz w:val="32"/>
        </w:rPr>
        <w:t>截至2024年12月31日，房屋0.00平方米，价值0.00万元。车辆5辆，价值94.97万元，其中：副部（省）级及以上领导用车0辆、主要负责人用车0辆、机要通信用车0辆、应急保障用车0辆、执法执勤用车0辆、特种专业技术用车0辆、离退休干部服务用车0辆、其他用车5辆，其他用车主要是：保障单位工作正常运转业务车辆。单价100万元（含）以上设备（不含车辆）0台（套）。</w:t>
      </w:r>
    </w:p>
    <w:p w14:paraId="31D27A42">
      <w:pPr>
        <w:spacing w:line="640" w:lineRule="exact"/>
        <w:ind w:firstLine="640"/>
        <w:jc w:val="both"/>
        <w:outlineLvl w:val="2"/>
      </w:pPr>
      <w:r>
        <w:rPr>
          <w:rFonts w:ascii="黑体" w:hAnsi="黑体" w:eastAsia="黑体"/>
          <w:sz w:val="32"/>
        </w:rPr>
        <w:t>十一、预算绩效的情况说明</w:t>
      </w:r>
    </w:p>
    <w:p w14:paraId="01CED43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985.93万元，实际执行总额985.93万元；预算绩效评价项目4个，全年预算数28.10万元，全年执行数28.10万元。预算绩效管理取得的成效：项目主要用于一是聘请1家第三方法律机构，为政府各级部门提供相关法律咨询服务。二是解决县委、县政府</w:t>
      </w:r>
      <w:bookmarkStart w:id="0" w:name="_GoBack"/>
      <w:r>
        <w:rPr>
          <w:rFonts w:hint="eastAsia" w:ascii="仿宋_GB2312" w:hAnsi="仿宋_GB2312" w:eastAsia="仿宋_GB2312"/>
          <w:b w:val="0"/>
          <w:sz w:val="32"/>
          <w:lang w:eastAsia="zh-CN"/>
        </w:rPr>
        <w:t>WW</w:t>
      </w:r>
      <w:bookmarkEnd w:id="0"/>
      <w:r>
        <w:rPr>
          <w:rFonts w:ascii="仿宋_GB2312" w:hAnsi="仿宋_GB2312" w:eastAsia="仿宋_GB2312"/>
          <w:b w:val="0"/>
          <w:sz w:val="32"/>
        </w:rPr>
        <w:t>值班系统改造费用。项目的实施有效提高政府工作法治化、规范化、科学化水平。发现的问题及原因：一是相关绩效管理方面专业知识的系统性学习有待加强。各项指标的设置要进一步优化、完善，主要在细化、量化上改进。在绩效自评过程中，</w:t>
      </w:r>
      <w:r>
        <w:rPr>
          <w:rFonts w:hint="eastAsia" w:ascii="仿宋_GB2312" w:hAnsi="仿宋_GB2312" w:eastAsia="仿宋_GB2312"/>
          <w:b w:val="0"/>
          <w:sz w:val="32"/>
          <w:lang w:eastAsia="zh-CN"/>
        </w:rPr>
        <w:t>由于</w:t>
      </w:r>
      <w:r>
        <w:rPr>
          <w:rFonts w:ascii="仿宋_GB2312" w:hAnsi="仿宋_GB2312" w:eastAsia="仿宋_GB2312"/>
          <w:b w:val="0"/>
          <w:sz w:val="32"/>
        </w:rPr>
        <w:t>部分人员缺乏相关绩效管理专业知识，自评价工作还存在自我审定的局限性，影响评价质量。二是政府法律顾问的服务范围可能还相对传统，主要集中在法律咨询、文件审查等方面，未能充分发挥法律顾问在决策支持、风险评估等方面的作用。下一步改进措施：一是进一步规范项目建设的程序。项目前期做好可行性研究报告，更加细化实施方案，严格执行资金管理办法和财政资金管理制度，严格按照项目实施方案、招投标管理办法等稳步推进工作，根据项目的特点进行总结。二是鼓励政府法律顾问在决策支持、风险评估、法律论证等方面发挥更大的作用，提升法律顾问在政府工作中的地位和影响力。具体附整体支出绩效自评表，项目支出绩效自评表和评价报告。</w:t>
      </w:r>
    </w:p>
    <w:p w14:paraId="013FD052">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D41313C">
        <w:tblPrEx>
          <w:tblCellMar>
            <w:top w:w="0" w:type="dxa"/>
            <w:left w:w="108" w:type="dxa"/>
            <w:bottom w:w="0" w:type="dxa"/>
            <w:right w:w="108" w:type="dxa"/>
          </w:tblCellMar>
        </w:tblPrEx>
        <w:tc>
          <w:tcPr>
            <w:tcW w:w="8847" w:type="dxa"/>
            <w:gridSpan w:val="9"/>
            <w:vAlign w:val="center"/>
          </w:tcPr>
          <w:p w14:paraId="7E3A75E4">
            <w:pPr>
              <w:jc w:val="center"/>
            </w:pPr>
            <w:r>
              <w:rPr>
                <w:rFonts w:ascii="宋体" w:hAnsi="宋体" w:eastAsia="宋体"/>
                <w:sz w:val="24"/>
              </w:rPr>
              <w:t>单位整体支出绩效自评表</w:t>
            </w:r>
          </w:p>
        </w:tc>
      </w:tr>
      <w:tr w14:paraId="4B6F8725">
        <w:tblPrEx>
          <w:tblCellMar>
            <w:top w:w="0" w:type="dxa"/>
            <w:left w:w="108" w:type="dxa"/>
            <w:bottom w:w="0" w:type="dxa"/>
            <w:right w:w="108" w:type="dxa"/>
          </w:tblCellMar>
        </w:tblPrEx>
        <w:tc>
          <w:tcPr>
            <w:tcW w:w="8847" w:type="dxa"/>
            <w:gridSpan w:val="9"/>
            <w:vAlign w:val="center"/>
          </w:tcPr>
          <w:p w14:paraId="24A9263C">
            <w:pPr>
              <w:jc w:val="center"/>
            </w:pPr>
            <w:r>
              <w:rPr>
                <w:rFonts w:ascii="宋体" w:hAnsi="宋体" w:eastAsia="宋体"/>
                <w:sz w:val="24"/>
              </w:rPr>
              <w:t>（2024年度）</w:t>
            </w:r>
          </w:p>
        </w:tc>
      </w:tr>
      <w:tr w14:paraId="7F3B449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303FDF">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865F5B3">
            <w:pPr>
              <w:jc w:val="center"/>
            </w:pPr>
            <w:r>
              <w:rPr>
                <w:rFonts w:ascii="宋体" w:hAnsi="宋体" w:eastAsia="宋体"/>
                <w:sz w:val="16"/>
              </w:rPr>
              <w:t>岳普湖县人民政府办公室</w:t>
            </w:r>
          </w:p>
        </w:tc>
      </w:tr>
      <w:tr w14:paraId="737F3E1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7EBB50">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1E2833">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F7B57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40CA68">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1B4064">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4E7560">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733CAF">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913EE">
            <w:pPr>
              <w:jc w:val="center"/>
            </w:pPr>
            <w:r>
              <w:rPr>
                <w:rFonts w:ascii="宋体" w:hAnsi="宋体" w:eastAsia="宋体"/>
                <w:sz w:val="16"/>
              </w:rPr>
              <w:t>得分</w:t>
            </w:r>
          </w:p>
        </w:tc>
      </w:tr>
      <w:tr w14:paraId="35C273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EA105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358A17">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A0FB6">
            <w:pPr>
              <w:jc w:val="center"/>
            </w:pPr>
            <w:r>
              <w:rPr>
                <w:rFonts w:ascii="宋体" w:hAnsi="宋体" w:eastAsia="宋体"/>
                <w:sz w:val="16"/>
              </w:rPr>
              <w:t>973.17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186076">
            <w:pPr>
              <w:jc w:val="center"/>
            </w:pPr>
            <w:r>
              <w:rPr>
                <w:rFonts w:ascii="宋体" w:hAnsi="宋体" w:eastAsia="宋体"/>
                <w:sz w:val="16"/>
              </w:rPr>
              <w:t>985.93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55F643">
            <w:pPr>
              <w:jc w:val="center"/>
            </w:pPr>
            <w:r>
              <w:rPr>
                <w:rFonts w:ascii="宋体" w:hAnsi="宋体" w:eastAsia="宋体"/>
                <w:sz w:val="16"/>
              </w:rPr>
              <w:t>985.93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FD0DC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D5718F">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FE1CD">
            <w:pPr>
              <w:jc w:val="center"/>
            </w:pPr>
            <w:r>
              <w:rPr>
                <w:rFonts w:ascii="宋体" w:hAnsi="宋体" w:eastAsia="宋体"/>
                <w:sz w:val="16"/>
              </w:rPr>
              <w:t>10</w:t>
            </w:r>
          </w:p>
        </w:tc>
      </w:tr>
      <w:tr w14:paraId="519B110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BE08E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63F0C5">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72697D">
            <w:pPr>
              <w:jc w:val="center"/>
            </w:pPr>
            <w:r>
              <w:rPr>
                <w:rFonts w:ascii="宋体" w:hAnsi="宋体" w:eastAsia="宋体"/>
                <w:sz w:val="16"/>
              </w:rPr>
              <w:t>10.00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4C74FF">
            <w:pPr>
              <w:jc w:val="center"/>
            </w:pPr>
            <w:r>
              <w:rPr>
                <w:rFonts w:ascii="宋体" w:hAnsi="宋体" w:eastAsia="宋体"/>
                <w:sz w:val="16"/>
              </w:rPr>
              <w:t>21.42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4E9291">
            <w:pPr>
              <w:jc w:val="center"/>
            </w:pPr>
            <w:r>
              <w:rPr>
                <w:rFonts w:ascii="宋体" w:hAnsi="宋体" w:eastAsia="宋体"/>
                <w:sz w:val="16"/>
              </w:rPr>
              <w:t>21.42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5A67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8D8B4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F10BD">
            <w:pPr>
              <w:jc w:val="center"/>
            </w:pPr>
            <w:r>
              <w:rPr>
                <w:rFonts w:ascii="宋体" w:hAnsi="宋体" w:eastAsia="宋体"/>
                <w:sz w:val="16"/>
              </w:rPr>
              <w:t>—</w:t>
            </w:r>
          </w:p>
        </w:tc>
      </w:tr>
      <w:tr w14:paraId="7261A1F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E680F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400DD">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4B0B2A">
            <w:pPr>
              <w:jc w:val="center"/>
            </w:pPr>
            <w:r>
              <w:rPr>
                <w:rFonts w:ascii="宋体" w:hAnsi="宋体" w:eastAsia="宋体"/>
                <w:sz w:val="16"/>
              </w:rPr>
              <w:t>963.17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FF5AF4">
            <w:pPr>
              <w:jc w:val="center"/>
            </w:pPr>
            <w:r>
              <w:rPr>
                <w:rFonts w:ascii="宋体" w:hAnsi="宋体" w:eastAsia="宋体"/>
                <w:sz w:val="16"/>
              </w:rPr>
              <w:t>964.51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B10AF5">
            <w:pPr>
              <w:jc w:val="center"/>
            </w:pPr>
            <w:r>
              <w:rPr>
                <w:rFonts w:ascii="宋体" w:hAnsi="宋体" w:eastAsia="宋体"/>
                <w:sz w:val="16"/>
              </w:rPr>
              <w:t>964.51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B717F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132A6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FB56B">
            <w:pPr>
              <w:jc w:val="center"/>
            </w:pPr>
            <w:r>
              <w:rPr>
                <w:rFonts w:ascii="宋体" w:hAnsi="宋体" w:eastAsia="宋体"/>
                <w:sz w:val="16"/>
              </w:rPr>
              <w:t>—</w:t>
            </w:r>
          </w:p>
        </w:tc>
      </w:tr>
      <w:tr w14:paraId="516FA2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326F2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91681">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2D3A2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BB93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CF77D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E3932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E75B3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C9ADA">
            <w:pPr>
              <w:jc w:val="center"/>
            </w:pPr>
            <w:r>
              <w:rPr>
                <w:rFonts w:ascii="宋体" w:hAnsi="宋体" w:eastAsia="宋体"/>
                <w:sz w:val="16"/>
              </w:rPr>
              <w:t>—</w:t>
            </w:r>
          </w:p>
        </w:tc>
      </w:tr>
      <w:tr w14:paraId="6E960A9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00C73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CFE2CD2">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128B00">
            <w:pPr>
              <w:jc w:val="center"/>
            </w:pPr>
            <w:r>
              <w:rPr>
                <w:rFonts w:ascii="宋体" w:hAnsi="宋体" w:eastAsia="宋体"/>
                <w:sz w:val="16"/>
              </w:rPr>
              <w:t>实际完成情况</w:t>
            </w:r>
          </w:p>
        </w:tc>
      </w:tr>
      <w:tr w14:paraId="511333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A7EEC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BC852A2">
            <w:pPr>
              <w:jc w:val="both"/>
            </w:pPr>
            <w:r>
              <w:rPr>
                <w:rFonts w:ascii="宋体" w:hAnsi="宋体" w:eastAsia="宋体"/>
                <w:sz w:val="16"/>
              </w:rPr>
              <w:t>保障450场次各类会议顺利召开，“12345”信访专线的正常运转。提升政府信息公开，完成政府督查工作。充分发挥</w:t>
            </w:r>
            <w:r>
              <w:rPr>
                <w:rFonts w:hint="eastAsia" w:ascii="宋体" w:hAnsi="宋体"/>
                <w:sz w:val="16"/>
                <w:lang w:eastAsia="zh-CN"/>
              </w:rPr>
              <w:t>总揽全局、协调各方</w:t>
            </w:r>
            <w:r>
              <w:rPr>
                <w:rFonts w:ascii="宋体" w:hAnsi="宋体" w:eastAsia="宋体"/>
                <w:sz w:val="16"/>
              </w:rPr>
              <w:t>的领导核心作用。</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CE85E0">
            <w:pPr>
              <w:jc w:val="both"/>
            </w:pPr>
            <w:r>
              <w:rPr>
                <w:rFonts w:ascii="宋体" w:hAnsi="宋体" w:eastAsia="宋体"/>
                <w:sz w:val="16"/>
              </w:rPr>
              <w:t>全年已保障了455场不同类型的会议顺利举行，确保“12345”这一条重要的信访专线能够正常运转。充分发挥单位的履职效能，提升政府信息公开的透明度，圆满完成了政府督查的相关工作。同时，充分发挥总揽全局、协调各方的领导核心作用，确保各项工作的高效有序进行。</w:t>
            </w:r>
          </w:p>
        </w:tc>
      </w:tr>
      <w:tr w14:paraId="5E20098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C2611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64F890">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EB2C4F">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ABD1B6">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EA95B8">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73DF49">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BC48C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250E69">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55289B">
            <w:pPr>
              <w:jc w:val="center"/>
            </w:pPr>
            <w:r>
              <w:rPr>
                <w:rFonts w:ascii="宋体" w:hAnsi="宋体" w:eastAsia="宋体"/>
                <w:sz w:val="16"/>
              </w:rPr>
              <w:t>得分</w:t>
            </w:r>
          </w:p>
        </w:tc>
      </w:tr>
      <w:tr w14:paraId="4539324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19885D">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EE76C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D9B021">
            <w:pPr>
              <w:jc w:val="center"/>
            </w:pPr>
            <w:r>
              <w:rPr>
                <w:rFonts w:ascii="宋体" w:hAnsi="宋体" w:eastAsia="宋体"/>
                <w:sz w:val="16"/>
              </w:rPr>
              <w:t>各类会议场次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BCBA21">
            <w:pPr>
              <w:jc w:val="center"/>
            </w:pPr>
            <w:r>
              <w:rPr>
                <w:rFonts w:ascii="宋体" w:hAnsi="宋体" w:eastAsia="宋体"/>
                <w:sz w:val="16"/>
              </w:rPr>
              <w:t>&gt;=450场次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563C88">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38E115">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765684">
            <w:pPr>
              <w:jc w:val="center"/>
            </w:pPr>
            <w:r>
              <w:rPr>
                <w:rFonts w:ascii="宋体" w:hAnsi="宋体" w:eastAsia="宋体"/>
                <w:sz w:val="16"/>
              </w:rPr>
              <w:t>455场次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C66190">
            <w:pPr>
              <w:jc w:val="center"/>
            </w:pPr>
            <w:r>
              <w:rPr>
                <w:rFonts w:ascii="宋体" w:hAnsi="宋体" w:eastAsia="宋体"/>
                <w:sz w:val="16"/>
              </w:rPr>
              <w:t>101.11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A74397">
            <w:pPr>
              <w:jc w:val="center"/>
            </w:pPr>
            <w:r>
              <w:rPr>
                <w:rFonts w:ascii="宋体" w:hAnsi="宋体" w:eastAsia="宋体"/>
                <w:sz w:val="16"/>
              </w:rPr>
              <w:t>18</w:t>
            </w:r>
          </w:p>
        </w:tc>
      </w:tr>
      <w:tr w14:paraId="72CE5F4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AE3A1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91F95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AED982">
            <w:pPr>
              <w:jc w:val="center"/>
            </w:pPr>
            <w:r>
              <w:rPr>
                <w:rFonts w:ascii="宋体" w:hAnsi="宋体" w:eastAsia="宋体"/>
                <w:sz w:val="16"/>
              </w:rPr>
              <w:t>信访专线</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26231">
            <w:pPr>
              <w:jc w:val="center"/>
            </w:pPr>
            <w:r>
              <w:rPr>
                <w:rFonts w:ascii="宋体" w:hAnsi="宋体" w:eastAsia="宋体"/>
                <w:sz w:val="16"/>
              </w:rPr>
              <w:t>&gt;=1条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6E84C7">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7BD364">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50DABF">
            <w:pPr>
              <w:jc w:val="center"/>
            </w:pPr>
            <w:r>
              <w:rPr>
                <w:rFonts w:ascii="宋体" w:hAnsi="宋体" w:eastAsia="宋体"/>
                <w:sz w:val="16"/>
              </w:rPr>
              <w:t>1条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EE98D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9F3AE7">
            <w:pPr>
              <w:jc w:val="center"/>
            </w:pPr>
            <w:r>
              <w:rPr>
                <w:rFonts w:ascii="宋体" w:hAnsi="宋体" w:eastAsia="宋体"/>
                <w:sz w:val="16"/>
              </w:rPr>
              <w:t>18</w:t>
            </w:r>
          </w:p>
        </w:tc>
      </w:tr>
      <w:tr w14:paraId="032AD0F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6AB48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C3F84">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329954">
            <w:pPr>
              <w:jc w:val="center"/>
            </w:pPr>
            <w:r>
              <w:rPr>
                <w:rFonts w:ascii="宋体" w:hAnsi="宋体" w:eastAsia="宋体"/>
                <w:sz w:val="16"/>
              </w:rPr>
              <w:t>政府督查完成率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3A44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0E26E7">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25FE16">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6415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46541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92E70C">
            <w:pPr>
              <w:jc w:val="center"/>
            </w:pPr>
            <w:r>
              <w:rPr>
                <w:rFonts w:ascii="宋体" w:hAnsi="宋体" w:eastAsia="宋体"/>
                <w:sz w:val="16"/>
              </w:rPr>
              <w:t>18</w:t>
            </w:r>
          </w:p>
        </w:tc>
      </w:tr>
      <w:tr w14:paraId="30BA685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317E8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F9EBAA">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B52BCD">
            <w:pPr>
              <w:jc w:val="center"/>
            </w:pPr>
            <w:r>
              <w:rPr>
                <w:rFonts w:ascii="宋体" w:hAnsi="宋体" w:eastAsia="宋体"/>
                <w:sz w:val="16"/>
              </w:rPr>
              <w:t>政务信息公开及时率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B3258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0715E8">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B68DEB">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87ED3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C0F04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51BDFA">
            <w:pPr>
              <w:jc w:val="center"/>
            </w:pPr>
            <w:r>
              <w:rPr>
                <w:rFonts w:ascii="宋体" w:hAnsi="宋体" w:eastAsia="宋体"/>
                <w:sz w:val="16"/>
              </w:rPr>
              <w:t>18</w:t>
            </w:r>
          </w:p>
        </w:tc>
      </w:tr>
      <w:tr w14:paraId="1861AF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D1313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25F23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24BF9A">
            <w:pPr>
              <w:jc w:val="center"/>
            </w:pPr>
            <w:r>
              <w:rPr>
                <w:rFonts w:ascii="宋体" w:hAnsi="宋体" w:eastAsia="宋体"/>
                <w:sz w:val="16"/>
              </w:rPr>
              <w:t>各类政府会议按期完成率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6B662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68DD1F">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AE02D3">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28126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47BC6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F990D3">
            <w:pPr>
              <w:jc w:val="center"/>
            </w:pPr>
            <w:r>
              <w:rPr>
                <w:rFonts w:ascii="宋体" w:hAnsi="宋体" w:eastAsia="宋体"/>
                <w:sz w:val="16"/>
              </w:rPr>
              <w:t>18</w:t>
            </w:r>
          </w:p>
        </w:tc>
      </w:tr>
    </w:tbl>
    <w:p w14:paraId="784719C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616B56F">
        <w:tblPrEx>
          <w:tblCellMar>
            <w:top w:w="0" w:type="dxa"/>
            <w:left w:w="108" w:type="dxa"/>
            <w:bottom w:w="0" w:type="dxa"/>
            <w:right w:w="108" w:type="dxa"/>
          </w:tblCellMar>
        </w:tblPrEx>
        <w:tc>
          <w:tcPr>
            <w:tcW w:w="8848" w:type="dxa"/>
            <w:gridSpan w:val="14"/>
            <w:vAlign w:val="center"/>
          </w:tcPr>
          <w:p w14:paraId="462472F3">
            <w:pPr>
              <w:jc w:val="center"/>
            </w:pPr>
            <w:r>
              <w:rPr>
                <w:rFonts w:ascii="宋体" w:hAnsi="宋体" w:eastAsia="宋体"/>
                <w:sz w:val="24"/>
              </w:rPr>
              <w:t>项目支出绩效自评表</w:t>
            </w:r>
          </w:p>
        </w:tc>
      </w:tr>
      <w:tr w14:paraId="110AAB85">
        <w:tblPrEx>
          <w:tblCellMar>
            <w:top w:w="0" w:type="dxa"/>
            <w:left w:w="108" w:type="dxa"/>
            <w:bottom w:w="0" w:type="dxa"/>
            <w:right w:w="108" w:type="dxa"/>
          </w:tblCellMar>
        </w:tblPrEx>
        <w:tc>
          <w:tcPr>
            <w:tcW w:w="8848" w:type="dxa"/>
            <w:gridSpan w:val="14"/>
            <w:vAlign w:val="center"/>
          </w:tcPr>
          <w:p w14:paraId="1938D52A">
            <w:pPr>
              <w:jc w:val="center"/>
            </w:pPr>
            <w:r>
              <w:rPr>
                <w:rFonts w:ascii="宋体" w:hAnsi="宋体" w:eastAsia="宋体"/>
                <w:sz w:val="24"/>
              </w:rPr>
              <w:t>(2024年度)</w:t>
            </w:r>
          </w:p>
        </w:tc>
      </w:tr>
      <w:tr w14:paraId="37A8A2C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7718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1EFDD5F">
            <w:pPr>
              <w:jc w:val="center"/>
            </w:pPr>
            <w:r>
              <w:rPr>
                <w:rFonts w:ascii="宋体" w:hAnsi="宋体" w:eastAsia="宋体"/>
                <w:sz w:val="16"/>
              </w:rPr>
              <w:t>偿还欠款项目</w:t>
            </w:r>
          </w:p>
        </w:tc>
      </w:tr>
      <w:tr w14:paraId="7CF0D0B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55A1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B23A46">
            <w:pPr>
              <w:jc w:val="center"/>
            </w:pPr>
            <w:r>
              <w:rPr>
                <w:rFonts w:ascii="宋体" w:hAnsi="宋体" w:eastAsia="宋体"/>
                <w:sz w:val="16"/>
              </w:rPr>
              <w:t>岳普湖县人民政府办公室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26A6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BB76D9">
            <w:pPr>
              <w:jc w:val="center"/>
            </w:pPr>
            <w:r>
              <w:rPr>
                <w:rFonts w:ascii="宋体" w:hAnsi="宋体" w:eastAsia="宋体"/>
                <w:sz w:val="16"/>
              </w:rPr>
              <w:t>岳普湖县人民政府办公室</w:t>
            </w:r>
          </w:p>
        </w:tc>
      </w:tr>
      <w:tr w14:paraId="58E560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7F0AD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3476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5216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7670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FEDB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8373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0246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691AE">
            <w:pPr>
              <w:jc w:val="center"/>
            </w:pPr>
            <w:r>
              <w:rPr>
                <w:rFonts w:ascii="宋体" w:hAnsi="宋体" w:eastAsia="宋体"/>
                <w:sz w:val="16"/>
              </w:rPr>
              <w:t>得分</w:t>
            </w:r>
          </w:p>
        </w:tc>
      </w:tr>
      <w:tr w14:paraId="03F318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FCBD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D175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C4DB6">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B4953">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D1FFC">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25A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8DC5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7ECF5">
            <w:pPr>
              <w:jc w:val="center"/>
            </w:pPr>
            <w:r>
              <w:rPr>
                <w:rFonts w:ascii="宋体" w:hAnsi="宋体" w:eastAsia="宋体"/>
                <w:sz w:val="16"/>
              </w:rPr>
              <w:t>10.00分</w:t>
            </w:r>
          </w:p>
        </w:tc>
      </w:tr>
      <w:tr w14:paraId="381A3B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CED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08A4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D5100">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86F29">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66751">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FFDF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346D4">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1B367">
            <w:pPr>
              <w:jc w:val="center"/>
            </w:pPr>
            <w:r>
              <w:rPr>
                <w:rFonts w:ascii="宋体" w:hAnsi="宋体" w:eastAsia="宋体"/>
                <w:sz w:val="16"/>
              </w:rPr>
              <w:t>—</w:t>
            </w:r>
          </w:p>
        </w:tc>
      </w:tr>
      <w:tr w14:paraId="0BD0E3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82C4A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56C2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A00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512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B8AD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BADD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953BC">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F48F9">
            <w:pPr>
              <w:jc w:val="center"/>
            </w:pPr>
            <w:r>
              <w:rPr>
                <w:rFonts w:ascii="宋体" w:hAnsi="宋体" w:eastAsia="宋体"/>
                <w:sz w:val="16"/>
              </w:rPr>
              <w:t>—</w:t>
            </w:r>
          </w:p>
        </w:tc>
      </w:tr>
      <w:tr w14:paraId="46D18BA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CA65B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71F12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04E666">
            <w:pPr>
              <w:jc w:val="center"/>
            </w:pPr>
            <w:r>
              <w:rPr>
                <w:rFonts w:ascii="宋体" w:hAnsi="宋体" w:eastAsia="宋体"/>
                <w:sz w:val="16"/>
              </w:rPr>
              <w:t>实际完成情况</w:t>
            </w:r>
          </w:p>
        </w:tc>
      </w:tr>
      <w:tr w14:paraId="48CA70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62D0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3B56F0">
            <w:pPr>
              <w:jc w:val="both"/>
            </w:pPr>
            <w:r>
              <w:rPr>
                <w:rFonts w:ascii="宋体" w:hAnsi="宋体" w:eastAsia="宋体"/>
                <w:sz w:val="16"/>
              </w:rPr>
              <w:t>项目主要用于偿还前期1个项目的欠款，确保项目款项按期及时支付，提高政府部门的履约和服务能力，增强政府公信力。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5FEAEA">
            <w:pPr>
              <w:jc w:val="both"/>
            </w:pPr>
            <w:r>
              <w:rPr>
                <w:rFonts w:ascii="宋体" w:hAnsi="宋体" w:eastAsia="宋体"/>
                <w:sz w:val="16"/>
              </w:rPr>
              <w:t>已完成对前期1个项目欠款的偿还，确保项目款项按期及时支付。预算执行率为100%。项目的实施提高政府部门的履约和服务能力，增强政府公信力。</w:t>
            </w:r>
          </w:p>
        </w:tc>
      </w:tr>
      <w:tr w14:paraId="105976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ADDE6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9DB5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9688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74AF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DCC8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F949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57BA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758F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A3EB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53D4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1F4B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CD8E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C31B5">
            <w:pPr>
              <w:jc w:val="center"/>
            </w:pPr>
            <w:r>
              <w:rPr>
                <w:rFonts w:ascii="宋体" w:hAnsi="宋体" w:eastAsia="宋体"/>
                <w:sz w:val="16"/>
              </w:rPr>
              <w:t>偏差原因分析及改进措施</w:t>
            </w:r>
          </w:p>
        </w:tc>
      </w:tr>
      <w:tr w14:paraId="2DD28DF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B6019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309B5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D063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8E7CF">
            <w:pPr>
              <w:jc w:val="center"/>
            </w:pPr>
            <w:r>
              <w:rPr>
                <w:rFonts w:ascii="宋体" w:hAnsi="宋体" w:eastAsia="宋体"/>
                <w:sz w:val="16"/>
              </w:rPr>
              <w:t>偿还欠款项目数量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2FFE8">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3D9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B3D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47FE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26F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A5F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BD54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ACBF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7E15C">
            <w:pPr>
              <w:jc w:val="center"/>
            </w:pPr>
          </w:p>
        </w:tc>
      </w:tr>
      <w:tr w14:paraId="370FAD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34BE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6B4F2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3542F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7E944">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77B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C31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F92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CE03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C32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AC86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9F5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850B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B84FA">
            <w:pPr>
              <w:jc w:val="center"/>
            </w:pPr>
          </w:p>
        </w:tc>
      </w:tr>
      <w:tr w14:paraId="73215C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F953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1B3B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3B83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D81EE">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FA6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B92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E7D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7CC6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8DC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E3F0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BE7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B979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1ED79">
            <w:pPr>
              <w:jc w:val="center"/>
            </w:pPr>
          </w:p>
        </w:tc>
      </w:tr>
      <w:tr w14:paraId="392837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2F79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38A9A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8B908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A5723">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799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2C9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DF3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3A6E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D34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A87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327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0E7D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2426F">
            <w:pPr>
              <w:jc w:val="center"/>
            </w:pPr>
          </w:p>
        </w:tc>
      </w:tr>
      <w:tr w14:paraId="5F2835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8D3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5AFD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A161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713C6">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8CE80">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545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05B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5872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252F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282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D3197">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556E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B29A1">
            <w:pPr>
              <w:jc w:val="center"/>
            </w:pPr>
          </w:p>
        </w:tc>
      </w:tr>
      <w:tr w14:paraId="0491E5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7F2F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2213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4ACE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721C8">
            <w:pPr>
              <w:jc w:val="center"/>
            </w:pPr>
            <w:r>
              <w:rPr>
                <w:rFonts w:ascii="宋体" w:hAnsi="宋体" w:eastAsia="宋体"/>
                <w:sz w:val="16"/>
              </w:rPr>
              <w:t>偿还欠款项目预算控制数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7CC3A">
            <w:pPr>
              <w:jc w:val="center"/>
            </w:pPr>
            <w:r>
              <w:rPr>
                <w:rFonts w:ascii="宋体" w:hAnsi="宋体" w:eastAsia="宋体"/>
                <w:sz w:val="16"/>
              </w:rPr>
              <w:t>&lt;=6万元/个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782D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E61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7307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CD8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75C1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BCC7A">
            <w:pPr>
              <w:jc w:val="center"/>
            </w:pPr>
            <w:r>
              <w:rPr>
                <w:rFonts w:ascii="宋体" w:hAnsi="宋体" w:eastAsia="宋体"/>
                <w:sz w:val="16"/>
              </w:rPr>
              <w:t>=6万元/个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23C9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1993E">
            <w:pPr>
              <w:jc w:val="center"/>
            </w:pPr>
          </w:p>
        </w:tc>
      </w:tr>
      <w:tr w14:paraId="5CA030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B0F7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DBC2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6DF6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59B62">
            <w:pPr>
              <w:jc w:val="center"/>
            </w:pPr>
            <w:r>
              <w:rPr>
                <w:rFonts w:ascii="宋体" w:hAnsi="宋体" w:eastAsia="宋体"/>
                <w:sz w:val="16"/>
              </w:rPr>
              <w:t>提高政府部门的履约和服务能力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2D68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1F2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1028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B40D6">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0D3D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827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F93C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7D149">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7309F">
            <w:pPr>
              <w:jc w:val="center"/>
            </w:pPr>
          </w:p>
        </w:tc>
      </w:tr>
      <w:tr w14:paraId="09EB1B2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A8035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6D65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0C0E6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11C3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5024D1B"/>
        </w:tc>
      </w:tr>
    </w:tbl>
    <w:p w14:paraId="693D040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3005E7D">
        <w:tblPrEx>
          <w:tblCellMar>
            <w:top w:w="0" w:type="dxa"/>
            <w:left w:w="108" w:type="dxa"/>
            <w:bottom w:w="0" w:type="dxa"/>
            <w:right w:w="108" w:type="dxa"/>
          </w:tblCellMar>
        </w:tblPrEx>
        <w:tc>
          <w:tcPr>
            <w:tcW w:w="8848" w:type="dxa"/>
            <w:gridSpan w:val="14"/>
            <w:vAlign w:val="center"/>
          </w:tcPr>
          <w:p w14:paraId="11521C3B">
            <w:pPr>
              <w:jc w:val="center"/>
            </w:pPr>
            <w:r>
              <w:rPr>
                <w:rFonts w:ascii="宋体" w:hAnsi="宋体" w:eastAsia="宋体"/>
                <w:sz w:val="24"/>
              </w:rPr>
              <w:t>项目支出绩效自评表</w:t>
            </w:r>
          </w:p>
        </w:tc>
      </w:tr>
      <w:tr w14:paraId="0E87C95C">
        <w:tblPrEx>
          <w:tblCellMar>
            <w:top w:w="0" w:type="dxa"/>
            <w:left w:w="108" w:type="dxa"/>
            <w:bottom w:w="0" w:type="dxa"/>
            <w:right w:w="108" w:type="dxa"/>
          </w:tblCellMar>
        </w:tblPrEx>
        <w:tc>
          <w:tcPr>
            <w:tcW w:w="8848" w:type="dxa"/>
            <w:gridSpan w:val="14"/>
            <w:vAlign w:val="center"/>
          </w:tcPr>
          <w:p w14:paraId="42FBCB9D">
            <w:pPr>
              <w:jc w:val="center"/>
            </w:pPr>
            <w:r>
              <w:rPr>
                <w:rFonts w:ascii="宋体" w:hAnsi="宋体" w:eastAsia="宋体"/>
                <w:sz w:val="24"/>
              </w:rPr>
              <w:t>(2024年度)</w:t>
            </w:r>
          </w:p>
        </w:tc>
      </w:tr>
      <w:tr w14:paraId="108E30A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727C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F1B057E">
            <w:pPr>
              <w:jc w:val="center"/>
            </w:pPr>
            <w:r>
              <w:rPr>
                <w:rFonts w:ascii="宋体" w:hAnsi="宋体" w:eastAsia="宋体"/>
                <w:sz w:val="16"/>
              </w:rPr>
              <w:t>政府法律顾问服务费项目</w:t>
            </w:r>
          </w:p>
        </w:tc>
      </w:tr>
      <w:tr w14:paraId="680108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2835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27075E">
            <w:pPr>
              <w:jc w:val="center"/>
            </w:pPr>
            <w:r>
              <w:rPr>
                <w:rFonts w:ascii="宋体" w:hAnsi="宋体" w:eastAsia="宋体"/>
                <w:sz w:val="16"/>
              </w:rPr>
              <w:t>岳普湖县人民政府办公室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7D6E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2D8C6E">
            <w:pPr>
              <w:jc w:val="center"/>
            </w:pPr>
            <w:r>
              <w:rPr>
                <w:rFonts w:ascii="宋体" w:hAnsi="宋体" w:eastAsia="宋体"/>
                <w:sz w:val="16"/>
              </w:rPr>
              <w:t>岳普湖县人民政府办公室</w:t>
            </w:r>
          </w:p>
        </w:tc>
      </w:tr>
      <w:tr w14:paraId="74B73BC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581DD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2FAD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2017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A0BD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5699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FE74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B03F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A772E">
            <w:pPr>
              <w:jc w:val="center"/>
            </w:pPr>
            <w:r>
              <w:rPr>
                <w:rFonts w:ascii="宋体" w:hAnsi="宋体" w:eastAsia="宋体"/>
                <w:sz w:val="16"/>
              </w:rPr>
              <w:t>得分</w:t>
            </w:r>
          </w:p>
        </w:tc>
      </w:tr>
      <w:tr w14:paraId="35006C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0E027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4B03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9FFA6">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466F1">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097C2">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7C829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1B20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8FAE4">
            <w:pPr>
              <w:jc w:val="center"/>
            </w:pPr>
            <w:r>
              <w:rPr>
                <w:rFonts w:ascii="宋体" w:hAnsi="宋体" w:eastAsia="宋体"/>
                <w:sz w:val="16"/>
              </w:rPr>
              <w:t>10.00分</w:t>
            </w:r>
          </w:p>
        </w:tc>
      </w:tr>
      <w:tr w14:paraId="654D9F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9E6EA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148E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C340F">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49314">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9898F">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4199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421FC">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8B6C2">
            <w:pPr>
              <w:jc w:val="center"/>
            </w:pPr>
            <w:r>
              <w:rPr>
                <w:rFonts w:ascii="宋体" w:hAnsi="宋体" w:eastAsia="宋体"/>
                <w:sz w:val="16"/>
              </w:rPr>
              <w:t>—</w:t>
            </w:r>
          </w:p>
        </w:tc>
      </w:tr>
      <w:tr w14:paraId="5874F9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F16D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ADFB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41C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42F1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57D0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14D3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D7233">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74EA8">
            <w:pPr>
              <w:jc w:val="center"/>
            </w:pPr>
            <w:r>
              <w:rPr>
                <w:rFonts w:ascii="宋体" w:hAnsi="宋体" w:eastAsia="宋体"/>
                <w:sz w:val="16"/>
              </w:rPr>
              <w:t>—</w:t>
            </w:r>
          </w:p>
        </w:tc>
      </w:tr>
      <w:tr w14:paraId="750A2C5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B1BDF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C0B96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8233D1">
            <w:pPr>
              <w:jc w:val="center"/>
            </w:pPr>
            <w:r>
              <w:rPr>
                <w:rFonts w:ascii="宋体" w:hAnsi="宋体" w:eastAsia="宋体"/>
                <w:sz w:val="16"/>
              </w:rPr>
              <w:t>实际完成情况</w:t>
            </w:r>
          </w:p>
        </w:tc>
      </w:tr>
      <w:tr w14:paraId="51AA8B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1A341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33ED8A">
            <w:pPr>
              <w:jc w:val="both"/>
            </w:pPr>
            <w:r>
              <w:rPr>
                <w:rFonts w:ascii="宋体" w:hAnsi="宋体" w:eastAsia="宋体"/>
                <w:sz w:val="16"/>
              </w:rPr>
              <w:t>项目主要用于聘请1家第三方法律机构，为政府各级部门提供相关法律咨询服务。项目的实施有效提高政府工作法治化、规范化、科学化水平。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DD7346">
            <w:pPr>
              <w:jc w:val="both"/>
            </w:pPr>
            <w:r>
              <w:rPr>
                <w:rFonts w:ascii="宋体" w:hAnsi="宋体" w:eastAsia="宋体"/>
                <w:sz w:val="16"/>
              </w:rPr>
              <w:t>现阶段已聘请1家第三方法律机构，为政府各级部门提供相关法律咨询服务。预算执行率为100%。项目的实施有效提高政府工作法治化、规范化、科学化水平。</w:t>
            </w:r>
          </w:p>
        </w:tc>
      </w:tr>
      <w:tr w14:paraId="623641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BE792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5941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795D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3822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5E24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860F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73E3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993F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53F7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0D4D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2848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C5B5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F008B">
            <w:pPr>
              <w:jc w:val="center"/>
            </w:pPr>
            <w:r>
              <w:rPr>
                <w:rFonts w:ascii="宋体" w:hAnsi="宋体" w:eastAsia="宋体"/>
                <w:sz w:val="16"/>
              </w:rPr>
              <w:t>偏差原因分析及改进措施</w:t>
            </w:r>
          </w:p>
        </w:tc>
      </w:tr>
      <w:tr w14:paraId="1BBB0E5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298A9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D881F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1C45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511E5">
            <w:pPr>
              <w:jc w:val="center"/>
            </w:pPr>
            <w:r>
              <w:rPr>
                <w:rFonts w:ascii="宋体" w:hAnsi="宋体" w:eastAsia="宋体"/>
                <w:sz w:val="16"/>
              </w:rPr>
              <w:t>聘请第三方法律机构数量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B39D0">
            <w:pPr>
              <w:jc w:val="center"/>
            </w:pPr>
            <w:r>
              <w:rPr>
                <w:rFonts w:ascii="宋体" w:hAnsi="宋体" w:eastAsia="宋体"/>
                <w:sz w:val="16"/>
              </w:rPr>
              <w:t>&gt;=1家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37A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8621E">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0FD2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281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A51D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FFBF1">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C94B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44EE2">
            <w:pPr>
              <w:jc w:val="center"/>
            </w:pPr>
          </w:p>
        </w:tc>
      </w:tr>
      <w:tr w14:paraId="4724C0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F7E0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45E4A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40F38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70B33">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07D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01B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B27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2831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9C5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879A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9EF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9C01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24097">
            <w:pPr>
              <w:jc w:val="center"/>
            </w:pPr>
          </w:p>
        </w:tc>
      </w:tr>
      <w:tr w14:paraId="1A1110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86A1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C12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C10F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89493">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A45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A64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6D3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051C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12C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FE26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463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B262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F1B16">
            <w:pPr>
              <w:jc w:val="center"/>
            </w:pPr>
          </w:p>
        </w:tc>
      </w:tr>
      <w:tr w14:paraId="1753F5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3426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CDDE2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7E6E9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B759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CA6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F33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B44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C2AF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125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A5FE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995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9C29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BA690">
            <w:pPr>
              <w:jc w:val="center"/>
            </w:pPr>
          </w:p>
        </w:tc>
      </w:tr>
      <w:tr w14:paraId="5DE1C3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893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5DB9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DFDB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9F135">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79F14">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6CC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3F2CD">
            <w:pPr>
              <w:jc w:val="center"/>
            </w:pPr>
            <w:r>
              <w:rPr>
                <w:rFonts w:ascii="宋体" w:hAnsi="宋体" w:eastAsia="宋体"/>
                <w:sz w:val="16"/>
              </w:rPr>
              <w:t>2023年8月2日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8327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EB91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0575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B7EE0">
            <w:pPr>
              <w:jc w:val="center"/>
            </w:pPr>
            <w:r>
              <w:rPr>
                <w:rFonts w:ascii="宋体" w:hAnsi="宋体" w:eastAsia="宋体"/>
                <w:sz w:val="16"/>
              </w:rPr>
              <w:t>=2024年12月5日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5069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35EF7">
            <w:pPr>
              <w:jc w:val="center"/>
            </w:pPr>
          </w:p>
        </w:tc>
      </w:tr>
      <w:tr w14:paraId="5F396C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33B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313B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FA6D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A5889">
            <w:pPr>
              <w:jc w:val="center"/>
            </w:pPr>
            <w:r>
              <w:rPr>
                <w:rFonts w:ascii="宋体" w:hAnsi="宋体" w:eastAsia="宋体"/>
                <w:sz w:val="16"/>
              </w:rPr>
              <w:t>经费预算控制数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D5666">
            <w:pPr>
              <w:jc w:val="center"/>
            </w:pPr>
            <w:r>
              <w:rPr>
                <w:rFonts w:ascii="宋体" w:hAnsi="宋体" w:eastAsia="宋体"/>
                <w:sz w:val="16"/>
              </w:rPr>
              <w:t>&lt;=20万元/家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525F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F6C02">
            <w:pPr>
              <w:jc w:val="center"/>
            </w:pPr>
            <w:r>
              <w:rPr>
                <w:rFonts w:ascii="宋体" w:hAnsi="宋体" w:eastAsia="宋体"/>
                <w:sz w:val="16"/>
              </w:rPr>
              <w:t>5万元/家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310C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51C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BB53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6DC37">
            <w:pPr>
              <w:jc w:val="center"/>
            </w:pPr>
            <w:r>
              <w:rPr>
                <w:rFonts w:ascii="宋体" w:hAnsi="宋体" w:eastAsia="宋体"/>
                <w:sz w:val="16"/>
              </w:rPr>
              <w:t>=20万元/家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BC6C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B7758">
            <w:pPr>
              <w:jc w:val="center"/>
            </w:pPr>
          </w:p>
        </w:tc>
      </w:tr>
      <w:tr w14:paraId="329F4A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1F84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67C6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7F44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4B495">
            <w:pPr>
              <w:jc w:val="center"/>
            </w:pPr>
            <w:r>
              <w:rPr>
                <w:rFonts w:ascii="宋体" w:hAnsi="宋体" w:eastAsia="宋体"/>
                <w:sz w:val="16"/>
              </w:rPr>
              <w:t>提高政府工作法治化、规范化、科学化水平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0B3A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297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246E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9096B">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10E6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FEC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E5F2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59F5D">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E3220">
            <w:pPr>
              <w:jc w:val="center"/>
            </w:pPr>
          </w:p>
        </w:tc>
      </w:tr>
      <w:tr w14:paraId="51F555C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546A0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1F5F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A19B2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7719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CFFF491"/>
        </w:tc>
      </w:tr>
    </w:tbl>
    <w:p w14:paraId="572419AF">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16"/>
        <w:gridCol w:w="856"/>
        <w:gridCol w:w="616"/>
        <w:gridCol w:w="616"/>
        <w:gridCol w:w="621"/>
        <w:gridCol w:w="616"/>
        <w:gridCol w:w="616"/>
        <w:gridCol w:w="777"/>
        <w:gridCol w:w="633"/>
        <w:gridCol w:w="603"/>
        <w:gridCol w:w="632"/>
      </w:tblGrid>
      <w:tr w14:paraId="58DFCB2F">
        <w:tblPrEx>
          <w:tblCellMar>
            <w:top w:w="0" w:type="dxa"/>
            <w:left w:w="108" w:type="dxa"/>
            <w:bottom w:w="0" w:type="dxa"/>
            <w:right w:w="108" w:type="dxa"/>
          </w:tblCellMar>
        </w:tblPrEx>
        <w:tc>
          <w:tcPr>
            <w:tcW w:w="8848" w:type="dxa"/>
            <w:gridSpan w:val="14"/>
            <w:vAlign w:val="center"/>
          </w:tcPr>
          <w:p w14:paraId="2F8C2DF4">
            <w:pPr>
              <w:jc w:val="center"/>
            </w:pPr>
            <w:r>
              <w:rPr>
                <w:rFonts w:ascii="宋体" w:hAnsi="宋体" w:eastAsia="宋体"/>
                <w:sz w:val="24"/>
              </w:rPr>
              <w:t>项目支出绩效自评表</w:t>
            </w:r>
          </w:p>
        </w:tc>
      </w:tr>
      <w:tr w14:paraId="52C1B2B8">
        <w:tblPrEx>
          <w:tblCellMar>
            <w:top w:w="0" w:type="dxa"/>
            <w:left w:w="108" w:type="dxa"/>
            <w:bottom w:w="0" w:type="dxa"/>
            <w:right w:w="108" w:type="dxa"/>
          </w:tblCellMar>
        </w:tblPrEx>
        <w:tc>
          <w:tcPr>
            <w:tcW w:w="8848" w:type="dxa"/>
            <w:gridSpan w:val="14"/>
            <w:vAlign w:val="center"/>
          </w:tcPr>
          <w:p w14:paraId="69BC944F">
            <w:pPr>
              <w:jc w:val="center"/>
            </w:pPr>
            <w:r>
              <w:rPr>
                <w:rFonts w:ascii="宋体" w:hAnsi="宋体" w:eastAsia="宋体"/>
                <w:sz w:val="24"/>
              </w:rPr>
              <w:t>(2024年度)</w:t>
            </w:r>
          </w:p>
        </w:tc>
      </w:tr>
      <w:tr w14:paraId="08AC417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0CF5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BB09A22">
            <w:pPr>
              <w:jc w:val="center"/>
            </w:pPr>
            <w:r>
              <w:rPr>
                <w:rFonts w:ascii="宋体" w:hAnsi="宋体" w:eastAsia="宋体"/>
                <w:sz w:val="16"/>
              </w:rPr>
              <w:t>涉改部门牌匾制作项目</w:t>
            </w:r>
          </w:p>
        </w:tc>
      </w:tr>
      <w:tr w14:paraId="144341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EF0E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E26A3A">
            <w:pPr>
              <w:jc w:val="center"/>
            </w:pPr>
            <w:r>
              <w:rPr>
                <w:rFonts w:ascii="宋体" w:hAnsi="宋体" w:eastAsia="宋体"/>
                <w:sz w:val="16"/>
              </w:rPr>
              <w:t>岳普湖县人民政府办公室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634D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241699">
            <w:pPr>
              <w:jc w:val="center"/>
            </w:pPr>
            <w:r>
              <w:rPr>
                <w:rFonts w:ascii="宋体" w:hAnsi="宋体" w:eastAsia="宋体"/>
                <w:sz w:val="16"/>
              </w:rPr>
              <w:t>岳普湖县人民政府办公室</w:t>
            </w:r>
          </w:p>
        </w:tc>
      </w:tr>
      <w:tr w14:paraId="3B5190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BE8D5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7A4F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8E3F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C1FD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95C9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D054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90FB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A7B49">
            <w:pPr>
              <w:jc w:val="center"/>
            </w:pPr>
            <w:r>
              <w:rPr>
                <w:rFonts w:ascii="宋体" w:hAnsi="宋体" w:eastAsia="宋体"/>
                <w:sz w:val="16"/>
              </w:rPr>
              <w:t>得分</w:t>
            </w:r>
          </w:p>
        </w:tc>
      </w:tr>
      <w:tr w14:paraId="47280F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55BB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9C5F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8BD9B">
            <w:pPr>
              <w:jc w:val="center"/>
            </w:pPr>
            <w:r>
              <w:rPr>
                <w:rFonts w:ascii="宋体" w:hAnsi="宋体" w:eastAsia="宋体"/>
                <w:sz w:val="16"/>
              </w:rPr>
              <w:t>0.54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5B15B">
            <w:pPr>
              <w:jc w:val="center"/>
            </w:pPr>
            <w:r>
              <w:rPr>
                <w:rFonts w:ascii="宋体" w:hAnsi="宋体" w:eastAsia="宋体"/>
                <w:sz w:val="16"/>
              </w:rPr>
              <w:t>0.54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77F4F">
            <w:pPr>
              <w:jc w:val="center"/>
            </w:pPr>
            <w:r>
              <w:rPr>
                <w:rFonts w:ascii="宋体" w:hAnsi="宋体" w:eastAsia="宋体"/>
                <w:sz w:val="16"/>
              </w:rPr>
              <w:t>0.54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93A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7132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6DEA9">
            <w:pPr>
              <w:jc w:val="center"/>
            </w:pPr>
            <w:r>
              <w:rPr>
                <w:rFonts w:ascii="宋体" w:hAnsi="宋体" w:eastAsia="宋体"/>
                <w:sz w:val="16"/>
              </w:rPr>
              <w:t>10.00分</w:t>
            </w:r>
          </w:p>
        </w:tc>
      </w:tr>
      <w:tr w14:paraId="2C0543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ED26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40E2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0AA24">
            <w:pPr>
              <w:jc w:val="center"/>
            </w:pPr>
            <w:r>
              <w:rPr>
                <w:rFonts w:ascii="宋体" w:hAnsi="宋体" w:eastAsia="宋体"/>
                <w:sz w:val="16"/>
              </w:rPr>
              <w:t>0.54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CE759">
            <w:pPr>
              <w:jc w:val="center"/>
            </w:pPr>
            <w:r>
              <w:rPr>
                <w:rFonts w:ascii="宋体" w:hAnsi="宋体" w:eastAsia="宋体"/>
                <w:sz w:val="16"/>
              </w:rPr>
              <w:t>0.54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63B85">
            <w:pPr>
              <w:jc w:val="center"/>
            </w:pPr>
            <w:r>
              <w:rPr>
                <w:rFonts w:ascii="宋体" w:hAnsi="宋体" w:eastAsia="宋体"/>
                <w:sz w:val="16"/>
              </w:rPr>
              <w:t>0.54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E6F8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48CC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5C3B2">
            <w:pPr>
              <w:jc w:val="center"/>
            </w:pPr>
            <w:r>
              <w:rPr>
                <w:rFonts w:ascii="宋体" w:hAnsi="宋体" w:eastAsia="宋体"/>
                <w:sz w:val="16"/>
              </w:rPr>
              <w:t>—</w:t>
            </w:r>
          </w:p>
        </w:tc>
      </w:tr>
      <w:tr w14:paraId="31FB6D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697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9871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941C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212B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DBC2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EE97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56F1D">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145B7">
            <w:pPr>
              <w:jc w:val="center"/>
            </w:pPr>
            <w:r>
              <w:rPr>
                <w:rFonts w:ascii="宋体" w:hAnsi="宋体" w:eastAsia="宋体"/>
                <w:sz w:val="16"/>
              </w:rPr>
              <w:t>—</w:t>
            </w:r>
          </w:p>
        </w:tc>
      </w:tr>
      <w:tr w14:paraId="3FE515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0B444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38620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8A7E9F">
            <w:pPr>
              <w:jc w:val="center"/>
            </w:pPr>
            <w:r>
              <w:rPr>
                <w:rFonts w:ascii="宋体" w:hAnsi="宋体" w:eastAsia="宋体"/>
                <w:sz w:val="16"/>
              </w:rPr>
              <w:t>实际完成情况</w:t>
            </w:r>
          </w:p>
        </w:tc>
      </w:tr>
      <w:tr w14:paraId="7E6639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5B0B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40CD25">
            <w:pPr>
              <w:jc w:val="both"/>
            </w:pPr>
            <w:r>
              <w:rPr>
                <w:rFonts w:ascii="宋体" w:hAnsi="宋体" w:eastAsia="宋体"/>
                <w:sz w:val="16"/>
              </w:rPr>
              <w:t>项目支出主要用于7家涉改部门的牌匾制作，项目的实施确保按时完成机构改革工作任务。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245A64">
            <w:pPr>
              <w:jc w:val="both"/>
            </w:pPr>
            <w:r>
              <w:rPr>
                <w:rFonts w:ascii="宋体" w:hAnsi="宋体" w:eastAsia="宋体"/>
                <w:sz w:val="16"/>
              </w:rPr>
              <w:t>现阶段已完成7家涉改部门的牌匾制作，预算执行率100%。项目的实施确保按时完成机构改革工作任务。</w:t>
            </w:r>
          </w:p>
        </w:tc>
      </w:tr>
      <w:tr w14:paraId="6EAD5F1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A180D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9D47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D461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0E97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E7D5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E395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AD1C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E103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CE2B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B4EC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91DE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8AE7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61EA4">
            <w:pPr>
              <w:jc w:val="center"/>
            </w:pPr>
            <w:r>
              <w:rPr>
                <w:rFonts w:ascii="宋体" w:hAnsi="宋体" w:eastAsia="宋体"/>
                <w:sz w:val="16"/>
              </w:rPr>
              <w:t>偏差原因分析及改进措施</w:t>
            </w:r>
          </w:p>
        </w:tc>
      </w:tr>
      <w:tr w14:paraId="6711371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294AF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1EAD9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ADFA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C2061">
            <w:pPr>
              <w:jc w:val="center"/>
            </w:pPr>
            <w:r>
              <w:rPr>
                <w:rFonts w:ascii="宋体" w:hAnsi="宋体" w:eastAsia="宋体"/>
                <w:sz w:val="16"/>
              </w:rPr>
              <w:t>制作涉改部门牌匾数量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0BBE2">
            <w:pPr>
              <w:jc w:val="center"/>
            </w:pPr>
            <w:r>
              <w:rPr>
                <w:rFonts w:ascii="宋体" w:hAnsi="宋体" w:eastAsia="宋体"/>
                <w:sz w:val="16"/>
              </w:rPr>
              <w:t>&gt;=7家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992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028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6B2B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E3C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22A0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7B24E">
            <w:pPr>
              <w:jc w:val="center"/>
            </w:pPr>
            <w:r>
              <w:rPr>
                <w:rFonts w:ascii="宋体" w:hAnsi="宋体" w:eastAsia="宋体"/>
                <w:sz w:val="16"/>
              </w:rPr>
              <w:t>=7家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FC01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7F858">
            <w:pPr>
              <w:jc w:val="center"/>
            </w:pPr>
          </w:p>
        </w:tc>
      </w:tr>
      <w:tr w14:paraId="531199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7BBB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7F11B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DA90B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88E4F">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1C5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9A1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0030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36BB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CCA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C092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0AD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DE9B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8646E">
            <w:pPr>
              <w:jc w:val="center"/>
            </w:pPr>
          </w:p>
        </w:tc>
      </w:tr>
      <w:tr w14:paraId="048447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6C09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6266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29C1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E38A4">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CCE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540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28E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D3EE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46E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2B3A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A91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C9B9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AF9AA">
            <w:pPr>
              <w:jc w:val="center"/>
            </w:pPr>
          </w:p>
        </w:tc>
      </w:tr>
      <w:tr w14:paraId="34CCD2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BF8B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4628E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D7A8B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AF6D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C82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66E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A39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B7FB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50B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76CE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975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891D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46E88">
            <w:pPr>
              <w:jc w:val="center"/>
            </w:pPr>
          </w:p>
        </w:tc>
      </w:tr>
      <w:tr w14:paraId="5949D2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74B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2DFD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0DA0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FDD5B">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A4D0F">
            <w:pPr>
              <w:jc w:val="center"/>
            </w:pPr>
            <w:r>
              <w:rPr>
                <w:rFonts w:ascii="宋体" w:hAnsi="宋体" w:eastAsia="宋体"/>
                <w:sz w:val="16"/>
              </w:rPr>
              <w:t>=2024年7月20日前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8D0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019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5BBC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9D59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4634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00D90">
            <w:pPr>
              <w:jc w:val="center"/>
            </w:pPr>
            <w:r>
              <w:rPr>
                <w:rFonts w:ascii="宋体" w:hAnsi="宋体" w:eastAsia="宋体"/>
                <w:sz w:val="16"/>
              </w:rPr>
              <w:t>=2024年6月28日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0D1D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1614E">
            <w:pPr>
              <w:jc w:val="center"/>
            </w:pPr>
          </w:p>
        </w:tc>
      </w:tr>
      <w:tr w14:paraId="4CD4E5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0E0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AF1F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A9A8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4CFAC">
            <w:pPr>
              <w:jc w:val="center"/>
            </w:pPr>
            <w:r>
              <w:rPr>
                <w:rFonts w:ascii="宋体" w:hAnsi="宋体" w:eastAsia="宋体"/>
                <w:sz w:val="16"/>
              </w:rPr>
              <w:t>制作涉改部门牌匾预算控制数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30BEC">
            <w:pPr>
              <w:jc w:val="center"/>
            </w:pPr>
            <w:r>
              <w:rPr>
                <w:rFonts w:ascii="宋体" w:hAnsi="宋体" w:eastAsia="宋体"/>
                <w:sz w:val="16"/>
              </w:rPr>
              <w:t>&lt;=771.42元/家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5B38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E3D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0A0E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595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C003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E1C1B">
            <w:pPr>
              <w:jc w:val="center"/>
            </w:pPr>
            <w:r>
              <w:rPr>
                <w:rFonts w:ascii="宋体" w:hAnsi="宋体" w:eastAsia="宋体"/>
                <w:sz w:val="16"/>
              </w:rPr>
              <w:t>=771.42元/家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BE0A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0F348">
            <w:pPr>
              <w:jc w:val="center"/>
            </w:pPr>
          </w:p>
        </w:tc>
      </w:tr>
      <w:tr w14:paraId="168493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FED3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11EA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0798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347BE">
            <w:pPr>
              <w:jc w:val="center"/>
            </w:pPr>
            <w:r>
              <w:rPr>
                <w:rFonts w:ascii="宋体" w:hAnsi="宋体" w:eastAsia="宋体"/>
                <w:sz w:val="16"/>
              </w:rPr>
              <w:t>确保按时完成机构改革工作任务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7D129">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5E7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83C6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88741">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C707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008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50348">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AD3BC">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0507E">
            <w:pPr>
              <w:jc w:val="center"/>
            </w:pPr>
          </w:p>
        </w:tc>
      </w:tr>
      <w:tr w14:paraId="65D4349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8E0FF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F997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8EDCC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549D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B5606C4"/>
        </w:tc>
      </w:tr>
    </w:tbl>
    <w:p w14:paraId="725B817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2C30C6F7">
        <w:tblPrEx>
          <w:tblCellMar>
            <w:top w:w="0" w:type="dxa"/>
            <w:left w:w="108" w:type="dxa"/>
            <w:bottom w:w="0" w:type="dxa"/>
            <w:right w:w="108" w:type="dxa"/>
          </w:tblCellMar>
        </w:tblPrEx>
        <w:tc>
          <w:tcPr>
            <w:tcW w:w="8848" w:type="dxa"/>
            <w:gridSpan w:val="14"/>
            <w:vAlign w:val="center"/>
          </w:tcPr>
          <w:p w14:paraId="4B0E53B6">
            <w:pPr>
              <w:jc w:val="center"/>
            </w:pPr>
            <w:r>
              <w:rPr>
                <w:rFonts w:ascii="宋体" w:hAnsi="宋体" w:eastAsia="宋体"/>
                <w:sz w:val="24"/>
              </w:rPr>
              <w:t>项目支出绩效自评表</w:t>
            </w:r>
          </w:p>
        </w:tc>
      </w:tr>
      <w:tr w14:paraId="0C95231A">
        <w:tblPrEx>
          <w:tblCellMar>
            <w:top w:w="0" w:type="dxa"/>
            <w:left w:w="108" w:type="dxa"/>
            <w:bottom w:w="0" w:type="dxa"/>
            <w:right w:w="108" w:type="dxa"/>
          </w:tblCellMar>
        </w:tblPrEx>
        <w:tc>
          <w:tcPr>
            <w:tcW w:w="8848" w:type="dxa"/>
            <w:gridSpan w:val="14"/>
            <w:vAlign w:val="center"/>
          </w:tcPr>
          <w:p w14:paraId="6F8E55CF">
            <w:pPr>
              <w:jc w:val="center"/>
            </w:pPr>
            <w:r>
              <w:rPr>
                <w:rFonts w:ascii="宋体" w:hAnsi="宋体" w:eastAsia="宋体"/>
                <w:sz w:val="24"/>
              </w:rPr>
              <w:t>(2024年度)</w:t>
            </w:r>
          </w:p>
        </w:tc>
      </w:tr>
      <w:tr w14:paraId="15A0D9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BADD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802DB0D">
            <w:pPr>
              <w:jc w:val="center"/>
            </w:pPr>
            <w:r>
              <w:rPr>
                <w:rFonts w:ascii="宋体" w:hAnsi="宋体" w:eastAsia="宋体"/>
                <w:sz w:val="16"/>
              </w:rPr>
              <w:t>运转经费项目</w:t>
            </w:r>
          </w:p>
        </w:tc>
      </w:tr>
      <w:tr w14:paraId="2BCF12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B733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BBFF09">
            <w:pPr>
              <w:jc w:val="center"/>
            </w:pPr>
            <w:r>
              <w:rPr>
                <w:rFonts w:ascii="宋体" w:hAnsi="宋体" w:eastAsia="宋体"/>
                <w:sz w:val="16"/>
              </w:rPr>
              <w:t>岳普湖县人民政府办公室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AD2F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3843DE">
            <w:pPr>
              <w:jc w:val="center"/>
            </w:pPr>
            <w:r>
              <w:rPr>
                <w:rFonts w:ascii="宋体" w:hAnsi="宋体" w:eastAsia="宋体"/>
                <w:sz w:val="16"/>
              </w:rPr>
              <w:t>岳普湖县人民政府办公室</w:t>
            </w:r>
          </w:p>
        </w:tc>
      </w:tr>
      <w:tr w14:paraId="17D8758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E6D0E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A7A2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4169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9AF1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8D49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1971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7D71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50A52">
            <w:pPr>
              <w:jc w:val="center"/>
            </w:pPr>
            <w:r>
              <w:rPr>
                <w:rFonts w:ascii="宋体" w:hAnsi="宋体" w:eastAsia="宋体"/>
                <w:sz w:val="16"/>
              </w:rPr>
              <w:t>得分</w:t>
            </w:r>
          </w:p>
        </w:tc>
      </w:tr>
      <w:tr w14:paraId="36F2B1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75500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7D98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AAED4">
            <w:pPr>
              <w:jc w:val="center"/>
            </w:pPr>
            <w:r>
              <w:rPr>
                <w:rFonts w:ascii="宋体" w:hAnsi="宋体" w:eastAsia="宋体"/>
                <w:sz w:val="16"/>
              </w:rPr>
              <w:t>1.56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465AD">
            <w:pPr>
              <w:jc w:val="center"/>
            </w:pPr>
            <w:r>
              <w:rPr>
                <w:rFonts w:ascii="宋体" w:hAnsi="宋体" w:eastAsia="宋体"/>
                <w:sz w:val="16"/>
              </w:rPr>
              <w:t>1.56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84480">
            <w:pPr>
              <w:jc w:val="center"/>
            </w:pPr>
            <w:r>
              <w:rPr>
                <w:rFonts w:ascii="宋体" w:hAnsi="宋体" w:eastAsia="宋体"/>
                <w:sz w:val="16"/>
              </w:rPr>
              <w:t>1.56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665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C1B7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DCC54">
            <w:pPr>
              <w:jc w:val="center"/>
            </w:pPr>
            <w:r>
              <w:rPr>
                <w:rFonts w:ascii="宋体" w:hAnsi="宋体" w:eastAsia="宋体"/>
                <w:sz w:val="16"/>
              </w:rPr>
              <w:t>10.00分</w:t>
            </w:r>
          </w:p>
        </w:tc>
      </w:tr>
      <w:tr w14:paraId="2B6431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6DD87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B452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5CC8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A3E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9B8D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48846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D85F9">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5D3FF">
            <w:pPr>
              <w:jc w:val="center"/>
            </w:pPr>
            <w:r>
              <w:rPr>
                <w:rFonts w:ascii="宋体" w:hAnsi="宋体" w:eastAsia="宋体"/>
                <w:sz w:val="16"/>
              </w:rPr>
              <w:t>—</w:t>
            </w:r>
          </w:p>
        </w:tc>
      </w:tr>
      <w:tr w14:paraId="740747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37800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DEDA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846DE">
            <w:pPr>
              <w:jc w:val="center"/>
            </w:pPr>
            <w:r>
              <w:rPr>
                <w:rFonts w:ascii="宋体" w:hAnsi="宋体" w:eastAsia="宋体"/>
                <w:sz w:val="16"/>
              </w:rPr>
              <w:t>1.56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18A6F">
            <w:pPr>
              <w:jc w:val="center"/>
            </w:pPr>
            <w:r>
              <w:rPr>
                <w:rFonts w:ascii="宋体" w:hAnsi="宋体" w:eastAsia="宋体"/>
                <w:sz w:val="16"/>
              </w:rPr>
              <w:t>1.56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26DE0">
            <w:pPr>
              <w:jc w:val="center"/>
            </w:pPr>
            <w:r>
              <w:rPr>
                <w:rFonts w:ascii="宋体" w:hAnsi="宋体" w:eastAsia="宋体"/>
                <w:sz w:val="16"/>
              </w:rPr>
              <w:t>1.56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FB91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25E2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A62D4">
            <w:pPr>
              <w:jc w:val="center"/>
            </w:pPr>
            <w:r>
              <w:rPr>
                <w:rFonts w:ascii="宋体" w:hAnsi="宋体" w:eastAsia="宋体"/>
                <w:sz w:val="16"/>
              </w:rPr>
              <w:t>—</w:t>
            </w:r>
          </w:p>
        </w:tc>
      </w:tr>
      <w:tr w14:paraId="311552F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E001D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1433F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21D7BE">
            <w:pPr>
              <w:jc w:val="center"/>
            </w:pPr>
            <w:r>
              <w:rPr>
                <w:rFonts w:ascii="宋体" w:hAnsi="宋体" w:eastAsia="宋体"/>
                <w:sz w:val="16"/>
              </w:rPr>
              <w:t>实际完成情况</w:t>
            </w:r>
          </w:p>
        </w:tc>
      </w:tr>
      <w:tr w14:paraId="67D763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695F4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B7731C">
            <w:pPr>
              <w:jc w:val="both"/>
            </w:pPr>
            <w:r>
              <w:rPr>
                <w:rFonts w:ascii="宋体" w:hAnsi="宋体" w:eastAsia="宋体"/>
                <w:sz w:val="16"/>
              </w:rPr>
              <w:t>经费主要用于支付本单位的电费。经费保障机构数量1个。通过项目的实施满足机构日常电费使用需求，确保单位日常工作正常运转。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F8E2AE">
            <w:pPr>
              <w:jc w:val="both"/>
            </w:pPr>
            <w:r>
              <w:rPr>
                <w:rFonts w:ascii="宋体" w:hAnsi="宋体" w:eastAsia="宋体"/>
                <w:sz w:val="16"/>
              </w:rPr>
              <w:t>现阶段已完成对1个机构的经费保障。预算执行率为100%。项目的实施满足机构日常电费使用需求，确保单位日常工作正常运转。</w:t>
            </w:r>
          </w:p>
        </w:tc>
      </w:tr>
      <w:tr w14:paraId="05591F4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64500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BE13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67D4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7D8C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9915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809C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7669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B8CF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9CD3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6149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B5B8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1D61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64338">
            <w:pPr>
              <w:jc w:val="center"/>
            </w:pPr>
            <w:r>
              <w:rPr>
                <w:rFonts w:ascii="宋体" w:hAnsi="宋体" w:eastAsia="宋体"/>
                <w:sz w:val="16"/>
              </w:rPr>
              <w:t>偏差原因分析及改进措施</w:t>
            </w:r>
          </w:p>
        </w:tc>
      </w:tr>
      <w:tr w14:paraId="777DDCC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8CAA0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49874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A146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1A6BB">
            <w:pPr>
              <w:jc w:val="center"/>
            </w:pPr>
            <w:r>
              <w:rPr>
                <w:rFonts w:ascii="宋体" w:hAnsi="宋体" w:eastAsia="宋体"/>
                <w:sz w:val="16"/>
              </w:rPr>
              <w:t>经费保障机构数量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8D3D2">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D4C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EE3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33B4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F2B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FF78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20A3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3AD7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010E7">
            <w:pPr>
              <w:jc w:val="center"/>
            </w:pPr>
          </w:p>
        </w:tc>
      </w:tr>
      <w:tr w14:paraId="5BF783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ED69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03B44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8AC22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148BF">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88E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597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E71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3ED8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2A5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B3CB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9BA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BCE5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3E3A1">
            <w:pPr>
              <w:jc w:val="center"/>
            </w:pPr>
          </w:p>
        </w:tc>
      </w:tr>
      <w:tr w14:paraId="3D66A7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D43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DE1F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71AF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13B50">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F51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F71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1154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B5D7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3CB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02D8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01D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B90F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6D62B">
            <w:pPr>
              <w:jc w:val="center"/>
            </w:pPr>
          </w:p>
        </w:tc>
      </w:tr>
      <w:tr w14:paraId="44B74A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F5DC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543F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8C908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A4D53">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C51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C01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449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BCF6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0C0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5E6D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71A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1728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4A7C9">
            <w:pPr>
              <w:jc w:val="center"/>
            </w:pPr>
          </w:p>
        </w:tc>
      </w:tr>
      <w:tr w14:paraId="2026FE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7874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D980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E99B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49934">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395BA">
            <w:pPr>
              <w:jc w:val="center"/>
            </w:pPr>
            <w:r>
              <w:rPr>
                <w:rFonts w:ascii="宋体" w:hAnsi="宋体" w:eastAsia="宋体"/>
                <w:sz w:val="16"/>
              </w:rPr>
              <w:t>=2024年8月25日前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D20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4D7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1DD8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641D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5A2E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287F9">
            <w:pPr>
              <w:jc w:val="center"/>
            </w:pPr>
            <w:r>
              <w:rPr>
                <w:rFonts w:ascii="宋体" w:hAnsi="宋体" w:eastAsia="宋体"/>
                <w:sz w:val="16"/>
              </w:rPr>
              <w:t>=2024年7月16日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ED98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63E16">
            <w:pPr>
              <w:jc w:val="center"/>
            </w:pPr>
          </w:p>
        </w:tc>
      </w:tr>
      <w:tr w14:paraId="6EF6D2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808E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B9AC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8742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9DF37">
            <w:pPr>
              <w:jc w:val="center"/>
            </w:pPr>
            <w:r>
              <w:rPr>
                <w:rFonts w:ascii="宋体" w:hAnsi="宋体" w:eastAsia="宋体"/>
                <w:sz w:val="16"/>
              </w:rPr>
              <w:t>经费保障预算控制数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1FE60">
            <w:pPr>
              <w:jc w:val="center"/>
            </w:pPr>
            <w:r>
              <w:rPr>
                <w:rFonts w:ascii="宋体" w:hAnsi="宋体" w:eastAsia="宋体"/>
                <w:sz w:val="16"/>
              </w:rPr>
              <w:t>&lt;=1.56万元/个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742E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9AF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1C89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925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DF19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8D923">
            <w:pPr>
              <w:jc w:val="center"/>
            </w:pPr>
            <w:r>
              <w:rPr>
                <w:rFonts w:ascii="宋体" w:hAnsi="宋体" w:eastAsia="宋体"/>
                <w:sz w:val="16"/>
              </w:rPr>
              <w:t>=1.56万元/个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57C6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9A664">
            <w:pPr>
              <w:jc w:val="center"/>
            </w:pPr>
          </w:p>
        </w:tc>
      </w:tr>
      <w:tr w14:paraId="633D42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0D89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A08B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B54E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2A74F">
            <w:pPr>
              <w:jc w:val="center"/>
            </w:pPr>
            <w:r>
              <w:rPr>
                <w:rFonts w:ascii="宋体" w:hAnsi="宋体" w:eastAsia="宋体"/>
                <w:sz w:val="16"/>
              </w:rPr>
              <w:t>确保单位日常工作正常运转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849AB">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CF1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E07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8F421">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2DB6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786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4ECDC">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A85B7">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2EE5C">
            <w:pPr>
              <w:jc w:val="center"/>
            </w:pPr>
          </w:p>
        </w:tc>
      </w:tr>
      <w:tr w14:paraId="40AD812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FD483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AFB4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7DA0E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C460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02579A2"/>
        </w:tc>
      </w:tr>
    </w:tbl>
    <w:p w14:paraId="7F9101BC">
      <w:r>
        <w:br w:type="page"/>
      </w:r>
    </w:p>
    <w:p w14:paraId="74B1FED7">
      <w:pPr>
        <w:spacing w:line="640" w:lineRule="exact"/>
        <w:ind w:firstLine="640"/>
        <w:jc w:val="both"/>
        <w:outlineLvl w:val="2"/>
      </w:pPr>
      <w:r>
        <w:rPr>
          <w:rFonts w:ascii="黑体" w:hAnsi="黑体" w:eastAsia="黑体"/>
          <w:sz w:val="32"/>
        </w:rPr>
        <w:t>十二、其他需说明的事项</w:t>
      </w:r>
    </w:p>
    <w:p w14:paraId="76F202F1">
      <w:pPr>
        <w:spacing w:line="580" w:lineRule="exact"/>
        <w:ind w:firstLine="640"/>
        <w:jc w:val="both"/>
      </w:pPr>
      <w:r>
        <w:rPr>
          <w:rFonts w:ascii="仿宋_GB2312" w:hAnsi="仿宋_GB2312" w:eastAsia="仿宋_GB2312"/>
          <w:b w:val="0"/>
          <w:sz w:val="32"/>
        </w:rPr>
        <w:t>本单位无其他需说明的事项。</w:t>
      </w:r>
    </w:p>
    <w:p w14:paraId="1313C759">
      <w:r>
        <w:br w:type="page"/>
      </w:r>
    </w:p>
    <w:p w14:paraId="1204002A">
      <w:pPr>
        <w:spacing w:line="240" w:lineRule="auto"/>
        <w:jc w:val="center"/>
        <w:outlineLvl w:val="1"/>
      </w:pPr>
      <w:r>
        <w:rPr>
          <w:rFonts w:ascii="黑体" w:hAnsi="黑体" w:eastAsia="黑体"/>
          <w:sz w:val="32"/>
        </w:rPr>
        <w:t>第三部分 专业名词解释</w:t>
      </w:r>
    </w:p>
    <w:p w14:paraId="7AEF0DE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337B3F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1A3F44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0674CE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D8E8CA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70FA33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472166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6F84975">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228729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95440F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131815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546D45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61FC8F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0752A1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7910324">
      <w:r>
        <w:br w:type="page"/>
      </w:r>
    </w:p>
    <w:p w14:paraId="5D7027A8">
      <w:pPr>
        <w:spacing w:line="240" w:lineRule="auto"/>
        <w:jc w:val="center"/>
        <w:outlineLvl w:val="1"/>
      </w:pPr>
      <w:r>
        <w:rPr>
          <w:rFonts w:ascii="黑体" w:hAnsi="黑体" w:eastAsia="黑体"/>
          <w:sz w:val="32"/>
        </w:rPr>
        <w:t>第四部分 部门决算报表（见附表）</w:t>
      </w:r>
    </w:p>
    <w:p w14:paraId="78DF7F60">
      <w:pPr>
        <w:spacing w:line="240" w:lineRule="auto"/>
        <w:ind w:firstLine="640"/>
        <w:jc w:val="both"/>
      </w:pPr>
      <w:r>
        <w:rPr>
          <w:rFonts w:ascii="仿宋_GB2312" w:hAnsi="仿宋_GB2312" w:eastAsia="仿宋_GB2312"/>
          <w:b w:val="0"/>
          <w:sz w:val="32"/>
        </w:rPr>
        <w:t>一、《收入支出决算总表》</w:t>
      </w:r>
    </w:p>
    <w:p w14:paraId="4D37B0CE">
      <w:pPr>
        <w:spacing w:line="240" w:lineRule="auto"/>
        <w:ind w:firstLine="640"/>
        <w:jc w:val="both"/>
      </w:pPr>
      <w:r>
        <w:rPr>
          <w:rFonts w:ascii="仿宋_GB2312" w:hAnsi="仿宋_GB2312" w:eastAsia="仿宋_GB2312"/>
          <w:b w:val="0"/>
          <w:sz w:val="32"/>
        </w:rPr>
        <w:t>二、《收入决算表》</w:t>
      </w:r>
    </w:p>
    <w:p w14:paraId="57E04C39">
      <w:pPr>
        <w:spacing w:line="240" w:lineRule="auto"/>
        <w:ind w:firstLine="640"/>
        <w:jc w:val="both"/>
      </w:pPr>
      <w:r>
        <w:rPr>
          <w:rFonts w:ascii="仿宋_GB2312" w:hAnsi="仿宋_GB2312" w:eastAsia="仿宋_GB2312"/>
          <w:b w:val="0"/>
          <w:sz w:val="32"/>
        </w:rPr>
        <w:t>三、《支出决算表》</w:t>
      </w:r>
    </w:p>
    <w:p w14:paraId="4199AEBC">
      <w:pPr>
        <w:spacing w:line="240" w:lineRule="auto"/>
        <w:ind w:firstLine="640"/>
        <w:jc w:val="both"/>
      </w:pPr>
      <w:r>
        <w:rPr>
          <w:rFonts w:ascii="仿宋_GB2312" w:hAnsi="仿宋_GB2312" w:eastAsia="仿宋_GB2312"/>
          <w:b w:val="0"/>
          <w:sz w:val="32"/>
        </w:rPr>
        <w:t>四、《财政拨款收入支出决算总表》</w:t>
      </w:r>
    </w:p>
    <w:p w14:paraId="5F3FDB80">
      <w:pPr>
        <w:spacing w:line="240" w:lineRule="auto"/>
        <w:ind w:firstLine="640"/>
        <w:jc w:val="both"/>
      </w:pPr>
      <w:r>
        <w:rPr>
          <w:rFonts w:ascii="仿宋_GB2312" w:hAnsi="仿宋_GB2312" w:eastAsia="仿宋_GB2312"/>
          <w:b w:val="0"/>
          <w:sz w:val="32"/>
        </w:rPr>
        <w:t>五、《一般公共预算财政拨款支出决算表》</w:t>
      </w:r>
    </w:p>
    <w:p w14:paraId="785C3F18">
      <w:pPr>
        <w:spacing w:line="240" w:lineRule="auto"/>
        <w:ind w:firstLine="640"/>
        <w:jc w:val="both"/>
      </w:pPr>
      <w:r>
        <w:rPr>
          <w:rFonts w:ascii="仿宋_GB2312" w:hAnsi="仿宋_GB2312" w:eastAsia="仿宋_GB2312"/>
          <w:b w:val="0"/>
          <w:sz w:val="32"/>
        </w:rPr>
        <w:t>六、《一般公共预算财政拨款基本支出决算表》</w:t>
      </w:r>
    </w:p>
    <w:p w14:paraId="1F1693ED">
      <w:pPr>
        <w:spacing w:line="240" w:lineRule="auto"/>
        <w:ind w:firstLine="640"/>
        <w:jc w:val="both"/>
      </w:pPr>
      <w:r>
        <w:rPr>
          <w:rFonts w:ascii="仿宋_GB2312" w:hAnsi="仿宋_GB2312" w:eastAsia="仿宋_GB2312"/>
          <w:b w:val="0"/>
          <w:sz w:val="32"/>
        </w:rPr>
        <w:t>七、《政府性基金预算财政拨款收入支出决算表》</w:t>
      </w:r>
    </w:p>
    <w:p w14:paraId="52043210">
      <w:pPr>
        <w:spacing w:line="240" w:lineRule="auto"/>
        <w:ind w:firstLine="640"/>
        <w:jc w:val="both"/>
      </w:pPr>
      <w:r>
        <w:rPr>
          <w:rFonts w:ascii="仿宋_GB2312" w:hAnsi="仿宋_GB2312" w:eastAsia="仿宋_GB2312"/>
          <w:b w:val="0"/>
          <w:sz w:val="32"/>
        </w:rPr>
        <w:t>八、《国有资本经营预算财政拨款收入支出决算表》</w:t>
      </w:r>
    </w:p>
    <w:p w14:paraId="103307B8">
      <w:pPr>
        <w:spacing w:line="240" w:lineRule="auto"/>
        <w:ind w:firstLine="640"/>
        <w:jc w:val="both"/>
      </w:pPr>
      <w:r>
        <w:rPr>
          <w:rFonts w:ascii="仿宋_GB2312" w:hAnsi="仿宋_GB2312" w:eastAsia="仿宋_GB2312"/>
          <w:b w:val="0"/>
          <w:sz w:val="32"/>
        </w:rPr>
        <w:t>九、《财政拨款“三公”经费支出决算表》</w:t>
      </w:r>
    </w:p>
    <w:p w14:paraId="52E4AF7F">
      <w:pPr>
        <w:spacing w:line="240" w:lineRule="auto"/>
        <w:ind w:firstLine="640"/>
        <w:jc w:val="both"/>
      </w:pPr>
    </w:p>
    <w:p w14:paraId="31E77527">
      <w:pPr>
        <w:spacing w:line="240" w:lineRule="auto"/>
        <w:ind w:firstLine="640"/>
        <w:jc w:val="both"/>
      </w:pPr>
    </w:p>
    <w:p w14:paraId="2253C2DA">
      <w:pPr>
        <w:spacing w:line="240" w:lineRule="auto"/>
        <w:ind w:firstLine="640"/>
        <w:jc w:val="both"/>
      </w:pPr>
    </w:p>
    <w:p w14:paraId="113452F8">
      <w:pPr>
        <w:spacing w:line="240" w:lineRule="auto"/>
        <w:ind w:firstLine="640"/>
        <w:jc w:val="both"/>
      </w:pPr>
    </w:p>
    <w:p w14:paraId="2DBAF6A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D7A26DB-2604-47E8-AA81-E4F63B245B4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4E45027E-D457-4532-8944-2B530EB5E6AB}"/>
  </w:font>
  <w:font w:name="仿宋_GB2312">
    <w:panose1 w:val="02010609030101010101"/>
    <w:charset w:val="86"/>
    <w:family w:val="modern"/>
    <w:pitch w:val="default"/>
    <w:sig w:usb0="00000001" w:usb1="080E0000" w:usb2="00000000" w:usb3="00000000" w:csb0="00040000" w:csb1="00000000"/>
    <w:embedRegular r:id="rId3" w:fontKey="{D381EFE1-EE2C-4545-98D7-54D340D0F4BB}"/>
  </w:font>
  <w:font w:name="楷体_GB2312">
    <w:panose1 w:val="02010609030101010101"/>
    <w:charset w:val="86"/>
    <w:family w:val="auto"/>
    <w:pitch w:val="default"/>
    <w:sig w:usb0="00000001" w:usb1="080E0000" w:usb2="00000000" w:usb3="00000000" w:csb0="00040000" w:csb1="00000000"/>
    <w:embedRegular r:id="rId4" w:fontKey="{8D183566-1C00-4630-902A-AE1AC6D3E12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506DF7"/>
    <w:rsid w:val="11E15093"/>
    <w:rsid w:val="120E0809"/>
    <w:rsid w:val="19071D6C"/>
    <w:rsid w:val="19B5554D"/>
    <w:rsid w:val="19EB1D1A"/>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5790</Words>
  <Characters>6616</Characters>
  <Lines>0</Lines>
  <Paragraphs>0</Paragraphs>
  <TotalTime>13</TotalTime>
  <ScaleCrop>false</ScaleCrop>
  <LinksUpToDate>false</LinksUpToDate>
  <CharactersWithSpaces>6624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2025-09-12T10:16:28Z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eyJoZGlkIjoiYjc2OWIwYWEwODAyMWYzZDQ3MWM3NTI0ZDMwN2MzZTAiLCJ1c2VySWQiOiIyNTk4NTcxMjUifQ==</vt:lpwstr>
  </property>
</Properties>
</file>