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岳普湖县人民武装部2024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B52AA8">
      <w:r>
        <w:br w:type="page"/>
      </w:r>
    </w:p>
    <w:p w14:paraId="00853C17">
      <w:pPr>
        <w:spacing w:line="640" w:lineRule="exact"/>
        <w:jc w:val="center"/>
        <w:outlineLvl w:val="1"/>
      </w:pPr>
      <w:r>
        <w:rPr>
          <w:rFonts w:ascii="黑体" w:hAnsi="黑体" w:eastAsia="黑体"/>
          <w:sz w:val="32"/>
        </w:rPr>
        <w:t>第一部分 单位概况</w:t>
      </w:r>
    </w:p>
    <w:p w14:paraId="2A686964">
      <w:pPr>
        <w:spacing w:line="640" w:lineRule="exact"/>
        <w:ind w:firstLine="640"/>
        <w:jc w:val="both"/>
        <w:outlineLvl w:val="2"/>
      </w:pPr>
      <w:r>
        <w:rPr>
          <w:rFonts w:ascii="黑体" w:hAnsi="黑体" w:eastAsia="黑体"/>
          <w:sz w:val="32"/>
        </w:rPr>
        <w:t>一、主要职能</w:t>
      </w:r>
    </w:p>
    <w:p w14:paraId="0E3A6534">
      <w:pPr>
        <w:spacing w:line="580" w:lineRule="exact"/>
        <w:ind w:firstLine="640"/>
        <w:jc w:val="both"/>
      </w:pPr>
      <w:r>
        <w:rPr>
          <w:rFonts w:ascii="仿宋_GB2312" w:hAnsi="仿宋_GB2312" w:eastAsia="仿宋_GB2312"/>
          <w:sz w:val="32"/>
        </w:rPr>
        <w:t>1.贯彻执行党的路线、方针、政策和国家法律、法令。</w:t>
      </w:r>
    </w:p>
    <w:p w14:paraId="34047CDE">
      <w:pPr>
        <w:spacing w:line="580" w:lineRule="exact"/>
        <w:ind w:firstLine="640"/>
        <w:jc w:val="both"/>
      </w:pPr>
      <w:r>
        <w:rPr>
          <w:rFonts w:ascii="仿宋_GB2312" w:hAnsi="仿宋_GB2312" w:eastAsia="仿宋_GB2312"/>
          <w:sz w:val="32"/>
        </w:rPr>
        <w:t>2.负责组织实施街道人民武装部正规化基础设施建设，民兵预备役组织建设，民兵、预备役人员的管理及训练，新兵征集、战时动员。</w:t>
      </w:r>
    </w:p>
    <w:p w14:paraId="328E60F2">
      <w:pPr>
        <w:spacing w:line="580" w:lineRule="exact"/>
        <w:ind w:firstLine="640"/>
        <w:jc w:val="both"/>
      </w:pPr>
      <w:r>
        <w:rPr>
          <w:rFonts w:ascii="仿宋_GB2312" w:hAnsi="仿宋_GB2312" w:eastAsia="仿宋_GB2312"/>
          <w:sz w:val="32"/>
        </w:rPr>
        <w:t>3.平时负责组织民兵搞好战备执勤，担负</w:t>
      </w:r>
      <w:r>
        <w:rPr>
          <w:rFonts w:hint="eastAsia" w:ascii="仿宋_GB2312" w:hAnsi="仿宋_GB2312" w:eastAsia="仿宋_GB2312"/>
          <w:sz w:val="32"/>
          <w:lang w:eastAsia="zh-CN"/>
        </w:rPr>
        <w:t>救护</w:t>
      </w:r>
      <w:r>
        <w:rPr>
          <w:rFonts w:ascii="仿宋_GB2312" w:hAnsi="仿宋_GB2312" w:eastAsia="仿宋_GB2312"/>
          <w:sz w:val="32"/>
        </w:rPr>
        <w:t>和抢险救灾任务，协助公安部门维护社会治安</w:t>
      </w:r>
      <w:r>
        <w:rPr>
          <w:rFonts w:hint="eastAsia" w:ascii="仿宋_GB2312" w:hAnsi="仿宋_GB2312" w:eastAsia="仿宋_GB2312"/>
          <w:sz w:val="32"/>
          <w:lang w:eastAsia="zh-CN"/>
        </w:rPr>
        <w:t>；</w:t>
      </w:r>
      <w:r>
        <w:rPr>
          <w:rFonts w:ascii="仿宋_GB2312" w:hAnsi="仿宋_GB2312" w:eastAsia="仿宋_GB2312"/>
          <w:sz w:val="32"/>
        </w:rPr>
        <w:t>战时组织动员民兵参军参战、支援前线和保卫后方安全。</w:t>
      </w:r>
    </w:p>
    <w:p w14:paraId="04DEE126">
      <w:pPr>
        <w:spacing w:line="580" w:lineRule="exact"/>
        <w:ind w:firstLine="640"/>
        <w:jc w:val="both"/>
      </w:pPr>
      <w:r>
        <w:rPr>
          <w:rFonts w:ascii="仿宋_GB2312" w:hAnsi="仿宋_GB2312" w:eastAsia="仿宋_GB2312"/>
          <w:sz w:val="32"/>
        </w:rPr>
        <w:t>4.组织民兵、预备役人员积极参加社会主义物质文明、精神文明和生态文明建设。</w:t>
      </w:r>
    </w:p>
    <w:p w14:paraId="07462AF3">
      <w:pPr>
        <w:spacing w:line="580" w:lineRule="exact"/>
        <w:ind w:firstLine="640"/>
        <w:jc w:val="both"/>
      </w:pPr>
      <w:r>
        <w:rPr>
          <w:rFonts w:ascii="仿宋_GB2312" w:hAnsi="仿宋_GB2312" w:eastAsia="仿宋_GB2312"/>
          <w:sz w:val="32"/>
        </w:rPr>
        <w:t>5.会同有关部门大力开展全民国防教育工作，协助有关部门做好复退军人的安置和革命伤残军人、军烈属和参战执勤民兵的优抚工作。</w:t>
      </w:r>
    </w:p>
    <w:p w14:paraId="4A2D5CC5">
      <w:pPr>
        <w:spacing w:line="580" w:lineRule="exact"/>
        <w:ind w:firstLine="640"/>
        <w:jc w:val="both"/>
      </w:pPr>
      <w:r>
        <w:rPr>
          <w:rFonts w:ascii="仿宋_GB2312" w:hAnsi="仿宋_GB2312" w:eastAsia="仿宋_GB2312"/>
          <w:sz w:val="32"/>
        </w:rPr>
        <w:t>6.协助有关部门搞好基层民兵干部的选拔、培养和调配。</w:t>
      </w:r>
    </w:p>
    <w:p w14:paraId="04112F2F">
      <w:pPr>
        <w:spacing w:line="580" w:lineRule="exact"/>
        <w:ind w:firstLine="640"/>
        <w:jc w:val="both"/>
      </w:pPr>
      <w:r>
        <w:rPr>
          <w:rFonts w:ascii="仿宋_GB2312" w:hAnsi="仿宋_GB2312" w:eastAsia="仿宋_GB2312"/>
          <w:sz w:val="32"/>
        </w:rPr>
        <w:t>7.指导民兵连队的建设。</w:t>
      </w:r>
    </w:p>
    <w:p w14:paraId="02FB007F">
      <w:pPr>
        <w:spacing w:line="580" w:lineRule="exact"/>
        <w:ind w:firstLine="640"/>
        <w:jc w:val="both"/>
      </w:pPr>
      <w:r>
        <w:rPr>
          <w:rFonts w:ascii="仿宋_GB2312" w:hAnsi="仿宋_GB2312" w:eastAsia="仿宋_GB2312"/>
          <w:sz w:val="32"/>
        </w:rPr>
        <w:t>8.承办街道党工委、办事处及县人民武装部交办的其他工作事项。</w:t>
      </w:r>
    </w:p>
    <w:p w14:paraId="0BCF4A76">
      <w:pPr>
        <w:spacing w:line="640" w:lineRule="exact"/>
        <w:ind w:firstLine="640"/>
        <w:jc w:val="both"/>
        <w:outlineLvl w:val="2"/>
      </w:pPr>
      <w:r>
        <w:rPr>
          <w:rFonts w:ascii="黑体" w:hAnsi="黑体" w:eastAsia="黑体"/>
          <w:sz w:val="32"/>
        </w:rPr>
        <w:t>二、机构设置及人员情况</w:t>
      </w:r>
    </w:p>
    <w:p w14:paraId="62B67CF9">
      <w:pPr>
        <w:spacing w:line="580" w:lineRule="exact"/>
        <w:ind w:firstLine="640"/>
        <w:jc w:val="both"/>
      </w:pPr>
      <w:r>
        <w:rPr>
          <w:rFonts w:ascii="仿宋_GB2312" w:hAnsi="仿宋_GB2312" w:eastAsia="仿宋_GB2312"/>
          <w:sz w:val="32"/>
        </w:rPr>
        <w:t>岳普湖县人民武装部2024年度，实有人数7人，其中：在职人员3人，增加0人；离休人员0人，增加0人；退休人员4人,增加0人。</w:t>
      </w:r>
    </w:p>
    <w:p w14:paraId="1904C864">
      <w:pPr>
        <w:spacing w:line="580" w:lineRule="exact"/>
        <w:ind w:firstLine="640"/>
        <w:jc w:val="both"/>
      </w:pPr>
      <w:r>
        <w:rPr>
          <w:rFonts w:ascii="仿宋_GB2312" w:hAnsi="仿宋_GB2312" w:eastAsia="仿宋_GB2312"/>
          <w:sz w:val="32"/>
        </w:rPr>
        <w:t>岳普湖县人民武装部无下属预算单位，下设1个科室，分别是：后勤保障科。</w:t>
      </w:r>
    </w:p>
    <w:p w14:paraId="1E0436C5">
      <w:r>
        <w:br w:type="page"/>
      </w:r>
    </w:p>
    <w:p w14:paraId="33A7A58A">
      <w:pPr>
        <w:spacing w:line="240" w:lineRule="auto"/>
        <w:jc w:val="center"/>
        <w:outlineLvl w:val="1"/>
      </w:pPr>
      <w:r>
        <w:rPr>
          <w:rFonts w:ascii="黑体" w:hAnsi="黑体" w:eastAsia="黑体"/>
          <w:sz w:val="32"/>
        </w:rPr>
        <w:t>第二部分 部门决算情况说明</w:t>
      </w:r>
    </w:p>
    <w:p w14:paraId="1DA26E61">
      <w:pPr>
        <w:spacing w:line="640" w:lineRule="exact"/>
        <w:ind w:firstLine="640"/>
        <w:jc w:val="both"/>
        <w:outlineLvl w:val="2"/>
      </w:pPr>
      <w:r>
        <w:rPr>
          <w:rFonts w:ascii="黑体" w:hAnsi="黑体" w:eastAsia="黑体"/>
          <w:sz w:val="32"/>
        </w:rPr>
        <w:t>一、收入支出决算总体情况说明</w:t>
      </w:r>
    </w:p>
    <w:p w14:paraId="149C8744">
      <w:pPr>
        <w:spacing w:line="580" w:lineRule="exact"/>
        <w:ind w:firstLine="640"/>
        <w:jc w:val="both"/>
      </w:pPr>
      <w:r>
        <w:rPr>
          <w:rFonts w:ascii="仿宋_GB2312" w:hAnsi="仿宋_GB2312" w:eastAsia="仿宋_GB2312"/>
          <w:b/>
          <w:sz w:val="32"/>
        </w:rPr>
        <w:t>2024年度收入总计190.21万元，</w:t>
      </w:r>
      <w:r>
        <w:rPr>
          <w:rFonts w:ascii="仿宋_GB2312" w:hAnsi="仿宋_GB2312" w:eastAsia="仿宋_GB2312"/>
          <w:b w:val="0"/>
          <w:sz w:val="32"/>
        </w:rPr>
        <w:t>其中：本年收入合计190.21万元，使用非财政拨款结余（含专用结余）0.00万元，年初结转和结余0.00万元。</w:t>
      </w:r>
    </w:p>
    <w:p w14:paraId="0D53E426">
      <w:pPr>
        <w:spacing w:line="580" w:lineRule="exact"/>
        <w:ind w:firstLine="640"/>
        <w:jc w:val="both"/>
      </w:pPr>
      <w:r>
        <w:rPr>
          <w:rFonts w:ascii="仿宋_GB2312" w:hAnsi="仿宋_GB2312" w:eastAsia="仿宋_GB2312"/>
          <w:b/>
          <w:sz w:val="32"/>
        </w:rPr>
        <w:t>2024年度支出总计190.21万元，</w:t>
      </w:r>
      <w:r>
        <w:rPr>
          <w:rFonts w:ascii="仿宋_GB2312" w:hAnsi="仿宋_GB2312" w:eastAsia="仿宋_GB2312"/>
          <w:b w:val="0"/>
          <w:sz w:val="32"/>
        </w:rPr>
        <w:t>其中：本年支出合计190.21万元，结余分配0.00万元，年末结转和结余0.00万元。</w:t>
      </w:r>
    </w:p>
    <w:p w14:paraId="49C88135">
      <w:pPr>
        <w:spacing w:line="580" w:lineRule="exact"/>
        <w:ind w:firstLine="640"/>
        <w:jc w:val="both"/>
      </w:pPr>
      <w:r>
        <w:rPr>
          <w:rFonts w:ascii="仿宋_GB2312" w:hAnsi="仿宋_GB2312" w:eastAsia="仿宋_GB2312"/>
          <w:b w:val="0"/>
          <w:sz w:val="32"/>
        </w:rPr>
        <w:t>收入支出总体与上年相比，增加48.99万元，增长34.69%，主要原因是：本年在职人员工资调增，导致相关人员经费较上年有所增加。本年增加取暖费、委托业务费等经费，相关支出增加</w:t>
      </w:r>
      <w:bookmarkStart w:id="0" w:name="_GoBack"/>
      <w:bookmarkEnd w:id="0"/>
      <w:r>
        <w:rPr>
          <w:rFonts w:ascii="仿宋_GB2312" w:hAnsi="仿宋_GB2312" w:eastAsia="仿宋_GB2312"/>
          <w:b w:val="0"/>
          <w:sz w:val="32"/>
        </w:rPr>
        <w:t>。</w:t>
      </w:r>
    </w:p>
    <w:p w14:paraId="5F4FCC21">
      <w:pPr>
        <w:spacing w:line="640" w:lineRule="exact"/>
        <w:ind w:firstLine="640"/>
        <w:jc w:val="both"/>
        <w:outlineLvl w:val="2"/>
      </w:pPr>
      <w:r>
        <w:rPr>
          <w:rFonts w:ascii="黑体" w:hAnsi="黑体" w:eastAsia="黑体"/>
          <w:sz w:val="32"/>
        </w:rPr>
        <w:t>二、收入决算情况说明</w:t>
      </w:r>
    </w:p>
    <w:p w14:paraId="67EEC73E">
      <w:pPr>
        <w:spacing w:line="580" w:lineRule="exact"/>
        <w:ind w:firstLine="640"/>
        <w:jc w:val="both"/>
      </w:pPr>
      <w:r>
        <w:rPr>
          <w:rFonts w:ascii="仿宋_GB2312" w:hAnsi="仿宋_GB2312" w:eastAsia="仿宋_GB2312"/>
          <w:b/>
          <w:sz w:val="32"/>
        </w:rPr>
        <w:t>本年收入190.21万元，</w:t>
      </w:r>
      <w:r>
        <w:rPr>
          <w:rFonts w:ascii="仿宋_GB2312" w:hAnsi="仿宋_GB2312" w:eastAsia="仿宋_GB2312"/>
          <w:b w:val="0"/>
          <w:sz w:val="32"/>
        </w:rPr>
        <w:t>其中：财政拨款收入190.21万元，占100.00%；上级补助收入0.00万元，占0.00%；事业收入0.00万元，占0.00%；经营收入0.00万元，占0.00%；附属单位上缴收入0.00万元，占0.00%；其他收入0.00万元，占0.00%。</w:t>
      </w:r>
    </w:p>
    <w:p w14:paraId="534B970C">
      <w:pPr>
        <w:spacing w:line="640" w:lineRule="exact"/>
        <w:ind w:firstLine="640"/>
        <w:jc w:val="both"/>
        <w:outlineLvl w:val="2"/>
      </w:pPr>
      <w:r>
        <w:rPr>
          <w:rFonts w:ascii="黑体" w:hAnsi="黑体" w:eastAsia="黑体"/>
          <w:sz w:val="32"/>
        </w:rPr>
        <w:t>三、支出决算情况说明</w:t>
      </w:r>
    </w:p>
    <w:p w14:paraId="0FEAEEDF">
      <w:pPr>
        <w:spacing w:line="580" w:lineRule="exact"/>
        <w:ind w:firstLine="640"/>
        <w:jc w:val="both"/>
      </w:pPr>
      <w:r>
        <w:rPr>
          <w:rFonts w:ascii="仿宋_GB2312" w:hAnsi="仿宋_GB2312" w:eastAsia="仿宋_GB2312"/>
          <w:b/>
          <w:sz w:val="32"/>
        </w:rPr>
        <w:t>本年支出190.21万元，</w:t>
      </w:r>
      <w:r>
        <w:rPr>
          <w:rFonts w:ascii="仿宋_GB2312" w:hAnsi="仿宋_GB2312" w:eastAsia="仿宋_GB2312"/>
          <w:b w:val="0"/>
          <w:sz w:val="32"/>
        </w:rPr>
        <w:t>其中：基本支出148.65万元，占78.15%；项目支出41.56万元，占21.85%；上缴上级支出0.00万元，占0.00%；经营支出0.00万元，占0.00%；对附属单位补助支出0.00万元，占0.00%。</w:t>
      </w:r>
    </w:p>
    <w:p w14:paraId="39942F96">
      <w:pPr>
        <w:spacing w:line="640" w:lineRule="exact"/>
        <w:ind w:firstLine="640"/>
        <w:jc w:val="both"/>
        <w:outlineLvl w:val="2"/>
      </w:pPr>
      <w:r>
        <w:rPr>
          <w:rFonts w:ascii="黑体" w:hAnsi="黑体" w:eastAsia="黑体"/>
          <w:sz w:val="32"/>
        </w:rPr>
        <w:t>四、财政拨款收入支出决算总体情况说明</w:t>
      </w:r>
    </w:p>
    <w:p w14:paraId="294A750D">
      <w:pPr>
        <w:spacing w:line="580" w:lineRule="exact"/>
        <w:ind w:firstLine="640"/>
        <w:jc w:val="both"/>
      </w:pPr>
      <w:r>
        <w:rPr>
          <w:rFonts w:ascii="仿宋_GB2312" w:hAnsi="仿宋_GB2312" w:eastAsia="仿宋_GB2312"/>
          <w:b/>
          <w:sz w:val="32"/>
        </w:rPr>
        <w:t>2024年度财政拨款收入总计190.21万元，</w:t>
      </w:r>
      <w:r>
        <w:rPr>
          <w:rFonts w:ascii="仿宋_GB2312" w:hAnsi="仿宋_GB2312" w:eastAsia="仿宋_GB2312"/>
          <w:b w:val="0"/>
          <w:sz w:val="32"/>
        </w:rPr>
        <w:t>其中：年初财政拨款结转和结余0.00万元，本年财政拨款收入190.21万元。</w:t>
      </w:r>
      <w:r>
        <w:rPr>
          <w:rFonts w:ascii="仿宋_GB2312" w:hAnsi="仿宋_GB2312" w:eastAsia="仿宋_GB2312"/>
          <w:b/>
          <w:sz w:val="32"/>
        </w:rPr>
        <w:t>财政拨款支出总计190.21万元，</w:t>
      </w:r>
      <w:r>
        <w:rPr>
          <w:rFonts w:ascii="仿宋_GB2312" w:hAnsi="仿宋_GB2312" w:eastAsia="仿宋_GB2312"/>
          <w:b w:val="0"/>
          <w:sz w:val="32"/>
        </w:rPr>
        <w:t>其中：年末财政拨款结转和结余0.00万元，本年财政拨款支出190.21万元。</w:t>
      </w:r>
    </w:p>
    <w:p w14:paraId="0C1E4D3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增加84.94万元，增长80.69%，主要原因是：本年在职人员工资调增，社保、公积金基数调增，人员经费增加。本年增加岳普湖县人民武装部正规化建设综合整治项目。</w:t>
      </w:r>
      <w:r>
        <w:rPr>
          <w:rFonts w:ascii="仿宋_GB2312" w:hAnsi="仿宋_GB2312" w:eastAsia="仿宋_GB2312"/>
          <w:b/>
          <w:sz w:val="32"/>
        </w:rPr>
        <w:t>与年初预算相比，</w:t>
      </w:r>
      <w:r>
        <w:rPr>
          <w:rFonts w:ascii="仿宋_GB2312" w:hAnsi="仿宋_GB2312" w:eastAsia="仿宋_GB2312"/>
          <w:b w:val="0"/>
          <w:sz w:val="32"/>
        </w:rPr>
        <w:t>年初预算数86.80万元，决算数190.21万元，预决算差异率119.14%，主要原因是：年中追加人员工资、社保、公积金基数调增部分资金，年中追加岳普湖县人民武装部正规化建设综合整治项目，导致预决算存在差异。</w:t>
      </w:r>
    </w:p>
    <w:p w14:paraId="04263DF8">
      <w:pPr>
        <w:spacing w:line="640" w:lineRule="exact"/>
        <w:ind w:firstLine="640"/>
        <w:jc w:val="both"/>
        <w:outlineLvl w:val="2"/>
      </w:pPr>
      <w:r>
        <w:rPr>
          <w:rFonts w:ascii="黑体" w:hAnsi="黑体" w:eastAsia="黑体"/>
          <w:sz w:val="32"/>
        </w:rPr>
        <w:t>五、一般公共预算财政拨款支出决算情况说明</w:t>
      </w:r>
    </w:p>
    <w:p w14:paraId="7F16E2DA">
      <w:pPr>
        <w:spacing w:line="640" w:lineRule="exact"/>
        <w:ind w:firstLine="640"/>
        <w:jc w:val="both"/>
        <w:outlineLvl w:val="3"/>
      </w:pPr>
      <w:r>
        <w:rPr>
          <w:rFonts w:ascii="楷体_GB2312" w:hAnsi="楷体_GB2312" w:eastAsia="楷体_GB2312"/>
          <w:b/>
          <w:sz w:val="32"/>
        </w:rPr>
        <w:t>（一）一般公共预算财政拨款支出决算总体情况</w:t>
      </w:r>
    </w:p>
    <w:p w14:paraId="6F4D4517">
      <w:pPr>
        <w:spacing w:line="580" w:lineRule="exact"/>
        <w:ind w:firstLine="640"/>
        <w:jc w:val="both"/>
      </w:pPr>
      <w:r>
        <w:rPr>
          <w:rFonts w:ascii="仿宋_GB2312" w:hAnsi="仿宋_GB2312" w:eastAsia="仿宋_GB2312"/>
          <w:b/>
          <w:sz w:val="32"/>
        </w:rPr>
        <w:t>2024年度一般公共预算财政拨款支出190.21万元，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增加84.94万元，增长80.69%，主要原因是：本年在职人员工资调增，社保、公积金基数调增，人员经费增加。本年增加岳普湖县人民武装部正规化建设综合整治项目。</w:t>
      </w:r>
      <w:r>
        <w:rPr>
          <w:rFonts w:ascii="仿宋_GB2312" w:hAnsi="仿宋_GB2312" w:eastAsia="仿宋_GB2312"/>
          <w:b/>
          <w:sz w:val="32"/>
        </w:rPr>
        <w:t>与年初预算相比,</w:t>
      </w:r>
      <w:r>
        <w:rPr>
          <w:rFonts w:ascii="仿宋_GB2312" w:hAnsi="仿宋_GB2312" w:eastAsia="仿宋_GB2312"/>
          <w:b w:val="0"/>
          <w:sz w:val="32"/>
        </w:rPr>
        <w:t>年初预算数86.80万元，决算数190.21万元，预决算差异率119.14%，主要原因是：年中追加人员工资、社保、公积金基数调增部分资金，年中追加岳普湖县人民武装部正规化建设综合整治项目，导致预决算存在差异。</w:t>
      </w:r>
    </w:p>
    <w:p w14:paraId="32078D79">
      <w:pPr>
        <w:spacing w:line="640" w:lineRule="exact"/>
        <w:ind w:firstLine="640"/>
        <w:jc w:val="both"/>
        <w:outlineLvl w:val="3"/>
      </w:pPr>
      <w:r>
        <w:rPr>
          <w:rFonts w:ascii="楷体_GB2312" w:hAnsi="楷体_GB2312" w:eastAsia="楷体_GB2312"/>
          <w:b/>
          <w:sz w:val="32"/>
        </w:rPr>
        <w:t>（二）一般公共预算财政拨款支出决算结构情况</w:t>
      </w:r>
    </w:p>
    <w:p w14:paraId="09D69FD1">
      <w:pPr>
        <w:spacing w:line="580" w:lineRule="exact"/>
        <w:ind w:firstLine="640"/>
        <w:jc w:val="both"/>
      </w:pPr>
      <w:r>
        <w:rPr>
          <w:rFonts w:ascii="仿宋_GB2312" w:hAnsi="仿宋_GB2312" w:eastAsia="仿宋_GB2312"/>
          <w:b w:val="0"/>
          <w:sz w:val="32"/>
        </w:rPr>
        <w:t>1.一般公共服务支出(类)171.51万元,占90.17%。</w:t>
      </w:r>
    </w:p>
    <w:p w14:paraId="012AF2F6">
      <w:pPr>
        <w:spacing w:line="580" w:lineRule="exact"/>
        <w:ind w:firstLine="640"/>
        <w:jc w:val="both"/>
      </w:pPr>
      <w:r>
        <w:rPr>
          <w:rFonts w:ascii="仿宋_GB2312" w:hAnsi="仿宋_GB2312" w:eastAsia="仿宋_GB2312"/>
          <w:b w:val="0"/>
          <w:sz w:val="32"/>
        </w:rPr>
        <w:t>2.社会保障和就业支出(类)11.05万元,占5.81%。</w:t>
      </w:r>
    </w:p>
    <w:p w14:paraId="2282B27E">
      <w:pPr>
        <w:spacing w:line="580" w:lineRule="exact"/>
        <w:ind w:firstLine="640"/>
        <w:jc w:val="both"/>
      </w:pPr>
      <w:r>
        <w:rPr>
          <w:rFonts w:ascii="仿宋_GB2312" w:hAnsi="仿宋_GB2312" w:eastAsia="仿宋_GB2312"/>
          <w:b w:val="0"/>
          <w:sz w:val="32"/>
        </w:rPr>
        <w:t>3.卫生健康支出(类)3.09万元,占1.62%。</w:t>
      </w:r>
    </w:p>
    <w:p w14:paraId="79207669">
      <w:pPr>
        <w:spacing w:line="580" w:lineRule="exact"/>
        <w:ind w:firstLine="640"/>
        <w:jc w:val="both"/>
      </w:pPr>
      <w:r>
        <w:rPr>
          <w:rFonts w:ascii="仿宋_GB2312" w:hAnsi="仿宋_GB2312" w:eastAsia="仿宋_GB2312"/>
          <w:b w:val="0"/>
          <w:sz w:val="32"/>
        </w:rPr>
        <w:t>4.住房保障支出(类)4.55万元,占2.39%。</w:t>
      </w:r>
    </w:p>
    <w:p w14:paraId="6D7D4DBB">
      <w:pPr>
        <w:spacing w:line="640" w:lineRule="exact"/>
        <w:ind w:firstLine="640"/>
        <w:jc w:val="both"/>
        <w:outlineLvl w:val="3"/>
      </w:pPr>
      <w:r>
        <w:rPr>
          <w:rFonts w:ascii="楷体_GB2312" w:hAnsi="楷体_GB2312" w:eastAsia="楷体_GB2312"/>
          <w:b/>
          <w:sz w:val="32"/>
        </w:rPr>
        <w:t>（三）一般公共预算财政拨款支出决算具体情况</w:t>
      </w:r>
    </w:p>
    <w:p w14:paraId="36F1D925">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129.95万元，比上年决算增加43.27万元，增长49.92%,主要原因是：本年在职人员工资调增，导致相关人员经费较上年有所增加。本年增加取暖费、委托业务费等经费，相关支出增加。</w:t>
      </w:r>
    </w:p>
    <w:p w14:paraId="1374BAD4">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41.56万元，比上年决算增加41.56万元，增长100.00%,主要原因是：本年增加岳普湖县人民武装部正规化建设综合整治项目。</w:t>
      </w:r>
    </w:p>
    <w:p w14:paraId="5B7A19AB">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3.社会保障和就业支出(类)行政事业单位养老支出(款)行政单位离退休(项):支出决算数为5.43万元，比上年决算增加0.76万元，增长16.27%,主要原因是：本年增加退休人员基础绩效奖，退休费支出增加。</w:t>
      </w:r>
    </w:p>
    <w:p w14:paraId="409D526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5.62万元，比上年决算增加0.59万元，增长11.73%,主要原因是：本年在职人员工资基数调增，养老缴费基数上涨，相应支出增加。</w:t>
      </w:r>
    </w:p>
    <w:p w14:paraId="408A40EB">
      <w:pPr>
        <w:spacing w:line="580" w:lineRule="exact"/>
        <w:ind w:firstLine="640"/>
        <w:jc w:val="both"/>
      </w:pPr>
      <w:r>
        <w:rPr>
          <w:rFonts w:ascii="仿宋_GB2312" w:hAnsi="仿宋_GB2312" w:eastAsia="仿宋_GB2312"/>
          <w:b w:val="0"/>
          <w:sz w:val="32"/>
        </w:rPr>
        <w:t>5.卫生健康支出(类)行政事业单位医疗(款)行政单位医疗(项):支出决算数为2.39万元，比上年决算减少1.35万元，下降36.10%,主要原因是：因退休人员医疗保险制度改革，退休人员基本医疗不再由单位缴纳，导致经费较上年减少。</w:t>
      </w:r>
    </w:p>
    <w:p w14:paraId="11CBCD4B">
      <w:pPr>
        <w:spacing w:line="580" w:lineRule="exact"/>
        <w:ind w:firstLine="640"/>
        <w:jc w:val="both"/>
      </w:pPr>
      <w:r>
        <w:rPr>
          <w:rFonts w:ascii="仿宋_GB2312" w:hAnsi="仿宋_GB2312" w:eastAsia="仿宋_GB2312"/>
          <w:b w:val="0"/>
          <w:sz w:val="32"/>
        </w:rPr>
        <w:t>6.卫生健康支出(类)行政事业单位医疗(款)公务员医疗补助(项):支出决算数为0.70万元，比上年决算减少0.34万元，下降32.69%,主要原因是：因退休人员医疗保险制度改革，退休人员基本医疗不再由单位缴纳，导致经费较上年减少。</w:t>
      </w:r>
    </w:p>
    <w:p w14:paraId="0FCFCCA5">
      <w:pPr>
        <w:spacing w:line="580" w:lineRule="exact"/>
        <w:ind w:firstLine="640"/>
        <w:jc w:val="both"/>
      </w:pPr>
      <w:r>
        <w:rPr>
          <w:rFonts w:ascii="仿宋_GB2312" w:hAnsi="仿宋_GB2312" w:eastAsia="仿宋_GB2312"/>
          <w:b w:val="0"/>
          <w:sz w:val="32"/>
        </w:rPr>
        <w:t>7.住房保障支出(类)住房改革支出(款)住房公积金(项):支出决算数为4.55万元，比上年决算增加0.45万元，增长10.98%,主要原因是：本年在职人员工资基数调增，公积金缴费基数上涨，相应支出增加。</w:t>
      </w:r>
    </w:p>
    <w:p w14:paraId="56C69681">
      <w:pPr>
        <w:spacing w:line="640" w:lineRule="exact"/>
        <w:ind w:firstLine="640"/>
        <w:jc w:val="both"/>
        <w:outlineLvl w:val="2"/>
      </w:pPr>
      <w:r>
        <w:rPr>
          <w:rFonts w:ascii="黑体" w:hAnsi="黑体" w:eastAsia="黑体"/>
          <w:sz w:val="32"/>
        </w:rPr>
        <w:t>六、一般公共预算财政拨款基本支出决算情况说明</w:t>
      </w:r>
    </w:p>
    <w:p w14:paraId="566F143E">
      <w:pPr>
        <w:spacing w:line="580" w:lineRule="exact"/>
        <w:ind w:firstLine="640"/>
        <w:jc w:val="both"/>
      </w:pPr>
      <w:r>
        <w:rPr>
          <w:rFonts w:ascii="仿宋_GB2312" w:hAnsi="仿宋_GB2312" w:eastAsia="仿宋_GB2312"/>
          <w:b w:val="0"/>
          <w:sz w:val="32"/>
        </w:rPr>
        <w:t>2024年度一般公共预算财政拨款基本支出148.65万元，其中：</w:t>
      </w:r>
      <w:r>
        <w:rPr>
          <w:rFonts w:ascii="仿宋_GB2312" w:hAnsi="仿宋_GB2312" w:eastAsia="仿宋_GB2312"/>
          <w:b/>
          <w:sz w:val="32"/>
        </w:rPr>
        <w:t>人员经费60.23万元，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39695943">
      <w:pPr>
        <w:spacing w:line="580" w:lineRule="exact"/>
        <w:ind w:firstLine="640"/>
        <w:jc w:val="both"/>
      </w:pPr>
      <w:r>
        <w:rPr>
          <w:rFonts w:ascii="仿宋_GB2312" w:hAnsi="仿宋_GB2312" w:eastAsia="仿宋_GB2312"/>
          <w:b/>
          <w:sz w:val="32"/>
        </w:rPr>
        <w:t>公用经费88.41万元，</w:t>
      </w:r>
      <w:r>
        <w:rPr>
          <w:rFonts w:ascii="仿宋_GB2312" w:hAnsi="仿宋_GB2312" w:eastAsia="仿宋_GB2312"/>
          <w:b w:val="0"/>
          <w:sz w:val="32"/>
        </w:rPr>
        <w:t>包括：办公费、取暖费、委托业务费、其他商品和服务支出、办公设备购置。</w:t>
      </w:r>
    </w:p>
    <w:p w14:paraId="53E44413">
      <w:pPr>
        <w:spacing w:line="640" w:lineRule="exact"/>
        <w:ind w:firstLine="640"/>
        <w:jc w:val="both"/>
        <w:outlineLvl w:val="2"/>
      </w:pPr>
      <w:r>
        <w:rPr>
          <w:rFonts w:ascii="黑体" w:hAnsi="黑体" w:eastAsia="黑体"/>
          <w:sz w:val="32"/>
        </w:rPr>
        <w:t>七、政府性基金预算财政拨款收入支出决算情况说明</w:t>
      </w:r>
    </w:p>
    <w:p w14:paraId="0B094DF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306EAF8">
      <w:pPr>
        <w:spacing w:line="640" w:lineRule="exact"/>
        <w:ind w:firstLine="640"/>
        <w:jc w:val="both"/>
        <w:outlineLvl w:val="2"/>
      </w:pPr>
      <w:r>
        <w:rPr>
          <w:rFonts w:ascii="黑体" w:hAnsi="黑体" w:eastAsia="黑体"/>
          <w:sz w:val="32"/>
        </w:rPr>
        <w:t>八、国有资本经营预算财政拨款收入支出决算情况说明</w:t>
      </w:r>
    </w:p>
    <w:p w14:paraId="0075FF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AA90FE">
      <w:pPr>
        <w:spacing w:line="640" w:lineRule="exact"/>
        <w:ind w:firstLine="640"/>
        <w:jc w:val="both"/>
        <w:outlineLvl w:val="2"/>
      </w:pPr>
      <w:r>
        <w:rPr>
          <w:rFonts w:ascii="黑体" w:hAnsi="黑体" w:eastAsia="黑体"/>
          <w:sz w:val="32"/>
        </w:rPr>
        <w:t>九、财政拨款“三公”经费支出决算情况说明</w:t>
      </w:r>
    </w:p>
    <w:p w14:paraId="0FE7D9F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E75C38B">
      <w:pPr>
        <w:spacing w:line="580" w:lineRule="exact"/>
        <w:ind w:firstLine="640"/>
        <w:jc w:val="both"/>
      </w:pPr>
      <w:r>
        <w:rPr>
          <w:rFonts w:ascii="仿宋_GB2312" w:hAnsi="仿宋_GB2312" w:eastAsia="仿宋_GB2312"/>
          <w:b/>
          <w:sz w:val="32"/>
        </w:rPr>
        <w:t>具体情况如下：</w:t>
      </w:r>
    </w:p>
    <w:p w14:paraId="1694640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D2939E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FD7859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904C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9066CB5">
      <w:pPr>
        <w:spacing w:line="640" w:lineRule="exact"/>
        <w:ind w:firstLine="640"/>
        <w:jc w:val="both"/>
        <w:outlineLvl w:val="2"/>
      </w:pPr>
      <w:r>
        <w:rPr>
          <w:rFonts w:ascii="黑体" w:hAnsi="黑体" w:eastAsia="黑体"/>
          <w:sz w:val="32"/>
        </w:rPr>
        <w:t>十、其他重要事项的情况说明</w:t>
      </w:r>
    </w:p>
    <w:p w14:paraId="19D08599">
      <w:pPr>
        <w:spacing w:line="640" w:lineRule="exact"/>
        <w:ind w:firstLine="640"/>
        <w:jc w:val="both"/>
        <w:outlineLvl w:val="3"/>
      </w:pPr>
      <w:r>
        <w:rPr>
          <w:rFonts w:ascii="楷体_GB2312" w:hAnsi="楷体_GB2312" w:eastAsia="楷体_GB2312"/>
          <w:b/>
          <w:sz w:val="32"/>
        </w:rPr>
        <w:t>（一）机关运行经费及公用经费支出情况</w:t>
      </w:r>
    </w:p>
    <w:p w14:paraId="4E476D73">
      <w:pPr>
        <w:spacing w:line="580" w:lineRule="exact"/>
        <w:ind w:firstLine="640"/>
        <w:jc w:val="both"/>
      </w:pPr>
      <w:r>
        <w:rPr>
          <w:rFonts w:ascii="仿宋_GB2312" w:hAnsi="仿宋_GB2312" w:eastAsia="仿宋_GB2312"/>
          <w:b w:val="0"/>
          <w:sz w:val="32"/>
        </w:rPr>
        <w:t>2024年度岳普湖县人民武装部（事业单位）公用经费支出88.41万元，比上年增加62.51万元，增长241.35%，主要原因是：本年增加取暖费、委托业务费等经费，导致公用经费增加。</w:t>
      </w:r>
    </w:p>
    <w:p w14:paraId="1808139C">
      <w:pPr>
        <w:spacing w:line="640" w:lineRule="exact"/>
        <w:ind w:firstLine="640"/>
        <w:jc w:val="both"/>
        <w:outlineLvl w:val="3"/>
      </w:pPr>
      <w:r>
        <w:rPr>
          <w:rFonts w:ascii="楷体_GB2312" w:hAnsi="楷体_GB2312" w:eastAsia="楷体_GB2312"/>
          <w:b/>
          <w:sz w:val="32"/>
        </w:rPr>
        <w:t>（二）政府采购情况</w:t>
      </w:r>
    </w:p>
    <w:p w14:paraId="00D90528">
      <w:pPr>
        <w:spacing w:line="580" w:lineRule="exact"/>
        <w:ind w:firstLine="640"/>
        <w:jc w:val="both"/>
      </w:pPr>
      <w:r>
        <w:rPr>
          <w:rFonts w:ascii="仿宋_GB2312" w:hAnsi="仿宋_GB2312" w:eastAsia="仿宋_GB2312"/>
          <w:b w:val="0"/>
          <w:sz w:val="32"/>
        </w:rPr>
        <w:t>2024年度政府采购支出总额5.67万元，其中：政府采购货物支出5.67万元、政府采购工程支出0.00万元、政府采购服务支出0.00万元。</w:t>
      </w:r>
    </w:p>
    <w:p w14:paraId="0F7EB9E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5513695">
      <w:pPr>
        <w:spacing w:line="640" w:lineRule="exact"/>
        <w:ind w:firstLine="640"/>
        <w:jc w:val="both"/>
        <w:outlineLvl w:val="3"/>
      </w:pPr>
      <w:r>
        <w:rPr>
          <w:rFonts w:ascii="楷体_GB2312" w:hAnsi="楷体_GB2312" w:eastAsia="楷体_GB2312"/>
          <w:b/>
          <w:sz w:val="32"/>
        </w:rPr>
        <w:t>（三）国有资产占用情况说明</w:t>
      </w:r>
    </w:p>
    <w:p w14:paraId="7E6ACED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969284A">
      <w:pPr>
        <w:spacing w:line="640" w:lineRule="exact"/>
        <w:ind w:firstLine="640"/>
        <w:jc w:val="both"/>
        <w:outlineLvl w:val="2"/>
      </w:pPr>
      <w:r>
        <w:rPr>
          <w:rFonts w:ascii="黑体" w:hAnsi="黑体" w:eastAsia="黑体"/>
          <w:sz w:val="32"/>
        </w:rPr>
        <w:t>十一、预算绩效的情况说明</w:t>
      </w:r>
    </w:p>
    <w:p w14:paraId="49CD8B3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根据预算绩效管理要求，本单位2024年度预算绩效管理形成整体支出绩效自评表1个，全年预算总额190.21万元，实际执行总额190.21万元；预算绩效评价项目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103.41万元，全年执行数103.41万元。预算绩效管理取得的成效：本年度本单位绩效自评表不予公开。发现的问题及原因：本年度本单位绩效自评表不予公开。下一步改进措施：本年度本单位绩效自评表不予公开。具体附整体支出绩效自评表。</w:t>
      </w:r>
    </w:p>
    <w:p w14:paraId="5CF8A92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79125A">
        <w:tblPrEx>
          <w:tblCellMar>
            <w:top w:w="0" w:type="dxa"/>
            <w:left w:w="108" w:type="dxa"/>
            <w:bottom w:w="0" w:type="dxa"/>
            <w:right w:w="108" w:type="dxa"/>
          </w:tblCellMar>
        </w:tblPrEx>
        <w:tc>
          <w:tcPr>
            <w:tcW w:w="8847" w:type="dxa"/>
            <w:gridSpan w:val="9"/>
            <w:vAlign w:val="center"/>
          </w:tcPr>
          <w:p w14:paraId="3A46DB25">
            <w:pPr>
              <w:jc w:val="center"/>
            </w:pPr>
            <w:r>
              <w:rPr>
                <w:rFonts w:ascii="宋体" w:hAnsi="宋体" w:eastAsia="宋体"/>
                <w:sz w:val="24"/>
              </w:rPr>
              <w:t>单位整体支出绩效自评表</w:t>
            </w:r>
          </w:p>
        </w:tc>
      </w:tr>
      <w:tr w14:paraId="6F1FA38E">
        <w:tblPrEx>
          <w:tblCellMar>
            <w:top w:w="0" w:type="dxa"/>
            <w:left w:w="108" w:type="dxa"/>
            <w:bottom w:w="0" w:type="dxa"/>
            <w:right w:w="108" w:type="dxa"/>
          </w:tblCellMar>
        </w:tblPrEx>
        <w:tc>
          <w:tcPr>
            <w:tcW w:w="8847" w:type="dxa"/>
            <w:gridSpan w:val="9"/>
            <w:vAlign w:val="center"/>
          </w:tcPr>
          <w:p w14:paraId="4787E647">
            <w:pPr>
              <w:jc w:val="center"/>
            </w:pPr>
            <w:r>
              <w:rPr>
                <w:rFonts w:ascii="宋体" w:hAnsi="宋体" w:eastAsia="宋体"/>
                <w:sz w:val="24"/>
              </w:rPr>
              <w:t>（2024年度）</w:t>
            </w:r>
          </w:p>
        </w:tc>
      </w:tr>
      <w:tr w14:paraId="7038563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BE09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9B2781">
            <w:pPr>
              <w:jc w:val="center"/>
            </w:pPr>
            <w:r>
              <w:rPr>
                <w:rFonts w:ascii="宋体" w:hAnsi="宋体" w:eastAsia="宋体"/>
                <w:sz w:val="16"/>
              </w:rPr>
              <w:t>岳普湖县人民武装部</w:t>
            </w:r>
          </w:p>
        </w:tc>
      </w:tr>
      <w:tr w14:paraId="3385F3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820D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74C6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0707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585C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E127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668F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4A72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CFD75">
            <w:pPr>
              <w:jc w:val="center"/>
            </w:pPr>
            <w:r>
              <w:rPr>
                <w:rFonts w:ascii="宋体" w:hAnsi="宋体" w:eastAsia="宋体"/>
                <w:sz w:val="16"/>
              </w:rPr>
              <w:t>得分</w:t>
            </w:r>
          </w:p>
        </w:tc>
      </w:tr>
      <w:tr w14:paraId="65D559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B8C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865E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D89FA">
            <w:pPr>
              <w:jc w:val="center"/>
            </w:pPr>
            <w:r>
              <w:rPr>
                <w:rFonts w:ascii="宋体" w:hAnsi="宋体" w:eastAsia="宋体"/>
                <w:sz w:val="16"/>
              </w:rPr>
              <w:t>86.80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495D2">
            <w:pPr>
              <w:jc w:val="center"/>
            </w:pPr>
            <w:r>
              <w:rPr>
                <w:rFonts w:ascii="宋体" w:hAnsi="宋体" w:eastAsia="宋体"/>
                <w:sz w:val="16"/>
              </w:rPr>
              <w:t>190.21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F990">
            <w:pPr>
              <w:jc w:val="center"/>
            </w:pPr>
            <w:r>
              <w:rPr>
                <w:rFonts w:ascii="宋体" w:hAnsi="宋体" w:eastAsia="宋体"/>
                <w:sz w:val="16"/>
              </w:rPr>
              <w:t>190.21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DC7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05D0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1A6D">
            <w:pPr>
              <w:jc w:val="center"/>
            </w:pPr>
            <w:r>
              <w:rPr>
                <w:rFonts w:ascii="宋体" w:hAnsi="宋体" w:eastAsia="宋体"/>
                <w:sz w:val="16"/>
              </w:rPr>
              <w:t>10</w:t>
            </w:r>
          </w:p>
        </w:tc>
      </w:tr>
      <w:tr w14:paraId="3A91C5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D4F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ADF3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40C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211C">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E8ED">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EC7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D483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99C74">
            <w:pPr>
              <w:jc w:val="center"/>
            </w:pPr>
            <w:r>
              <w:rPr>
                <w:rFonts w:ascii="宋体" w:hAnsi="宋体" w:eastAsia="宋体"/>
                <w:sz w:val="16"/>
              </w:rPr>
              <w:t>—</w:t>
            </w:r>
          </w:p>
        </w:tc>
      </w:tr>
      <w:tr w14:paraId="6DC186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3B3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299B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00EE5">
            <w:pPr>
              <w:jc w:val="center"/>
            </w:pPr>
            <w:r>
              <w:rPr>
                <w:rFonts w:ascii="宋体" w:hAnsi="宋体" w:eastAsia="宋体"/>
                <w:sz w:val="16"/>
              </w:rPr>
              <w:t>86.80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B3E4C">
            <w:pPr>
              <w:jc w:val="center"/>
            </w:pPr>
            <w:r>
              <w:rPr>
                <w:rFonts w:ascii="宋体" w:hAnsi="宋体" w:eastAsia="宋体"/>
                <w:sz w:val="16"/>
              </w:rPr>
              <w:t>189.19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1E43D">
            <w:pPr>
              <w:jc w:val="center"/>
            </w:pPr>
            <w:r>
              <w:rPr>
                <w:rFonts w:ascii="宋体" w:hAnsi="宋体" w:eastAsia="宋体"/>
                <w:sz w:val="16"/>
              </w:rPr>
              <w:t>189.19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E7B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3E40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7C734">
            <w:pPr>
              <w:jc w:val="center"/>
            </w:pPr>
            <w:r>
              <w:rPr>
                <w:rFonts w:ascii="宋体" w:hAnsi="宋体" w:eastAsia="宋体"/>
                <w:sz w:val="16"/>
              </w:rPr>
              <w:t>—</w:t>
            </w:r>
          </w:p>
        </w:tc>
      </w:tr>
      <w:tr w14:paraId="675DF7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360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5889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069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9CF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1B3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2DA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EA3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DFD4C">
            <w:pPr>
              <w:jc w:val="center"/>
            </w:pPr>
            <w:r>
              <w:rPr>
                <w:rFonts w:ascii="宋体" w:hAnsi="宋体" w:eastAsia="宋体"/>
                <w:sz w:val="16"/>
              </w:rPr>
              <w:t>—</w:t>
            </w:r>
          </w:p>
        </w:tc>
      </w:tr>
      <w:tr w14:paraId="0267423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B30D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AE218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C7B5CD">
            <w:pPr>
              <w:jc w:val="center"/>
            </w:pPr>
            <w:r>
              <w:rPr>
                <w:rFonts w:ascii="宋体" w:hAnsi="宋体" w:eastAsia="宋体"/>
                <w:sz w:val="16"/>
              </w:rPr>
              <w:t>实际完成情况</w:t>
            </w:r>
          </w:p>
        </w:tc>
      </w:tr>
      <w:tr w14:paraId="4CA7A3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778B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2363B6">
            <w:pPr>
              <w:jc w:val="both"/>
            </w:pPr>
            <w:r>
              <w:rPr>
                <w:rFonts w:ascii="宋体" w:hAnsi="宋体" w:eastAsia="宋体"/>
                <w:sz w:val="16"/>
              </w:rPr>
              <w:t>完成全年2次春季和秋季的征兵工作。保障兵役登记、国防教育宣传工作、征兵政策宣传普及顺利完成。保障高质量完成战备执勤和急难险重任务。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56E51">
            <w:pPr>
              <w:jc w:val="both"/>
            </w:pPr>
            <w:r>
              <w:rPr>
                <w:rFonts w:ascii="宋体" w:hAnsi="宋体" w:eastAsia="宋体"/>
                <w:sz w:val="16"/>
              </w:rPr>
              <w:t>当年已完成2次春季和秋季的征兵工作。充分发挥单位履职效能，保障兵役登记、国防教育宣传工作、征兵政策宣传普及顺利完成。保障高质量完成战备执勤和急难险重任务。</w:t>
            </w:r>
          </w:p>
        </w:tc>
      </w:tr>
      <w:tr w14:paraId="43D185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375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5EF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C9C0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EBC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DBD4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1747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2085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40FC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48E39">
            <w:pPr>
              <w:jc w:val="center"/>
            </w:pPr>
            <w:r>
              <w:rPr>
                <w:rFonts w:ascii="宋体" w:hAnsi="宋体" w:eastAsia="宋体"/>
                <w:sz w:val="16"/>
              </w:rPr>
              <w:t>得分</w:t>
            </w:r>
          </w:p>
        </w:tc>
      </w:tr>
      <w:tr w14:paraId="5E7B89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530B0">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1DA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3728B">
            <w:pPr>
              <w:jc w:val="center"/>
            </w:pPr>
            <w:r>
              <w:rPr>
                <w:rFonts w:ascii="宋体" w:hAnsi="宋体" w:eastAsia="宋体"/>
                <w:sz w:val="16"/>
              </w:rPr>
              <w:t>征兵工作次数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003F1">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ABE6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3474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6932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2B5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F9859">
            <w:pPr>
              <w:jc w:val="center"/>
            </w:pPr>
            <w:r>
              <w:rPr>
                <w:rFonts w:ascii="宋体" w:hAnsi="宋体" w:eastAsia="宋体"/>
                <w:sz w:val="16"/>
              </w:rPr>
              <w:t>18</w:t>
            </w:r>
          </w:p>
        </w:tc>
      </w:tr>
      <w:tr w14:paraId="7346F9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2B78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67F9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1B7C3">
            <w:pPr>
              <w:jc w:val="center"/>
            </w:pPr>
            <w:r>
              <w:rPr>
                <w:rFonts w:ascii="宋体" w:hAnsi="宋体" w:eastAsia="宋体"/>
                <w:sz w:val="16"/>
              </w:rPr>
              <w:t>国防教育宣传普及率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FF0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F96A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2DD1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070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3FB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0B278">
            <w:pPr>
              <w:jc w:val="center"/>
            </w:pPr>
            <w:r>
              <w:rPr>
                <w:rFonts w:ascii="宋体" w:hAnsi="宋体" w:eastAsia="宋体"/>
                <w:sz w:val="16"/>
              </w:rPr>
              <w:t>18</w:t>
            </w:r>
          </w:p>
        </w:tc>
      </w:tr>
      <w:tr w14:paraId="6A03C1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449F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D62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97FE5">
            <w:pPr>
              <w:jc w:val="center"/>
            </w:pPr>
            <w:r>
              <w:rPr>
                <w:rFonts w:ascii="宋体" w:hAnsi="宋体" w:eastAsia="宋体"/>
                <w:sz w:val="16"/>
              </w:rPr>
              <w:t>兵役登记覆盖率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3C0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DDE3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A50A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537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A6F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704C">
            <w:pPr>
              <w:jc w:val="center"/>
            </w:pPr>
            <w:r>
              <w:rPr>
                <w:rFonts w:ascii="宋体" w:hAnsi="宋体" w:eastAsia="宋体"/>
                <w:sz w:val="16"/>
              </w:rPr>
              <w:t>18</w:t>
            </w:r>
          </w:p>
        </w:tc>
      </w:tr>
      <w:tr w14:paraId="054C3A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D0F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DF4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E5F73">
            <w:pPr>
              <w:jc w:val="center"/>
            </w:pPr>
            <w:r>
              <w:rPr>
                <w:rFonts w:ascii="宋体" w:hAnsi="宋体" w:eastAsia="宋体"/>
                <w:sz w:val="16"/>
              </w:rPr>
              <w:t>征兵政策宣传普及率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887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3C60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D96C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0F4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AE5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86337">
            <w:pPr>
              <w:jc w:val="center"/>
            </w:pPr>
            <w:r>
              <w:rPr>
                <w:rFonts w:ascii="宋体" w:hAnsi="宋体" w:eastAsia="宋体"/>
                <w:sz w:val="16"/>
              </w:rPr>
              <w:t>18</w:t>
            </w:r>
          </w:p>
        </w:tc>
      </w:tr>
      <w:tr w14:paraId="57575A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0E0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9F46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27FD2">
            <w:pPr>
              <w:jc w:val="center"/>
            </w:pPr>
            <w:r>
              <w:rPr>
                <w:rFonts w:ascii="宋体" w:hAnsi="宋体" w:eastAsia="宋体"/>
                <w:sz w:val="16"/>
              </w:rPr>
              <w:t>春秋两季征兵工作按期完成率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827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E11C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A11A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8CF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1EB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0D731">
            <w:pPr>
              <w:jc w:val="center"/>
            </w:pPr>
            <w:r>
              <w:rPr>
                <w:rFonts w:ascii="宋体" w:hAnsi="宋体" w:eastAsia="宋体"/>
                <w:sz w:val="16"/>
              </w:rPr>
              <w:t>18</w:t>
            </w:r>
          </w:p>
        </w:tc>
      </w:tr>
    </w:tbl>
    <w:p w14:paraId="48C18885">
      <w:r>
        <w:br w:type="page"/>
      </w:r>
    </w:p>
    <w:p w14:paraId="1B07ECA8">
      <w:pPr>
        <w:spacing w:line="640" w:lineRule="exact"/>
        <w:ind w:firstLine="640"/>
        <w:jc w:val="both"/>
        <w:outlineLvl w:val="2"/>
      </w:pPr>
      <w:r>
        <w:rPr>
          <w:rFonts w:ascii="黑体" w:hAnsi="黑体" w:eastAsia="黑体"/>
          <w:sz w:val="32"/>
        </w:rPr>
        <w:t>十二、其他需说明的事项</w:t>
      </w:r>
    </w:p>
    <w:p w14:paraId="6844BF60">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14:paraId="7AE69AE8">
      <w:pPr>
        <w:spacing w:line="580" w:lineRule="exact"/>
        <w:ind w:firstLine="640"/>
        <w:jc w:val="both"/>
      </w:pPr>
      <w:r>
        <w:rPr>
          <w:rFonts w:ascii="仿宋_GB2312" w:hAnsi="仿宋_GB2312" w:eastAsia="仿宋_GB2312"/>
          <w:b w:val="0"/>
          <w:sz w:val="32"/>
        </w:rPr>
        <w:t>本年本单位SM项目2个，全年预算数103.41万元，全年执行数103.41万元。</w:t>
      </w:r>
    </w:p>
    <w:p w14:paraId="518C966B">
      <w:r>
        <w:br w:type="page"/>
      </w:r>
    </w:p>
    <w:p w14:paraId="1E22A00A">
      <w:pPr>
        <w:spacing w:line="240" w:lineRule="auto"/>
        <w:jc w:val="center"/>
        <w:outlineLvl w:val="1"/>
      </w:pPr>
      <w:r>
        <w:rPr>
          <w:rFonts w:ascii="黑体" w:hAnsi="黑体" w:eastAsia="黑体"/>
          <w:sz w:val="32"/>
        </w:rPr>
        <w:t>第三部分 专业名词解释</w:t>
      </w:r>
    </w:p>
    <w:p w14:paraId="51E0CE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ED95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43A17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A4151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71982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98491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57073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403BA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ED2C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49D76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703EE5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432AB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F82F2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D84C5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69354E2">
      <w:r>
        <w:br w:type="page"/>
      </w:r>
    </w:p>
    <w:p w14:paraId="4E8A9B85">
      <w:pPr>
        <w:spacing w:line="240" w:lineRule="auto"/>
        <w:jc w:val="center"/>
        <w:outlineLvl w:val="1"/>
      </w:pPr>
      <w:r>
        <w:rPr>
          <w:rFonts w:ascii="黑体" w:hAnsi="黑体" w:eastAsia="黑体"/>
          <w:sz w:val="32"/>
        </w:rPr>
        <w:t>第四部分 部门决算报表（见附表）</w:t>
      </w:r>
    </w:p>
    <w:p w14:paraId="008FEB09">
      <w:pPr>
        <w:spacing w:line="240" w:lineRule="auto"/>
        <w:ind w:firstLine="640"/>
        <w:jc w:val="both"/>
      </w:pPr>
      <w:r>
        <w:rPr>
          <w:rFonts w:ascii="仿宋_GB2312" w:hAnsi="仿宋_GB2312" w:eastAsia="仿宋_GB2312"/>
          <w:b w:val="0"/>
          <w:sz w:val="32"/>
        </w:rPr>
        <w:t>一、《收入支出决算总表》</w:t>
      </w:r>
    </w:p>
    <w:p w14:paraId="09DF50F5">
      <w:pPr>
        <w:spacing w:line="240" w:lineRule="auto"/>
        <w:ind w:firstLine="640"/>
        <w:jc w:val="both"/>
      </w:pPr>
      <w:r>
        <w:rPr>
          <w:rFonts w:ascii="仿宋_GB2312" w:hAnsi="仿宋_GB2312" w:eastAsia="仿宋_GB2312"/>
          <w:b w:val="0"/>
          <w:sz w:val="32"/>
        </w:rPr>
        <w:t>二、《收入决算表》</w:t>
      </w:r>
    </w:p>
    <w:p w14:paraId="6C29C973">
      <w:pPr>
        <w:spacing w:line="240" w:lineRule="auto"/>
        <w:ind w:firstLine="640"/>
        <w:jc w:val="both"/>
      </w:pPr>
      <w:r>
        <w:rPr>
          <w:rFonts w:ascii="仿宋_GB2312" w:hAnsi="仿宋_GB2312" w:eastAsia="仿宋_GB2312"/>
          <w:b w:val="0"/>
          <w:sz w:val="32"/>
        </w:rPr>
        <w:t>三、《支出决算表》</w:t>
      </w:r>
    </w:p>
    <w:p w14:paraId="3439A547">
      <w:pPr>
        <w:spacing w:line="240" w:lineRule="auto"/>
        <w:ind w:firstLine="640"/>
        <w:jc w:val="both"/>
      </w:pPr>
      <w:r>
        <w:rPr>
          <w:rFonts w:ascii="仿宋_GB2312" w:hAnsi="仿宋_GB2312" w:eastAsia="仿宋_GB2312"/>
          <w:b w:val="0"/>
          <w:sz w:val="32"/>
        </w:rPr>
        <w:t>四、《财政拨款收入支出决算总表》</w:t>
      </w:r>
    </w:p>
    <w:p w14:paraId="4AAB507F">
      <w:pPr>
        <w:spacing w:line="240" w:lineRule="auto"/>
        <w:ind w:firstLine="640"/>
        <w:jc w:val="both"/>
      </w:pPr>
      <w:r>
        <w:rPr>
          <w:rFonts w:ascii="仿宋_GB2312" w:hAnsi="仿宋_GB2312" w:eastAsia="仿宋_GB2312"/>
          <w:b w:val="0"/>
          <w:sz w:val="32"/>
        </w:rPr>
        <w:t>五、《一般公共预算财政拨款支出决算表》</w:t>
      </w:r>
    </w:p>
    <w:p w14:paraId="12309A28">
      <w:pPr>
        <w:spacing w:line="240" w:lineRule="auto"/>
        <w:ind w:firstLine="640"/>
        <w:jc w:val="both"/>
      </w:pPr>
      <w:r>
        <w:rPr>
          <w:rFonts w:ascii="仿宋_GB2312" w:hAnsi="仿宋_GB2312" w:eastAsia="仿宋_GB2312"/>
          <w:b w:val="0"/>
          <w:sz w:val="32"/>
        </w:rPr>
        <w:t>六、《一般公共预算财政拨款基本支出决算表》</w:t>
      </w:r>
    </w:p>
    <w:p w14:paraId="5103DD39">
      <w:pPr>
        <w:spacing w:line="240" w:lineRule="auto"/>
        <w:ind w:firstLine="640"/>
        <w:jc w:val="both"/>
      </w:pPr>
      <w:r>
        <w:rPr>
          <w:rFonts w:ascii="仿宋_GB2312" w:hAnsi="仿宋_GB2312" w:eastAsia="仿宋_GB2312"/>
          <w:b w:val="0"/>
          <w:sz w:val="32"/>
        </w:rPr>
        <w:t>七、《政府性基金预算财政拨款收入支出决算表》</w:t>
      </w:r>
    </w:p>
    <w:p w14:paraId="253570A5">
      <w:pPr>
        <w:spacing w:line="240" w:lineRule="auto"/>
        <w:ind w:firstLine="640"/>
        <w:jc w:val="both"/>
      </w:pPr>
      <w:r>
        <w:rPr>
          <w:rFonts w:ascii="仿宋_GB2312" w:hAnsi="仿宋_GB2312" w:eastAsia="仿宋_GB2312"/>
          <w:b w:val="0"/>
          <w:sz w:val="32"/>
        </w:rPr>
        <w:t>八、《国有资本经营预算财政拨款收入支出决算表》</w:t>
      </w:r>
    </w:p>
    <w:p w14:paraId="641CB5CB">
      <w:pPr>
        <w:spacing w:line="240" w:lineRule="auto"/>
        <w:ind w:firstLine="640"/>
        <w:jc w:val="both"/>
      </w:pPr>
      <w:r>
        <w:rPr>
          <w:rFonts w:ascii="仿宋_GB2312" w:hAnsi="仿宋_GB2312" w:eastAsia="仿宋_GB2312"/>
          <w:b w:val="0"/>
          <w:sz w:val="32"/>
        </w:rPr>
        <w:t>九、《财政拨款“三公”经费支出决算表》</w:t>
      </w:r>
    </w:p>
    <w:p w14:paraId="1DC94B73">
      <w:pPr>
        <w:spacing w:line="240" w:lineRule="auto"/>
        <w:ind w:firstLine="640"/>
        <w:jc w:val="both"/>
      </w:pPr>
    </w:p>
    <w:p w14:paraId="4F908C74">
      <w:pPr>
        <w:spacing w:line="240" w:lineRule="auto"/>
        <w:ind w:firstLine="640"/>
        <w:jc w:val="both"/>
      </w:pPr>
    </w:p>
    <w:p w14:paraId="2E91F4DE">
      <w:pPr>
        <w:spacing w:line="240" w:lineRule="auto"/>
        <w:ind w:firstLine="640"/>
        <w:jc w:val="both"/>
      </w:pPr>
    </w:p>
    <w:p w14:paraId="2262890C">
      <w:pPr>
        <w:spacing w:line="240" w:lineRule="auto"/>
        <w:ind w:firstLine="640"/>
        <w:jc w:val="both"/>
      </w:pPr>
    </w:p>
    <w:p w14:paraId="7EB860C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6B7227"/>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22296F"/>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5860</Words>
  <Characters>6618</Characters>
  <Lines>0</Lines>
  <Paragraphs>0</Paragraphs>
  <TotalTime>1</TotalTime>
  <ScaleCrop>false</ScaleCrop>
  <LinksUpToDate>false</LinksUpToDate>
  <CharactersWithSpaces>6628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