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AB2916">
      <w:r>
        <w:br w:type="page"/>
      </w:r>
    </w:p>
    <w:p w14:paraId="7AD71F7C">
      <w:pPr>
        <w:spacing w:line="640" w:lineRule="exact"/>
        <w:jc w:val="center"/>
        <w:outlineLvl w:val="1"/>
      </w:pPr>
      <w:r>
        <w:rPr>
          <w:rFonts w:ascii="黑体" w:hAnsi="黑体" w:eastAsia="黑体"/>
          <w:sz w:val="32"/>
        </w:rPr>
        <w:t>第一部分 单位概况</w:t>
      </w:r>
    </w:p>
    <w:p w14:paraId="60B31BF8">
      <w:pPr>
        <w:spacing w:line="640" w:lineRule="exact"/>
        <w:ind w:firstLine="640"/>
        <w:jc w:val="both"/>
        <w:outlineLvl w:val="2"/>
      </w:pPr>
      <w:r>
        <w:rPr>
          <w:rFonts w:ascii="黑体" w:hAnsi="黑体" w:eastAsia="黑体"/>
          <w:sz w:val="32"/>
        </w:rPr>
        <w:t>一、主要职能</w:t>
      </w:r>
    </w:p>
    <w:p w14:paraId="1C4E7870">
      <w:pPr>
        <w:spacing w:line="580" w:lineRule="exact"/>
        <w:ind w:firstLine="640"/>
        <w:jc w:val="both"/>
      </w:pPr>
      <w:r>
        <w:rPr>
          <w:rFonts w:ascii="仿宋_GB2312" w:hAnsi="仿宋_GB2312" w:eastAsia="仿宋_GB2312"/>
          <w:sz w:val="32"/>
        </w:rPr>
        <w:t>（1）贯彻执行党和国家关于公安工作的方针政策和法律法规，统一领导、指挥全县公安工作。</w:t>
      </w:r>
    </w:p>
    <w:p w14:paraId="097C8C5E">
      <w:pPr>
        <w:spacing w:line="580" w:lineRule="exact"/>
        <w:ind w:firstLine="640"/>
        <w:jc w:val="both"/>
      </w:pPr>
      <w:r>
        <w:rPr>
          <w:rFonts w:ascii="仿宋_GB2312" w:hAnsi="仿宋_GB2312" w:eastAsia="仿宋_GB2312"/>
          <w:sz w:val="32"/>
        </w:rPr>
        <w:t>（2）掌握影响社会稳定、危害国内安全和社会治安的情况，及时向县委、县政府和上级公安机关报告有关情况和重要信息，分析形势，提出处理意见和建议，并组织实施。</w:t>
      </w:r>
    </w:p>
    <w:p w14:paraId="204D7910">
      <w:pPr>
        <w:spacing w:line="580" w:lineRule="exact"/>
        <w:ind w:firstLine="640"/>
        <w:jc w:val="both"/>
      </w:pPr>
      <w:r>
        <w:rPr>
          <w:rFonts w:ascii="仿宋_GB2312" w:hAnsi="仿宋_GB2312" w:eastAsia="仿宋_GB2312"/>
          <w:sz w:val="32"/>
        </w:rPr>
        <w:t>（3）受理公民报警求助；依法预防、制止和侦查违法犯罪活动；协调处置重大案件、治安事故和骚乱，防范、处置邪教组织的违法犯罪活动，防范、</w:t>
      </w:r>
      <w:r>
        <w:rPr>
          <w:rFonts w:hint="eastAsia" w:ascii="仿宋_GB2312" w:hAnsi="仿宋_GB2312" w:eastAsia="仿宋_GB2312"/>
          <w:sz w:val="32"/>
          <w:lang w:eastAsia="zh-CN"/>
        </w:rPr>
        <w:t>侦查</w:t>
      </w:r>
      <w:r>
        <w:rPr>
          <w:rFonts w:ascii="仿宋_GB2312" w:hAnsi="仿宋_GB2312" w:eastAsia="仿宋_GB2312"/>
          <w:sz w:val="32"/>
        </w:rPr>
        <w:t>恐怖活动。</w:t>
      </w:r>
    </w:p>
    <w:p w14:paraId="7845E07B">
      <w:pPr>
        <w:spacing w:line="580" w:lineRule="exact"/>
        <w:ind w:firstLine="640"/>
        <w:jc w:val="both"/>
      </w:pPr>
      <w:r>
        <w:rPr>
          <w:rFonts w:ascii="仿宋_GB2312" w:hAnsi="仿宋_GB2312" w:eastAsia="仿宋_GB2312"/>
          <w:sz w:val="32"/>
        </w:rPr>
        <w:t>（4）依法查处危害社会治安秩序行为；在县委、县政府的统一领导下，积极预防、处置突发性事件、群体性事件，维护社会稳定；依法管理集会、游行、示威活动；依法管理户籍、居民身份证、枪支弹药、危险物品、特种行业、大型活动和公共场所治安秩序等工作。</w:t>
      </w:r>
    </w:p>
    <w:p w14:paraId="5C4C5070">
      <w:pPr>
        <w:spacing w:line="580" w:lineRule="exact"/>
        <w:ind w:firstLine="640"/>
        <w:jc w:val="both"/>
      </w:pPr>
      <w:r>
        <w:rPr>
          <w:rFonts w:ascii="仿宋_GB2312" w:hAnsi="仿宋_GB2312" w:eastAsia="仿宋_GB2312"/>
          <w:sz w:val="32"/>
        </w:rPr>
        <w:t>（5）负责并指导全县道路交通安全管理，维护交通秩序，承担机动车辆、驾驶人以及非机动车辆的管理工作。</w:t>
      </w:r>
    </w:p>
    <w:p w14:paraId="78C965A1">
      <w:pPr>
        <w:spacing w:line="580" w:lineRule="exact"/>
        <w:ind w:firstLine="640"/>
        <w:jc w:val="both"/>
      </w:pPr>
      <w:r>
        <w:rPr>
          <w:rFonts w:ascii="仿宋_GB2312" w:hAnsi="仿宋_GB2312" w:eastAsia="仿宋_GB2312"/>
          <w:sz w:val="32"/>
        </w:rPr>
        <w:t>（6）依法管理</w:t>
      </w:r>
      <w:r>
        <w:rPr>
          <w:rFonts w:hint="eastAsia" w:ascii="仿宋_GB2312" w:hAnsi="仿宋_GB2312" w:eastAsia="仿宋_GB2312"/>
          <w:sz w:val="32"/>
          <w:lang w:eastAsia="zh-CN"/>
        </w:rPr>
        <w:t>出</w:t>
      </w:r>
      <w:r>
        <w:rPr>
          <w:rFonts w:ascii="仿宋_GB2312" w:hAnsi="仿宋_GB2312" w:eastAsia="仿宋_GB2312"/>
          <w:sz w:val="32"/>
        </w:rPr>
        <w:t>入境事务和国（境）外人员在岳普湖居留、旅行等有关事务，查处违反出入境管理秩序行为的工作。</w:t>
      </w:r>
    </w:p>
    <w:p w14:paraId="0C4045A1">
      <w:pPr>
        <w:spacing w:line="580" w:lineRule="exact"/>
        <w:ind w:firstLine="640"/>
        <w:jc w:val="both"/>
      </w:pPr>
      <w:r>
        <w:rPr>
          <w:rFonts w:ascii="仿宋_GB2312" w:hAnsi="仿宋_GB2312" w:eastAsia="仿宋_GB2312"/>
          <w:sz w:val="32"/>
        </w:rPr>
        <w:t>（7）组织指导、监督全县公安机关对国家机关、社会团体、企事业单位和重点建设工程的治安保卫、服务管理工作；指导、监督全市群众性治安保卫组织的治安防范工作。</w:t>
      </w:r>
    </w:p>
    <w:p w14:paraId="5F661CA2">
      <w:pPr>
        <w:spacing w:line="580" w:lineRule="exact"/>
        <w:ind w:firstLine="640"/>
        <w:jc w:val="both"/>
      </w:pPr>
      <w:r>
        <w:rPr>
          <w:rFonts w:ascii="仿宋_GB2312" w:hAnsi="仿宋_GB2312" w:eastAsia="仿宋_GB2312"/>
          <w:sz w:val="32"/>
        </w:rPr>
        <w:t>（8）负责指导、监督全县公安机关对公共信息网络的安全保护工作。</w:t>
      </w:r>
    </w:p>
    <w:p w14:paraId="104674D4">
      <w:pPr>
        <w:spacing w:line="580" w:lineRule="exact"/>
        <w:ind w:firstLine="640"/>
        <w:jc w:val="both"/>
      </w:pPr>
      <w:r>
        <w:rPr>
          <w:rFonts w:ascii="仿宋_GB2312" w:hAnsi="仿宋_GB2312" w:eastAsia="仿宋_GB2312"/>
          <w:sz w:val="32"/>
        </w:rPr>
        <w:t>（9）负责全县执法规范化建设；指导、检查、监督全县公安机关的执法活动；负责由公安机关依法承担的执行刑罚工作；指导、监</w:t>
      </w:r>
      <w:r>
        <w:rPr>
          <w:rFonts w:hint="eastAsia" w:ascii="仿宋_GB2312" w:hAnsi="仿宋_GB2312" w:eastAsia="仿宋_GB2312"/>
          <w:sz w:val="32"/>
          <w:lang w:eastAsia="zh-CN"/>
        </w:rPr>
        <w:t>督全</w:t>
      </w:r>
      <w:r>
        <w:rPr>
          <w:rFonts w:ascii="仿宋_GB2312" w:hAnsi="仿宋_GB2312" w:eastAsia="仿宋_GB2312"/>
          <w:sz w:val="32"/>
        </w:rPr>
        <w:t>县监管场所管理工作。</w:t>
      </w:r>
    </w:p>
    <w:p w14:paraId="61982288">
      <w:pPr>
        <w:spacing w:line="580" w:lineRule="exact"/>
        <w:ind w:firstLine="640"/>
        <w:jc w:val="both"/>
      </w:pPr>
      <w:r>
        <w:rPr>
          <w:rFonts w:ascii="仿宋_GB2312" w:hAnsi="仿宋_GB2312" w:eastAsia="仿宋_GB2312"/>
          <w:sz w:val="32"/>
        </w:rPr>
        <w:t>（10）组织、指导全县禁毒工作；侦办全县毒品案件；开展禁贩、禁吸、禁种、禁制毒品工作。</w:t>
      </w:r>
    </w:p>
    <w:p w14:paraId="51EBDF45">
      <w:pPr>
        <w:spacing w:line="580" w:lineRule="exact"/>
        <w:ind w:firstLine="640"/>
        <w:jc w:val="both"/>
      </w:pPr>
      <w:r>
        <w:rPr>
          <w:rFonts w:ascii="仿宋_GB2312" w:hAnsi="仿宋_GB2312" w:eastAsia="仿宋_GB2312"/>
          <w:sz w:val="32"/>
        </w:rPr>
        <w:t>（11）负责公安民警队伍的管理、教育和训练工作；按规定权限管理干部；负责公安宣传工作；统一领导全县公安机关辅助人员队伍建设。</w:t>
      </w:r>
    </w:p>
    <w:p w14:paraId="2E1BD12D">
      <w:pPr>
        <w:spacing w:line="580" w:lineRule="exact"/>
        <w:ind w:firstLine="640"/>
        <w:jc w:val="both"/>
      </w:pPr>
      <w:r>
        <w:rPr>
          <w:rFonts w:ascii="仿宋_GB2312" w:hAnsi="仿宋_GB2312" w:eastAsia="仿宋_GB2312"/>
          <w:sz w:val="32"/>
        </w:rPr>
        <w:t>（12）组织开展公安警务督察工作；按照规定权限实施对干部的监督；查处或督办全县公安队伍的违纪案件。</w:t>
      </w:r>
    </w:p>
    <w:p w14:paraId="37607917">
      <w:pPr>
        <w:spacing w:line="580" w:lineRule="exact"/>
        <w:ind w:firstLine="640"/>
        <w:jc w:val="both"/>
      </w:pPr>
      <w:r>
        <w:rPr>
          <w:rFonts w:ascii="仿宋_GB2312" w:hAnsi="仿宋_GB2312" w:eastAsia="仿宋_GB2312"/>
          <w:sz w:val="32"/>
        </w:rPr>
        <w:t>（13）负责全县公安机关装备、被装配备和经费等警务保障工作。</w:t>
      </w:r>
    </w:p>
    <w:p w14:paraId="450B40CA">
      <w:pPr>
        <w:spacing w:line="580" w:lineRule="exact"/>
        <w:ind w:firstLine="640"/>
        <w:jc w:val="both"/>
      </w:pPr>
      <w:r>
        <w:rPr>
          <w:rFonts w:ascii="仿宋_GB2312" w:hAnsi="仿宋_GB2312" w:eastAsia="仿宋_GB2312"/>
          <w:sz w:val="32"/>
        </w:rPr>
        <w:t>（14）组织指导、监督全县消防工作和公安应急抢险救援工作。</w:t>
      </w:r>
    </w:p>
    <w:p w14:paraId="6DEF8E5E">
      <w:pPr>
        <w:spacing w:line="580" w:lineRule="exact"/>
        <w:ind w:firstLine="640"/>
        <w:jc w:val="both"/>
      </w:pPr>
      <w:r>
        <w:rPr>
          <w:rFonts w:ascii="仿宋_GB2312" w:hAnsi="仿宋_GB2312" w:eastAsia="仿宋_GB2312"/>
          <w:sz w:val="32"/>
        </w:rPr>
        <w:t>（15）承办县委、县政府和上级公安机关交办的其他事项。</w:t>
      </w:r>
    </w:p>
    <w:p w14:paraId="5E963E99">
      <w:pPr>
        <w:spacing w:line="640" w:lineRule="exact"/>
        <w:ind w:firstLine="640"/>
        <w:jc w:val="both"/>
        <w:outlineLvl w:val="2"/>
      </w:pPr>
      <w:r>
        <w:rPr>
          <w:rFonts w:ascii="黑体" w:hAnsi="黑体" w:eastAsia="黑体"/>
          <w:sz w:val="32"/>
        </w:rPr>
        <w:t>二、机构设置及人员情况</w:t>
      </w:r>
    </w:p>
    <w:p w14:paraId="4C327D68">
      <w:pPr>
        <w:spacing w:line="580" w:lineRule="exact"/>
        <w:ind w:firstLine="640"/>
        <w:jc w:val="both"/>
      </w:pPr>
      <w:r>
        <w:rPr>
          <w:rFonts w:ascii="仿宋_GB2312" w:hAnsi="仿宋_GB2312" w:eastAsia="仿宋_GB2312"/>
          <w:sz w:val="32"/>
        </w:rPr>
        <w:t>岳普湖县公安局2024年度，实有人数423人，其中：在职人员356人，减少16人；离休人员0人，增加0人；退休人员67人,减少2人。</w:t>
      </w:r>
    </w:p>
    <w:p w14:paraId="5AF54485">
      <w:pPr>
        <w:spacing w:line="580" w:lineRule="exact"/>
        <w:ind w:firstLine="640"/>
        <w:jc w:val="both"/>
      </w:pPr>
      <w:r>
        <w:rPr>
          <w:rFonts w:ascii="仿宋_GB2312" w:hAnsi="仿宋_GB2312" w:eastAsia="仿宋_GB2312"/>
          <w:sz w:val="32"/>
        </w:rPr>
        <w:t>岳普湖县公安局无下属预算单位，下设14个科室，分别是：指挥中心办公室、政治工作办公室、警务督察大队、警务保障室、科技信息化大队、治安管理防控大队、网络安全保卫大队、交通管理大队、刑事侦查大队、法制大队、国内安全保卫大队、禁毒大队、食品药品环境大队、出入境管理大队。</w:t>
      </w:r>
    </w:p>
    <w:p w14:paraId="2FD74C7F">
      <w:r>
        <w:br w:type="page"/>
      </w:r>
    </w:p>
    <w:p w14:paraId="48446040">
      <w:pPr>
        <w:spacing w:line="240" w:lineRule="auto"/>
        <w:jc w:val="center"/>
        <w:outlineLvl w:val="1"/>
      </w:pPr>
      <w:r>
        <w:rPr>
          <w:rFonts w:ascii="黑体" w:hAnsi="黑体" w:eastAsia="黑体"/>
          <w:sz w:val="32"/>
        </w:rPr>
        <w:t>第二部分 部门决算情况说明</w:t>
      </w:r>
    </w:p>
    <w:p w14:paraId="583650D0">
      <w:pPr>
        <w:spacing w:line="640" w:lineRule="exact"/>
        <w:ind w:firstLine="640"/>
        <w:jc w:val="both"/>
        <w:outlineLvl w:val="2"/>
      </w:pPr>
      <w:r>
        <w:rPr>
          <w:rFonts w:ascii="黑体" w:hAnsi="黑体" w:eastAsia="黑体"/>
          <w:sz w:val="32"/>
        </w:rPr>
        <w:t>一、收入支出决算总体情况说明</w:t>
      </w:r>
    </w:p>
    <w:p w14:paraId="5418139D">
      <w:pPr>
        <w:spacing w:line="580" w:lineRule="exact"/>
        <w:ind w:firstLine="640"/>
        <w:jc w:val="both"/>
      </w:pPr>
      <w:r>
        <w:rPr>
          <w:rFonts w:ascii="仿宋_GB2312" w:hAnsi="仿宋_GB2312" w:eastAsia="仿宋_GB2312"/>
          <w:b/>
          <w:sz w:val="32"/>
        </w:rPr>
        <w:t>2024年度收入总计15,039.55万元，</w:t>
      </w:r>
      <w:r>
        <w:rPr>
          <w:rFonts w:ascii="仿宋_GB2312" w:hAnsi="仿宋_GB2312" w:eastAsia="仿宋_GB2312"/>
          <w:b w:val="0"/>
          <w:sz w:val="32"/>
        </w:rPr>
        <w:t>其中：本年收入合计15,039.55万元，使用非财政拨款结余（含专用结余）0.00万元，年初结转和结余0.00万元。</w:t>
      </w:r>
    </w:p>
    <w:p w14:paraId="36A27AFA">
      <w:pPr>
        <w:spacing w:line="580" w:lineRule="exact"/>
        <w:ind w:firstLine="640"/>
        <w:jc w:val="both"/>
      </w:pPr>
      <w:r>
        <w:rPr>
          <w:rFonts w:ascii="仿宋_GB2312" w:hAnsi="仿宋_GB2312" w:eastAsia="仿宋_GB2312"/>
          <w:b/>
          <w:sz w:val="32"/>
        </w:rPr>
        <w:t>2024年度支出总计15,039.55万元，</w:t>
      </w:r>
      <w:r>
        <w:rPr>
          <w:rFonts w:ascii="仿宋_GB2312" w:hAnsi="仿宋_GB2312" w:eastAsia="仿宋_GB2312"/>
          <w:b w:val="0"/>
          <w:sz w:val="32"/>
        </w:rPr>
        <w:t>其中：本年支出合计15,039.55万元，结余分配0.00万元，年末结转和结余0.00万元。</w:t>
      </w:r>
    </w:p>
    <w:p w14:paraId="00DFDD76">
      <w:pPr>
        <w:spacing w:line="580" w:lineRule="exact"/>
        <w:ind w:firstLine="640"/>
        <w:jc w:val="both"/>
      </w:pPr>
      <w:r>
        <w:rPr>
          <w:rFonts w:ascii="仿宋_GB2312" w:hAnsi="仿宋_GB2312" w:eastAsia="仿宋_GB2312"/>
          <w:b w:val="0"/>
          <w:sz w:val="32"/>
        </w:rPr>
        <w:t>收入支出总体与上年相比，减少20,872.42万元，下降58.12%，主要原因是：本年减少岳普湖县平安城市PPP项目、新城社区警务室升级改造项目、信息化建设和警用装备采购项目、民族团结宣传阵地建设项目、岳普湖县平安城市监控链路租赁等项目。</w:t>
      </w:r>
    </w:p>
    <w:p w14:paraId="05BE6BCF">
      <w:pPr>
        <w:spacing w:line="640" w:lineRule="exact"/>
        <w:ind w:firstLine="640"/>
        <w:jc w:val="both"/>
        <w:outlineLvl w:val="2"/>
      </w:pPr>
      <w:r>
        <w:rPr>
          <w:rFonts w:ascii="黑体" w:hAnsi="黑体" w:eastAsia="黑体"/>
          <w:sz w:val="32"/>
        </w:rPr>
        <w:t>二、收入决算情况说明</w:t>
      </w:r>
    </w:p>
    <w:p w14:paraId="67CFB8CE">
      <w:pPr>
        <w:spacing w:line="580" w:lineRule="exact"/>
        <w:ind w:firstLine="640"/>
        <w:jc w:val="both"/>
      </w:pPr>
      <w:r>
        <w:rPr>
          <w:rFonts w:ascii="仿宋_GB2312" w:hAnsi="仿宋_GB2312" w:eastAsia="仿宋_GB2312"/>
          <w:b/>
          <w:sz w:val="32"/>
        </w:rPr>
        <w:t>本年收入15,039.55万元，</w:t>
      </w:r>
      <w:r>
        <w:rPr>
          <w:rFonts w:ascii="仿宋_GB2312" w:hAnsi="仿宋_GB2312" w:eastAsia="仿宋_GB2312"/>
          <w:b w:val="0"/>
          <w:sz w:val="32"/>
        </w:rPr>
        <w:t>其中：财政拨款收入14,867.89万元，占98.86%；上级补助收入0.00万元，占0.00%；事业收入0.00万元，占0.00%；经营收入0.00万元，占0.00%；附属单位上缴收入0.00万元，占0.00%；其他收入171.66万元，占1.14%。</w:t>
      </w:r>
    </w:p>
    <w:p w14:paraId="6468D61B">
      <w:pPr>
        <w:spacing w:line="640" w:lineRule="exact"/>
        <w:ind w:firstLine="640"/>
        <w:jc w:val="both"/>
        <w:outlineLvl w:val="2"/>
      </w:pPr>
      <w:r>
        <w:rPr>
          <w:rFonts w:ascii="黑体" w:hAnsi="黑体" w:eastAsia="黑体"/>
          <w:sz w:val="32"/>
        </w:rPr>
        <w:t>三、支出决算情况说明</w:t>
      </w:r>
    </w:p>
    <w:p w14:paraId="59A33C3B">
      <w:pPr>
        <w:spacing w:line="580" w:lineRule="exact"/>
        <w:ind w:firstLine="640"/>
        <w:jc w:val="both"/>
      </w:pPr>
      <w:r>
        <w:rPr>
          <w:rFonts w:ascii="仿宋_GB2312" w:hAnsi="仿宋_GB2312" w:eastAsia="仿宋_GB2312"/>
          <w:b/>
          <w:sz w:val="32"/>
        </w:rPr>
        <w:t>本年支出15,039.55万元，</w:t>
      </w:r>
      <w:r>
        <w:rPr>
          <w:rFonts w:ascii="仿宋_GB2312" w:hAnsi="仿宋_GB2312" w:eastAsia="仿宋_GB2312"/>
          <w:b w:val="0"/>
          <w:sz w:val="32"/>
        </w:rPr>
        <w:t>其中：基本支出9,293.02万元，占61.79%；项目支出5,746.53万元，占38.21%；上缴上级支出0.00万元，占0.00%；经营支出0.00万元，占0.00%；对附属单位补助支出0.00万元，占0.00%。</w:t>
      </w:r>
    </w:p>
    <w:p w14:paraId="1CDE9D17">
      <w:pPr>
        <w:spacing w:line="640" w:lineRule="exact"/>
        <w:ind w:firstLine="640"/>
        <w:jc w:val="both"/>
        <w:outlineLvl w:val="2"/>
      </w:pPr>
      <w:r>
        <w:rPr>
          <w:rFonts w:ascii="黑体" w:hAnsi="黑体" w:eastAsia="黑体"/>
          <w:sz w:val="32"/>
        </w:rPr>
        <w:t>四、财政拨款收入支出决算总体情况说明</w:t>
      </w:r>
    </w:p>
    <w:p w14:paraId="0304892D">
      <w:pPr>
        <w:spacing w:line="580" w:lineRule="exact"/>
        <w:ind w:firstLine="640"/>
        <w:jc w:val="both"/>
      </w:pPr>
      <w:r>
        <w:rPr>
          <w:rFonts w:ascii="仿宋_GB2312" w:hAnsi="仿宋_GB2312" w:eastAsia="仿宋_GB2312"/>
          <w:b/>
          <w:sz w:val="32"/>
        </w:rPr>
        <w:t>2024年度财政拨款收入总计14,867.89万元，</w:t>
      </w:r>
      <w:r>
        <w:rPr>
          <w:rFonts w:ascii="仿宋_GB2312" w:hAnsi="仿宋_GB2312" w:eastAsia="仿宋_GB2312"/>
          <w:b w:val="0"/>
          <w:sz w:val="32"/>
        </w:rPr>
        <w:t>其中：年初财政拨款结转和结余0.00万元，本年财政拨款收入14,867.89万元。</w:t>
      </w:r>
      <w:r>
        <w:rPr>
          <w:rFonts w:ascii="仿宋_GB2312" w:hAnsi="仿宋_GB2312" w:eastAsia="仿宋_GB2312"/>
          <w:b/>
          <w:sz w:val="32"/>
        </w:rPr>
        <w:t>财政拨款支出总计14,867.89万元，</w:t>
      </w:r>
      <w:r>
        <w:rPr>
          <w:rFonts w:ascii="仿宋_GB2312" w:hAnsi="仿宋_GB2312" w:eastAsia="仿宋_GB2312"/>
          <w:b w:val="0"/>
          <w:sz w:val="32"/>
        </w:rPr>
        <w:t>其中：年末财政拨款结转和结余0.00万元，本年财政拨款支出14,867.89万元。</w:t>
      </w:r>
    </w:p>
    <w:p w14:paraId="176F8A3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减少20,593.91万元，下降58.07%，主要原因是：本年长聘人员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工资及社保</w:t>
      </w:r>
      <w:r>
        <w:rPr>
          <w:rFonts w:hint="eastAsia" w:ascii="仿宋_GB2312" w:hAnsi="仿宋_GB2312" w:eastAsia="仿宋_GB2312"/>
          <w:b w:val="0"/>
          <w:sz w:val="32"/>
          <w:lang w:val="en-US" w:eastAsia="zh-CN"/>
        </w:rPr>
        <w:t>缴费</w:t>
      </w:r>
      <w:r>
        <w:rPr>
          <w:rFonts w:ascii="仿宋_GB2312" w:hAnsi="仿宋_GB2312" w:eastAsia="仿宋_GB2312"/>
          <w:b w:val="0"/>
          <w:sz w:val="32"/>
        </w:rPr>
        <w:t>较上年减少；本年减少岳普湖县平安城市PPP项目。</w:t>
      </w:r>
      <w:r>
        <w:rPr>
          <w:rFonts w:ascii="仿宋_GB2312" w:hAnsi="仿宋_GB2312" w:eastAsia="仿宋_GB2312"/>
          <w:b/>
          <w:sz w:val="32"/>
        </w:rPr>
        <w:t>与年初预算相比，</w:t>
      </w:r>
      <w:r>
        <w:rPr>
          <w:rFonts w:ascii="仿宋_GB2312" w:hAnsi="仿宋_GB2312" w:eastAsia="仿宋_GB2312"/>
          <w:b w:val="0"/>
          <w:sz w:val="32"/>
        </w:rPr>
        <w:t>年初预算数22,312.89万元，决算数14,867.89万元，预决算差异率-33.37%，主要原因是：年中调减长聘人员工资及社保资金。</w:t>
      </w:r>
    </w:p>
    <w:p w14:paraId="4FF909EF">
      <w:pPr>
        <w:spacing w:line="640" w:lineRule="exact"/>
        <w:ind w:firstLine="640"/>
        <w:jc w:val="both"/>
        <w:outlineLvl w:val="2"/>
      </w:pPr>
      <w:r>
        <w:rPr>
          <w:rFonts w:ascii="黑体" w:hAnsi="黑体" w:eastAsia="黑体"/>
          <w:sz w:val="32"/>
        </w:rPr>
        <w:t>五、一般公共预算财政拨款支出决算情况说明</w:t>
      </w:r>
    </w:p>
    <w:p w14:paraId="1382B965">
      <w:pPr>
        <w:spacing w:line="640" w:lineRule="exact"/>
        <w:ind w:firstLine="640"/>
        <w:jc w:val="both"/>
        <w:outlineLvl w:val="3"/>
      </w:pPr>
      <w:r>
        <w:rPr>
          <w:rFonts w:ascii="楷体_GB2312" w:hAnsi="楷体_GB2312" w:eastAsia="楷体_GB2312"/>
          <w:b/>
          <w:sz w:val="32"/>
        </w:rPr>
        <w:t>（一）一般公共预算财政拨款支出决算总体情况</w:t>
      </w:r>
    </w:p>
    <w:p w14:paraId="07132F63">
      <w:pPr>
        <w:spacing w:line="580" w:lineRule="exact"/>
        <w:ind w:firstLine="640"/>
        <w:jc w:val="both"/>
      </w:pPr>
      <w:r>
        <w:rPr>
          <w:rFonts w:ascii="仿宋_GB2312" w:hAnsi="仿宋_GB2312" w:eastAsia="仿宋_GB2312"/>
          <w:b/>
          <w:sz w:val="32"/>
        </w:rPr>
        <w:t>2024年度一般公共预算财政拨款支出14,867.89万元，</w:t>
      </w:r>
      <w:r>
        <w:rPr>
          <w:rFonts w:ascii="仿宋_GB2312" w:hAnsi="仿宋_GB2312" w:eastAsia="仿宋_GB2312"/>
          <w:b w:val="0"/>
          <w:sz w:val="32"/>
        </w:rPr>
        <w:t>占本年支出合计的98.86%。</w:t>
      </w:r>
      <w:r>
        <w:rPr>
          <w:rFonts w:ascii="仿宋_GB2312" w:hAnsi="仿宋_GB2312" w:eastAsia="仿宋_GB2312"/>
          <w:b/>
          <w:sz w:val="32"/>
        </w:rPr>
        <w:t>与上年相比，</w:t>
      </w:r>
      <w:r>
        <w:rPr>
          <w:rFonts w:ascii="仿宋_GB2312" w:hAnsi="仿宋_GB2312" w:eastAsia="仿宋_GB2312"/>
          <w:b w:val="0"/>
          <w:sz w:val="32"/>
        </w:rPr>
        <w:t>减少7,704.91万元，下降34.13%，主要原因是：本年长聘人员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工资及社保</w:t>
      </w:r>
      <w:r>
        <w:rPr>
          <w:rFonts w:hint="eastAsia" w:ascii="仿宋_GB2312" w:hAnsi="仿宋_GB2312" w:eastAsia="仿宋_GB2312"/>
          <w:b w:val="0"/>
          <w:sz w:val="32"/>
          <w:lang w:val="en-US" w:eastAsia="zh-CN"/>
        </w:rPr>
        <w:t>缴费</w:t>
      </w:r>
      <w:r>
        <w:rPr>
          <w:rFonts w:ascii="仿宋_GB2312" w:hAnsi="仿宋_GB2312" w:eastAsia="仿宋_GB2312"/>
          <w:b w:val="0"/>
          <w:sz w:val="32"/>
        </w:rPr>
        <w:t>较上年减少。</w:t>
      </w:r>
      <w:r>
        <w:rPr>
          <w:rFonts w:ascii="仿宋_GB2312" w:hAnsi="仿宋_GB2312" w:eastAsia="仿宋_GB2312"/>
          <w:b/>
          <w:sz w:val="32"/>
        </w:rPr>
        <w:t>与年初预算相比,</w:t>
      </w:r>
      <w:r>
        <w:rPr>
          <w:rFonts w:ascii="仿宋_GB2312" w:hAnsi="仿宋_GB2312" w:eastAsia="仿宋_GB2312"/>
          <w:b w:val="0"/>
          <w:sz w:val="32"/>
        </w:rPr>
        <w:t>年初预算数22,312.89万元，决算数14,867.89万元，预决算差异率-33.37%，主要原因是：年中调减长聘人员工资及社保资金。</w:t>
      </w:r>
    </w:p>
    <w:p w14:paraId="342A36FD">
      <w:pPr>
        <w:spacing w:line="640" w:lineRule="exact"/>
        <w:ind w:firstLine="640"/>
        <w:jc w:val="both"/>
        <w:outlineLvl w:val="3"/>
      </w:pPr>
      <w:r>
        <w:rPr>
          <w:rFonts w:ascii="楷体_GB2312" w:hAnsi="楷体_GB2312" w:eastAsia="楷体_GB2312"/>
          <w:b/>
          <w:sz w:val="32"/>
        </w:rPr>
        <w:t>（二）一般公共预算财政拨款支出决算结构情况</w:t>
      </w:r>
    </w:p>
    <w:p w14:paraId="2F1B29BD">
      <w:pPr>
        <w:spacing w:line="580" w:lineRule="exact"/>
        <w:ind w:firstLine="640"/>
        <w:jc w:val="both"/>
      </w:pPr>
      <w:r>
        <w:rPr>
          <w:rFonts w:ascii="仿宋_GB2312" w:hAnsi="仿宋_GB2312" w:eastAsia="仿宋_GB2312"/>
          <w:b w:val="0"/>
          <w:sz w:val="32"/>
        </w:rPr>
        <w:t>1.公共安全支出(类)12,716.56万元,占85.53%。</w:t>
      </w:r>
    </w:p>
    <w:p w14:paraId="2740F0AD">
      <w:pPr>
        <w:spacing w:line="580" w:lineRule="exact"/>
        <w:ind w:firstLine="640"/>
        <w:jc w:val="both"/>
      </w:pPr>
      <w:r>
        <w:rPr>
          <w:rFonts w:ascii="仿宋_GB2312" w:hAnsi="仿宋_GB2312" w:eastAsia="仿宋_GB2312"/>
          <w:b w:val="0"/>
          <w:sz w:val="32"/>
        </w:rPr>
        <w:t>2.科学技术支出(类)253.78万元,占1.71%。</w:t>
      </w:r>
    </w:p>
    <w:p w14:paraId="466D20AB">
      <w:pPr>
        <w:spacing w:line="580" w:lineRule="exact"/>
        <w:ind w:firstLine="640"/>
        <w:jc w:val="both"/>
      </w:pPr>
      <w:r>
        <w:rPr>
          <w:rFonts w:ascii="仿宋_GB2312" w:hAnsi="仿宋_GB2312" w:eastAsia="仿宋_GB2312"/>
          <w:b w:val="0"/>
          <w:sz w:val="32"/>
        </w:rPr>
        <w:t>3.社会保障和就业支出(类)876.75万元,占5.90%。</w:t>
      </w:r>
    </w:p>
    <w:p w14:paraId="70AAD92A">
      <w:pPr>
        <w:spacing w:line="580" w:lineRule="exact"/>
        <w:ind w:firstLine="640"/>
        <w:jc w:val="both"/>
      </w:pPr>
      <w:r>
        <w:rPr>
          <w:rFonts w:ascii="仿宋_GB2312" w:hAnsi="仿宋_GB2312" w:eastAsia="仿宋_GB2312"/>
          <w:b w:val="0"/>
          <w:sz w:val="32"/>
        </w:rPr>
        <w:t>4.卫生健康支出(类)414.37万元,占2.79%。</w:t>
      </w:r>
    </w:p>
    <w:p w14:paraId="4960816C">
      <w:pPr>
        <w:spacing w:line="580" w:lineRule="exact"/>
        <w:ind w:firstLine="640"/>
        <w:jc w:val="both"/>
      </w:pPr>
      <w:r>
        <w:rPr>
          <w:rFonts w:ascii="仿宋_GB2312" w:hAnsi="仿宋_GB2312" w:eastAsia="仿宋_GB2312"/>
          <w:b w:val="0"/>
          <w:sz w:val="32"/>
        </w:rPr>
        <w:t>5.住房保障支出(类)606.44万元,占4.08%。</w:t>
      </w:r>
    </w:p>
    <w:p w14:paraId="43EA0BEE">
      <w:pPr>
        <w:spacing w:line="640" w:lineRule="exact"/>
        <w:ind w:firstLine="640"/>
        <w:jc w:val="both"/>
        <w:outlineLvl w:val="3"/>
      </w:pPr>
      <w:r>
        <w:rPr>
          <w:rFonts w:ascii="楷体_GB2312" w:hAnsi="楷体_GB2312" w:eastAsia="楷体_GB2312"/>
          <w:b/>
          <w:sz w:val="32"/>
        </w:rPr>
        <w:t>（三）一般公共预算财政拨款支出决算具体情况</w:t>
      </w:r>
    </w:p>
    <w:p w14:paraId="2148B9ED">
      <w:pPr>
        <w:spacing w:line="580" w:lineRule="exact"/>
        <w:ind w:firstLine="640"/>
        <w:jc w:val="both"/>
      </w:pPr>
      <w:r>
        <w:rPr>
          <w:rFonts w:ascii="仿宋_GB2312" w:hAnsi="仿宋_GB2312" w:eastAsia="仿宋_GB2312"/>
          <w:b w:val="0"/>
          <w:sz w:val="32"/>
        </w:rPr>
        <w:t>1.公共安全支出(类)公安(款)行政运行(项):支出决算数为7,395.46万元，比上年决算减少9,066.58万元，下降55.08%,主要原因是：本年长聘人员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工资及社保</w:t>
      </w:r>
      <w:r>
        <w:rPr>
          <w:rFonts w:hint="eastAsia" w:ascii="仿宋_GB2312" w:hAnsi="仿宋_GB2312" w:eastAsia="仿宋_GB2312"/>
          <w:b w:val="0"/>
          <w:sz w:val="32"/>
          <w:lang w:val="en-US" w:eastAsia="zh-CN"/>
        </w:rPr>
        <w:t>缴费</w:t>
      </w:r>
      <w:r>
        <w:rPr>
          <w:rFonts w:ascii="仿宋_GB2312" w:hAnsi="仿宋_GB2312" w:eastAsia="仿宋_GB2312"/>
          <w:b w:val="0"/>
          <w:sz w:val="32"/>
        </w:rPr>
        <w:t>较上年减少。</w:t>
      </w:r>
    </w:p>
    <w:p w14:paraId="68A3F2AF">
      <w:pPr>
        <w:spacing w:line="580" w:lineRule="exact"/>
        <w:ind w:firstLine="640"/>
        <w:jc w:val="both"/>
      </w:pPr>
      <w:r>
        <w:rPr>
          <w:rFonts w:ascii="仿宋_GB2312" w:hAnsi="仿宋_GB2312" w:eastAsia="仿宋_GB2312"/>
          <w:b w:val="0"/>
          <w:sz w:val="32"/>
        </w:rPr>
        <w:t>2.公共安全支出(类)公安(款)执法办案(项):支出决算数为0.00万元，比上年决算减少32.00万元，下降100.00%,主要原因是：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功能科目调整，交警业务经费上年度在执法办案科目列支，本年在其他公安支出科目列支，导致经费较上年减少。</w:t>
      </w:r>
    </w:p>
    <w:p w14:paraId="5FF32573">
      <w:pPr>
        <w:spacing w:line="580" w:lineRule="exact"/>
        <w:ind w:firstLine="640"/>
        <w:jc w:val="both"/>
      </w:pPr>
      <w:r>
        <w:rPr>
          <w:rFonts w:ascii="仿宋_GB2312" w:hAnsi="仿宋_GB2312" w:eastAsia="仿宋_GB2312"/>
          <w:b w:val="0"/>
          <w:sz w:val="32"/>
        </w:rPr>
        <w:t>3.公共安全支出(类)公安(款)特别业务(项):支出决算数为0.00万元，比上年决算减少140.00万元，下降100.00%,主要原因是：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功能科目调整，公安局特情业务费上年度在特别业务科目列支，本年在其他公安支出科目列支，导致经费较上年减少。</w:t>
      </w:r>
    </w:p>
    <w:p w14:paraId="47EC20BC">
      <w:pPr>
        <w:spacing w:line="580" w:lineRule="exact"/>
        <w:ind w:firstLine="640"/>
        <w:jc w:val="both"/>
      </w:pPr>
      <w:r>
        <w:rPr>
          <w:rFonts w:ascii="仿宋_GB2312" w:hAnsi="仿宋_GB2312" w:eastAsia="仿宋_GB2312"/>
          <w:b w:val="0"/>
          <w:sz w:val="32"/>
        </w:rPr>
        <w:t>4.公共安全支出(类)公安(款)其他公安支出(项):支出决算数为4,822.20万元，比上年决算增加880.10万元，增长22.33%,主要原因是：本年度岳普湖县平安城市监控链路租赁费资金较上年度增加；功能科目调整，交警业务经费上年度在执法办案科目列支，本年在其他公安支出科目列支，导致经费较上年增加；公安局特情业</w:t>
      </w:r>
      <w:bookmarkStart w:id="0" w:name="_GoBack"/>
      <w:r>
        <w:rPr>
          <w:rFonts w:hint="eastAsia" w:ascii="仿宋_GB2312" w:hAnsi="仿宋_GB2312" w:eastAsia="仿宋_GB2312"/>
          <w:b w:val="0"/>
          <w:sz w:val="32"/>
          <w:lang w:eastAsia="zh-CN"/>
        </w:rPr>
        <w:t>务经</w:t>
      </w:r>
      <w:bookmarkEnd w:id="0"/>
      <w:r>
        <w:rPr>
          <w:rFonts w:ascii="仿宋_GB2312" w:hAnsi="仿宋_GB2312" w:eastAsia="仿宋_GB2312"/>
          <w:b w:val="0"/>
          <w:sz w:val="32"/>
        </w:rPr>
        <w:t>费上年度在特别业务</w:t>
      </w:r>
      <w:r>
        <w:rPr>
          <w:rFonts w:hint="eastAsia" w:ascii="仿宋_GB2312" w:hAnsi="仿宋_GB2312" w:eastAsia="仿宋_GB2312"/>
          <w:b w:val="0"/>
          <w:sz w:val="32"/>
          <w:lang w:eastAsia="zh-CN"/>
        </w:rPr>
        <w:t>科目</w:t>
      </w:r>
      <w:r>
        <w:rPr>
          <w:rFonts w:ascii="仿宋_GB2312" w:hAnsi="仿宋_GB2312" w:eastAsia="仿宋_GB2312"/>
          <w:b w:val="0"/>
          <w:sz w:val="32"/>
        </w:rPr>
        <w:t>列支，本年在其他公安支出列支，导致经费较上年增加。</w:t>
      </w:r>
    </w:p>
    <w:p w14:paraId="7B0855D5">
      <w:pPr>
        <w:spacing w:line="580" w:lineRule="exact"/>
        <w:ind w:firstLine="640"/>
        <w:jc w:val="both"/>
      </w:pPr>
      <w:r>
        <w:rPr>
          <w:rFonts w:ascii="仿宋_GB2312" w:hAnsi="仿宋_GB2312" w:eastAsia="仿宋_GB2312"/>
          <w:b w:val="0"/>
          <w:sz w:val="32"/>
        </w:rPr>
        <w:t>5.公共安全支出(类)其他公共安全支出(款)其他公共安全支出(项):支出决算数为498.89万元，比上年决算增加498.89万元，增长100.00%,主要原因是：功能科目调整，办案业务经费、业务装备购置费上年度在其他公安支出科目列支，本年部分资金在其他公共安全支出科目列支，相应经费增加。</w:t>
      </w:r>
    </w:p>
    <w:p w14:paraId="7F7CA21E">
      <w:pPr>
        <w:spacing w:line="580" w:lineRule="exact"/>
        <w:ind w:firstLine="640"/>
        <w:jc w:val="both"/>
      </w:pPr>
      <w:r>
        <w:rPr>
          <w:rFonts w:ascii="仿宋_GB2312" w:hAnsi="仿宋_GB2312" w:eastAsia="仿宋_GB2312"/>
          <w:b w:val="0"/>
          <w:sz w:val="32"/>
        </w:rPr>
        <w:t>6.科学技术支出(类)科学技术管理事务(款)其他科学技术管理事务支出(项):支出决算数为253.78万元，比上年决算增加253.78万元，增长100.00%,主要原因是：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功能科目调整，岳普湖县平安城市监控链路租赁费部分资金上年度在其他科学技术支出科目列支，本年在其他科学技术管理事务支出科目列支，相应经费增加。</w:t>
      </w:r>
    </w:p>
    <w:p w14:paraId="28DA460E">
      <w:pPr>
        <w:spacing w:line="580" w:lineRule="exact"/>
        <w:ind w:firstLine="640"/>
        <w:jc w:val="both"/>
      </w:pPr>
      <w:r>
        <w:rPr>
          <w:rFonts w:ascii="仿宋_GB2312" w:hAnsi="仿宋_GB2312" w:eastAsia="仿宋_GB2312"/>
          <w:b w:val="0"/>
          <w:sz w:val="32"/>
        </w:rPr>
        <w:t>7.科学技术支出(类)其他科学技术支出(款)其他科学技术支出(项):支出决算数为0.00万元，比上年决算减少150.00万元，下降100.00%,主要原因是：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功能科目调整，岳普湖县平安城市监控链路租赁费部分资金上年度在其他科学技术支出科目列支，本年在其他科学技术管理事务支出科目列支，相应经费减少。</w:t>
      </w:r>
    </w:p>
    <w:p w14:paraId="32CB0850">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8.社会保障和就业支出(类)行政事业单位养老支出(款)行政单位离退休(项):支出决算数为97.12万元，比上年决算增加11.26万元，增长13.11%,主要原因是：本年增加退休人员基础绩效奖，退休费支出增加。</w:t>
      </w:r>
    </w:p>
    <w:p w14:paraId="0CBBCF68">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756.05万元，比上年决算增加50.24万元，增长7.12%,主要原因是：本年在职人员工资基数调增，养老缴费基数上涨，相应支出增加。</w:t>
      </w:r>
    </w:p>
    <w:p w14:paraId="15B609B3">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23.58万元，比上年决算减少2.48万元，下降9.52%,主要原因是：本年辞职调出人员较上年减少，职业年金缴费较上年减少。</w:t>
      </w:r>
    </w:p>
    <w:p w14:paraId="3B86A6A3">
      <w:pPr>
        <w:spacing w:line="580" w:lineRule="exact"/>
        <w:ind w:firstLine="640"/>
        <w:jc w:val="both"/>
      </w:pPr>
      <w:r>
        <w:rPr>
          <w:rFonts w:ascii="仿宋_GB2312" w:hAnsi="仿宋_GB2312" w:eastAsia="仿宋_GB2312"/>
          <w:b w:val="0"/>
          <w:sz w:val="32"/>
        </w:rPr>
        <w:t>11.卫生健康支出(类)行政事业单位医疗(款)行政单位医疗(项):支出决算数为321.69万元，比上年决算减少14.64万元，下降4.35%,主要原因是：本年在职人员减少，行政单位医疗支出较上年减少。</w:t>
      </w:r>
    </w:p>
    <w:p w14:paraId="7B67F6AE">
      <w:pPr>
        <w:spacing w:line="580" w:lineRule="exact"/>
        <w:ind w:firstLine="640"/>
        <w:jc w:val="both"/>
      </w:pPr>
      <w:r>
        <w:rPr>
          <w:rFonts w:ascii="仿宋_GB2312" w:hAnsi="仿宋_GB2312" w:eastAsia="仿宋_GB2312"/>
          <w:b w:val="0"/>
          <w:sz w:val="32"/>
        </w:rPr>
        <w:t>12.卫生健康支出(类)行政事业单位医疗(款)公务员医疗补助(项):支出决算数为92.68万元，比上年决算减少3.12万元，下降3.26%,主要原因是：本年在职人员减少，公务员医疗补助较上年减少。</w:t>
      </w:r>
    </w:p>
    <w:p w14:paraId="5CC334DA">
      <w:pPr>
        <w:spacing w:line="580" w:lineRule="exact"/>
        <w:ind w:firstLine="640"/>
        <w:jc w:val="both"/>
      </w:pPr>
      <w:r>
        <w:rPr>
          <w:rFonts w:ascii="仿宋_GB2312" w:hAnsi="仿宋_GB2312" w:eastAsia="仿宋_GB2312"/>
          <w:b w:val="0"/>
          <w:sz w:val="32"/>
        </w:rPr>
        <w:t>13.金融支出(类)金融部门行政支出(款)行政运行(项):支出决算数为0.00万元，比上年决算减少42.05万元，下降100.00%,主要原因是：本年功能科目调整，</w:t>
      </w:r>
      <w:r>
        <w:rPr>
          <w:rFonts w:hint="eastAsia" w:ascii="仿宋_GB2312" w:hAnsi="仿宋_GB2312" w:eastAsia="仿宋_GB2312"/>
          <w:b w:val="0"/>
          <w:sz w:val="32"/>
          <w:lang w:val="en-US" w:eastAsia="zh-CN"/>
        </w:rPr>
        <w:t>部分</w:t>
      </w:r>
      <w:r>
        <w:rPr>
          <w:rFonts w:ascii="仿宋_GB2312" w:hAnsi="仿宋_GB2312" w:eastAsia="仿宋_GB2312"/>
          <w:b w:val="0"/>
          <w:sz w:val="32"/>
        </w:rPr>
        <w:t>长聘人员资金上年度在金融部门行政支出(款)行政运行(项)科目列支，本年在主科目列支，导致经费较上年减少。</w:t>
      </w:r>
    </w:p>
    <w:p w14:paraId="663DFC8C">
      <w:pPr>
        <w:spacing w:line="580" w:lineRule="exact"/>
        <w:ind w:firstLine="640"/>
        <w:jc w:val="both"/>
      </w:pPr>
      <w:r>
        <w:rPr>
          <w:rFonts w:ascii="仿宋_GB2312" w:hAnsi="仿宋_GB2312" w:eastAsia="仿宋_GB2312"/>
          <w:b w:val="0"/>
          <w:sz w:val="32"/>
        </w:rPr>
        <w:t>14.住房保障支出(类)住房改革支出(款)住房公积金(项):支出决算数为606.44万元，比上年决算增加51.69万元，增长9.32%,主要原因是：本年在职人员工资基数调增，公积金缴费基数上涨，相应支出增加。</w:t>
      </w:r>
    </w:p>
    <w:p w14:paraId="3B579EFD">
      <w:pPr>
        <w:spacing w:line="640" w:lineRule="exact"/>
        <w:ind w:firstLine="640"/>
        <w:jc w:val="both"/>
        <w:outlineLvl w:val="2"/>
      </w:pPr>
      <w:r>
        <w:rPr>
          <w:rFonts w:ascii="黑体" w:hAnsi="黑体" w:eastAsia="黑体"/>
          <w:sz w:val="32"/>
        </w:rPr>
        <w:t>六、一般公共预算财政拨款基本支出决算情况说明</w:t>
      </w:r>
    </w:p>
    <w:p w14:paraId="3858BE83">
      <w:pPr>
        <w:spacing w:line="580" w:lineRule="exact"/>
        <w:ind w:firstLine="640"/>
        <w:jc w:val="both"/>
      </w:pPr>
      <w:r>
        <w:rPr>
          <w:rFonts w:ascii="仿宋_GB2312" w:hAnsi="仿宋_GB2312" w:eastAsia="仿宋_GB2312"/>
          <w:b w:val="0"/>
          <w:sz w:val="32"/>
        </w:rPr>
        <w:t>2024年度一般公共预算财政拨款基本支出9,293.02万元，其中：</w:t>
      </w:r>
      <w:r>
        <w:rPr>
          <w:rFonts w:ascii="仿宋_GB2312" w:hAnsi="仿宋_GB2312" w:eastAsia="仿宋_GB2312"/>
          <w:b/>
          <w:sz w:val="32"/>
        </w:rPr>
        <w:t>人员经费8,433.09万元，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5AEDCBCF">
      <w:pPr>
        <w:spacing w:line="580" w:lineRule="exact"/>
        <w:ind w:firstLine="640"/>
        <w:jc w:val="both"/>
      </w:pPr>
      <w:r>
        <w:rPr>
          <w:rFonts w:ascii="仿宋_GB2312" w:hAnsi="仿宋_GB2312" w:eastAsia="仿宋_GB2312"/>
          <w:b/>
          <w:sz w:val="32"/>
        </w:rPr>
        <w:t>公用经费859.94万元，</w:t>
      </w:r>
      <w:r>
        <w:rPr>
          <w:rFonts w:ascii="仿宋_GB2312" w:hAnsi="仿宋_GB2312" w:eastAsia="仿宋_GB2312"/>
          <w:b w:val="0"/>
          <w:sz w:val="32"/>
        </w:rPr>
        <w:t>包括：办公费、水费、电费、邮电费、取暖费、物业管理费、维修（护）费、专用材料费、被装购置费、委托业务费、公务用车运行维护费、专用设备购置。</w:t>
      </w:r>
    </w:p>
    <w:p w14:paraId="315B47B1">
      <w:pPr>
        <w:spacing w:line="640" w:lineRule="exact"/>
        <w:ind w:firstLine="640"/>
        <w:jc w:val="both"/>
        <w:outlineLvl w:val="2"/>
      </w:pPr>
      <w:r>
        <w:rPr>
          <w:rFonts w:ascii="黑体" w:hAnsi="黑体" w:eastAsia="黑体"/>
          <w:sz w:val="32"/>
        </w:rPr>
        <w:t>七、政府性基金预算财政拨款收入支出决算情况说明</w:t>
      </w:r>
    </w:p>
    <w:p w14:paraId="6C3FE871">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65A9205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减少12,889.00万元，下降100.00%，主要原因是：本年减少岳普湖县平安城市PPP</w:t>
      </w:r>
      <w:r>
        <w:rPr>
          <w:rFonts w:hint="eastAsia" w:ascii="仿宋_GB2312" w:hAnsi="仿宋_GB2312" w:eastAsia="仿宋_GB2312"/>
          <w:b w:val="0"/>
          <w:sz w:val="32"/>
          <w:lang w:eastAsia="zh-CN"/>
        </w:rPr>
        <w:t>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年初预算数0.00万元，决算数0.00万元，预决算差异率0.00%，主要原因是：本年未安排政府性基金预算财政拨款。</w:t>
      </w:r>
    </w:p>
    <w:p w14:paraId="5650C588">
      <w:pPr>
        <w:spacing w:line="580" w:lineRule="exact"/>
        <w:ind w:firstLine="640"/>
        <w:jc w:val="both"/>
      </w:pPr>
      <w:r>
        <w:rPr>
          <w:rFonts w:ascii="仿宋_GB2312" w:hAnsi="仿宋_GB2312" w:eastAsia="仿宋_GB2312"/>
          <w:b w:val="0"/>
          <w:sz w:val="32"/>
        </w:rPr>
        <w:t>政府性基金预算财政拨款支出0.00万元。</w:t>
      </w:r>
    </w:p>
    <w:p w14:paraId="73AE2D57">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0.00万元，比上年决算减少12,889.00万元，下降100.00%,主要原因是：本年减少岳普湖县平安城市PPP</w:t>
      </w:r>
      <w:r>
        <w:rPr>
          <w:rFonts w:hint="eastAsia" w:ascii="仿宋_GB2312" w:hAnsi="仿宋_GB2312" w:eastAsia="仿宋_GB2312"/>
          <w:b w:val="0"/>
          <w:sz w:val="32"/>
          <w:lang w:eastAsia="zh-CN"/>
        </w:rPr>
        <w:t>项目</w:t>
      </w:r>
      <w:r>
        <w:rPr>
          <w:rFonts w:ascii="仿宋_GB2312" w:hAnsi="仿宋_GB2312" w:eastAsia="仿宋_GB2312"/>
          <w:b w:val="0"/>
          <w:sz w:val="32"/>
        </w:rPr>
        <w:t>。</w:t>
      </w:r>
    </w:p>
    <w:p w14:paraId="1C2E1981">
      <w:pPr>
        <w:spacing w:line="640" w:lineRule="exact"/>
        <w:ind w:firstLine="640"/>
        <w:jc w:val="both"/>
        <w:outlineLvl w:val="2"/>
      </w:pPr>
      <w:r>
        <w:rPr>
          <w:rFonts w:ascii="黑体" w:hAnsi="黑体" w:eastAsia="黑体"/>
          <w:sz w:val="32"/>
        </w:rPr>
        <w:t>八、国有资本经营预算财政拨款收入支出决算情况说明</w:t>
      </w:r>
    </w:p>
    <w:p w14:paraId="16C6E83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379CC80">
      <w:pPr>
        <w:spacing w:line="640" w:lineRule="exact"/>
        <w:ind w:firstLine="640"/>
        <w:jc w:val="both"/>
        <w:outlineLvl w:val="2"/>
      </w:pPr>
      <w:r>
        <w:rPr>
          <w:rFonts w:ascii="黑体" w:hAnsi="黑体" w:eastAsia="黑体"/>
          <w:sz w:val="32"/>
        </w:rPr>
        <w:t>九、财政拨款“三公”经费支出决算情况说明</w:t>
      </w:r>
    </w:p>
    <w:p w14:paraId="380536CB">
      <w:pPr>
        <w:spacing w:line="580" w:lineRule="exact"/>
        <w:ind w:firstLine="640"/>
        <w:jc w:val="both"/>
      </w:pPr>
      <w:r>
        <w:rPr>
          <w:rFonts w:ascii="仿宋_GB2312" w:hAnsi="仿宋_GB2312" w:eastAsia="仿宋_GB2312"/>
          <w:b/>
          <w:sz w:val="32"/>
        </w:rPr>
        <w:t>2024年度财政拨款“三公”经费支出196.58万元，</w:t>
      </w:r>
      <w:r>
        <w:rPr>
          <w:rFonts w:ascii="仿宋_GB2312" w:hAnsi="仿宋_GB2312" w:eastAsia="仿宋_GB2312"/>
          <w:b w:val="0"/>
          <w:sz w:val="32"/>
        </w:rPr>
        <w:t>比上年减少261.88万元，下降57.12%，主要原因是：本年减少用车次数，</w:t>
      </w:r>
      <w:r>
        <w:rPr>
          <w:rFonts w:hint="eastAsia" w:ascii="仿宋_GB2312" w:hAnsi="仿宋_GB2312" w:eastAsia="仿宋_GB2312"/>
          <w:b w:val="0"/>
          <w:sz w:val="32"/>
          <w:lang w:val="en-US" w:eastAsia="zh-CN"/>
        </w:rPr>
        <w:t>车辆燃油费、维修费减少，</w:t>
      </w:r>
      <w:r>
        <w:rPr>
          <w:rFonts w:ascii="仿宋_GB2312" w:hAnsi="仿宋_GB2312" w:eastAsia="仿宋_GB2312"/>
          <w:b w:val="0"/>
          <w:sz w:val="32"/>
        </w:rPr>
        <w:t>相关运行维护费减少。其中：因公出国（境）费支出0.00万元，占0.00%，比上年增加0.00万元，增长0.00%，主要原因是：2023年与2024年均未安排因公出国（境）费支出。公务用车购置及运行维护费支出196.58万元，占100.00%，比上年减少261.88万元，下降57.12%，主要原因是：本年减少用车次数，</w:t>
      </w:r>
      <w:r>
        <w:rPr>
          <w:rFonts w:hint="eastAsia" w:ascii="仿宋_GB2312" w:hAnsi="仿宋_GB2312" w:eastAsia="仿宋_GB2312"/>
          <w:b w:val="0"/>
          <w:sz w:val="32"/>
          <w:lang w:val="en-US" w:eastAsia="zh-CN"/>
        </w:rPr>
        <w:t>车辆燃油费、维修费减少，</w:t>
      </w:r>
      <w:r>
        <w:rPr>
          <w:rFonts w:ascii="仿宋_GB2312" w:hAnsi="仿宋_GB2312" w:eastAsia="仿宋_GB2312"/>
          <w:b w:val="0"/>
          <w:sz w:val="32"/>
        </w:rPr>
        <w:t>相关运行维护费减少。公务接待费支出0.00万元，占0.00%，比上年增加0.00万元，增长0.00%，主要原因是：2023年与2024年均未安排公务接待费支出。</w:t>
      </w:r>
    </w:p>
    <w:p w14:paraId="50E7ED18">
      <w:pPr>
        <w:spacing w:line="580" w:lineRule="exact"/>
        <w:ind w:firstLine="640"/>
        <w:jc w:val="both"/>
      </w:pPr>
      <w:r>
        <w:rPr>
          <w:rFonts w:ascii="仿宋_GB2312" w:hAnsi="仿宋_GB2312" w:eastAsia="仿宋_GB2312"/>
          <w:b/>
          <w:sz w:val="32"/>
        </w:rPr>
        <w:t>具体情况如下：</w:t>
      </w:r>
    </w:p>
    <w:p w14:paraId="393A7A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8607471">
      <w:pPr>
        <w:spacing w:line="580" w:lineRule="exact"/>
        <w:ind w:firstLine="640"/>
        <w:jc w:val="both"/>
      </w:pPr>
      <w:r>
        <w:rPr>
          <w:rFonts w:ascii="仿宋_GB2312" w:hAnsi="仿宋_GB2312" w:eastAsia="仿宋_GB2312"/>
          <w:b w:val="0"/>
          <w:sz w:val="32"/>
        </w:rPr>
        <w:t>公务用车购置及运行维护费196.58万元，其中：公务用车购置费0.00万元，公务用车运行维护费196.58万元。公务用车运行维护费开支内容包括车辆加油费、维修费、保险费、审车费、过路费。公务用车购置数0辆，公务用车保有量130辆。国有资产占用情况中固定资产车辆130辆，与公务用车保有量差异原因是：本单位固定资产车辆与公务用车保有量一致无差异。</w:t>
      </w:r>
    </w:p>
    <w:p w14:paraId="325C178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6619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196.58万元，决算数196.58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196.58万元，决算数196.58万元，预决算差异率0.00%，主要原因是：严格按照预算执行，预决算无差异。公务接待费全年预算数0.00万元，决算数0.00万元，预决算差异率0.00%，主要原因是：本单位无公务接待费。</w:t>
      </w:r>
    </w:p>
    <w:p w14:paraId="70F24406">
      <w:pPr>
        <w:spacing w:line="640" w:lineRule="exact"/>
        <w:ind w:firstLine="640"/>
        <w:jc w:val="both"/>
        <w:outlineLvl w:val="2"/>
      </w:pPr>
      <w:r>
        <w:rPr>
          <w:rFonts w:ascii="黑体" w:hAnsi="黑体" w:eastAsia="黑体"/>
          <w:sz w:val="32"/>
        </w:rPr>
        <w:t>十、其他重要事项的情况说明</w:t>
      </w:r>
    </w:p>
    <w:p w14:paraId="0CDEA59B">
      <w:pPr>
        <w:spacing w:line="640" w:lineRule="exact"/>
        <w:ind w:firstLine="640"/>
        <w:jc w:val="both"/>
        <w:outlineLvl w:val="3"/>
      </w:pPr>
      <w:r>
        <w:rPr>
          <w:rFonts w:ascii="楷体_GB2312" w:hAnsi="楷体_GB2312" w:eastAsia="楷体_GB2312"/>
          <w:b/>
          <w:sz w:val="32"/>
        </w:rPr>
        <w:t>（一）机关运行经费及公用经费支出情况</w:t>
      </w:r>
    </w:p>
    <w:p w14:paraId="1813ADE6">
      <w:pPr>
        <w:spacing w:line="580" w:lineRule="exact"/>
        <w:ind w:firstLine="640"/>
        <w:jc w:val="both"/>
      </w:pPr>
      <w:r>
        <w:rPr>
          <w:rFonts w:ascii="仿宋_GB2312" w:hAnsi="仿宋_GB2312" w:eastAsia="仿宋_GB2312"/>
          <w:b w:val="0"/>
          <w:sz w:val="32"/>
        </w:rPr>
        <w:t>2024年度岳普湖县公安局（行政单位和参照公务员法管理事业单位）机关运行经费支出859.94万元，比上年增加114.49万元，增长15.36%，主要原因是：本年增加辅警运转经费。</w:t>
      </w:r>
    </w:p>
    <w:p w14:paraId="291A5CF1">
      <w:pPr>
        <w:spacing w:line="640" w:lineRule="exact"/>
        <w:ind w:firstLine="640"/>
        <w:jc w:val="both"/>
        <w:outlineLvl w:val="3"/>
      </w:pPr>
      <w:r>
        <w:rPr>
          <w:rFonts w:ascii="楷体_GB2312" w:hAnsi="楷体_GB2312" w:eastAsia="楷体_GB2312"/>
          <w:b/>
          <w:sz w:val="32"/>
        </w:rPr>
        <w:t>（二）政府采购情况</w:t>
      </w:r>
    </w:p>
    <w:p w14:paraId="61688B29">
      <w:pPr>
        <w:spacing w:line="580" w:lineRule="exact"/>
        <w:ind w:firstLine="640"/>
        <w:jc w:val="both"/>
      </w:pPr>
      <w:r>
        <w:rPr>
          <w:rFonts w:ascii="仿宋_GB2312" w:hAnsi="仿宋_GB2312" w:eastAsia="仿宋_GB2312"/>
          <w:b w:val="0"/>
          <w:sz w:val="32"/>
        </w:rPr>
        <w:t>2024年度政府采购支出总额1,463.39万元，其中：政府采购货物支出1,364.32万元、政府采购工程支出29.50万元、政府采购服务支出69.57万元。</w:t>
      </w:r>
    </w:p>
    <w:p w14:paraId="1D76C3AE">
      <w:pPr>
        <w:spacing w:line="580" w:lineRule="exact"/>
        <w:ind w:firstLine="640"/>
        <w:jc w:val="both"/>
      </w:pPr>
      <w:r>
        <w:rPr>
          <w:rFonts w:ascii="仿宋_GB2312" w:hAnsi="仿宋_GB2312" w:eastAsia="仿宋_GB2312"/>
          <w:b w:val="0"/>
          <w:sz w:val="32"/>
        </w:rPr>
        <w:t>授予中小企业合同金额1,456.07万元，占政府采购支出总额的99.50%，其中：授予小微企业合同金额1,448.82万元，占政府采购支出总额的99.00%。</w:t>
      </w:r>
    </w:p>
    <w:p w14:paraId="4FA3DDAD">
      <w:pPr>
        <w:spacing w:line="640" w:lineRule="exact"/>
        <w:ind w:firstLine="640"/>
        <w:jc w:val="both"/>
        <w:outlineLvl w:val="3"/>
      </w:pPr>
      <w:r>
        <w:rPr>
          <w:rFonts w:ascii="楷体_GB2312" w:hAnsi="楷体_GB2312" w:eastAsia="楷体_GB2312"/>
          <w:b/>
          <w:sz w:val="32"/>
        </w:rPr>
        <w:t>（三）国有资产占用情况说明</w:t>
      </w:r>
    </w:p>
    <w:p w14:paraId="4FE0D3A3">
      <w:pPr>
        <w:spacing w:line="580" w:lineRule="exact"/>
        <w:ind w:firstLine="640"/>
        <w:jc w:val="both"/>
      </w:pPr>
      <w:r>
        <w:rPr>
          <w:rFonts w:ascii="仿宋_GB2312" w:hAnsi="仿宋_GB2312" w:eastAsia="仿宋_GB2312"/>
          <w:b w:val="0"/>
          <w:sz w:val="32"/>
        </w:rPr>
        <w:t>截至2024年12月31日，房屋82,350.33平方米，价值11,608.85万元。车辆130辆，价值1,514.28万元，其中：副部（省）级及以上领导用车0辆、主要负责人用车0辆、机要通信用车0辆、应急保障用车0辆、执法执勤用车95辆、特种专业技术用车1辆、离退休干部服务用车0辆、其他用车34辆，其他用车主要是：一般公务用车。单价100万元（含）以上设备（不含车辆）11台（套）。</w:t>
      </w:r>
    </w:p>
    <w:p w14:paraId="103B1F80">
      <w:pPr>
        <w:spacing w:line="640" w:lineRule="exact"/>
        <w:ind w:firstLine="640"/>
        <w:jc w:val="both"/>
        <w:outlineLvl w:val="2"/>
      </w:pPr>
      <w:r>
        <w:rPr>
          <w:rFonts w:ascii="黑体" w:hAnsi="黑体" w:eastAsia="黑体"/>
          <w:sz w:val="32"/>
        </w:rPr>
        <w:t>十一、预算绩效的情况说明</w:t>
      </w:r>
    </w:p>
    <w:p w14:paraId="0D19C94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根据预算绩效管理要求，本单位2024年度预算绩效管理形成整体支出绩效自评表1个，全年预算总额15,039.55万元，实际执行总额15,039.55万元；预算绩效评价项目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个，全年预算数510.04万元，全年执行数510.04万元。预算绩效管理取得的成效：</w:t>
      </w:r>
      <w:r>
        <w:rPr>
          <w:rFonts w:hint="eastAsia" w:ascii="仿宋_GB2312" w:hAnsi="仿宋_GB2312" w:eastAsia="仿宋_GB2312"/>
          <w:b w:val="0"/>
          <w:sz w:val="32"/>
          <w:lang w:eastAsia="zh-CN"/>
        </w:rPr>
        <w:t>本</w:t>
      </w:r>
      <w:r>
        <w:rPr>
          <w:rFonts w:ascii="仿宋_GB2312" w:hAnsi="仿宋_GB2312" w:eastAsia="仿宋_GB2312"/>
          <w:b w:val="0"/>
          <w:sz w:val="32"/>
        </w:rPr>
        <w:t>单位项目绩效自评表不予公开。发现的问题及原因：</w:t>
      </w:r>
      <w:r>
        <w:rPr>
          <w:rFonts w:hint="eastAsia" w:ascii="仿宋_GB2312" w:hAnsi="仿宋_GB2312" w:eastAsia="仿宋_GB2312"/>
          <w:b w:val="0"/>
          <w:sz w:val="32"/>
          <w:lang w:eastAsia="zh-CN"/>
        </w:rPr>
        <w:t>本</w:t>
      </w:r>
      <w:r>
        <w:rPr>
          <w:rFonts w:ascii="仿宋_GB2312" w:hAnsi="仿宋_GB2312" w:eastAsia="仿宋_GB2312"/>
          <w:b w:val="0"/>
          <w:sz w:val="32"/>
        </w:rPr>
        <w:t>单位项目绩效自评表不予公开。下一步改进措施：</w:t>
      </w:r>
      <w:r>
        <w:rPr>
          <w:rFonts w:hint="eastAsia" w:ascii="仿宋_GB2312" w:hAnsi="仿宋_GB2312" w:eastAsia="仿宋_GB2312"/>
          <w:b w:val="0"/>
          <w:sz w:val="32"/>
          <w:lang w:eastAsia="zh-CN"/>
        </w:rPr>
        <w:t>本</w:t>
      </w:r>
      <w:r>
        <w:rPr>
          <w:rFonts w:ascii="仿宋_GB2312" w:hAnsi="仿宋_GB2312" w:eastAsia="仿宋_GB2312"/>
          <w:b w:val="0"/>
          <w:sz w:val="32"/>
        </w:rPr>
        <w:t>单位项目绩效自评表不予公开。具体附整体支出绩效自评表。</w:t>
      </w:r>
    </w:p>
    <w:p w14:paraId="7519CD0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3A27EB">
        <w:tblPrEx>
          <w:tblCellMar>
            <w:top w:w="0" w:type="dxa"/>
            <w:left w:w="108" w:type="dxa"/>
            <w:bottom w:w="0" w:type="dxa"/>
            <w:right w:w="108" w:type="dxa"/>
          </w:tblCellMar>
        </w:tblPrEx>
        <w:tc>
          <w:tcPr>
            <w:tcW w:w="8847" w:type="dxa"/>
            <w:gridSpan w:val="9"/>
            <w:vAlign w:val="center"/>
          </w:tcPr>
          <w:p w14:paraId="03FA1A44">
            <w:pPr>
              <w:jc w:val="center"/>
            </w:pPr>
            <w:r>
              <w:rPr>
                <w:rFonts w:ascii="宋体" w:hAnsi="宋体" w:eastAsia="宋体"/>
                <w:sz w:val="24"/>
              </w:rPr>
              <w:t>单位整体支出绩效自评表</w:t>
            </w:r>
          </w:p>
        </w:tc>
      </w:tr>
      <w:tr w14:paraId="34959C12">
        <w:tblPrEx>
          <w:tblCellMar>
            <w:top w:w="0" w:type="dxa"/>
            <w:left w:w="108" w:type="dxa"/>
            <w:bottom w:w="0" w:type="dxa"/>
            <w:right w:w="108" w:type="dxa"/>
          </w:tblCellMar>
        </w:tblPrEx>
        <w:tc>
          <w:tcPr>
            <w:tcW w:w="8847" w:type="dxa"/>
            <w:gridSpan w:val="9"/>
            <w:vAlign w:val="center"/>
          </w:tcPr>
          <w:p w14:paraId="30E775D5">
            <w:pPr>
              <w:jc w:val="center"/>
            </w:pPr>
            <w:r>
              <w:rPr>
                <w:rFonts w:ascii="宋体" w:hAnsi="宋体" w:eastAsia="宋体"/>
                <w:sz w:val="24"/>
              </w:rPr>
              <w:t>（2024年度）</w:t>
            </w:r>
          </w:p>
        </w:tc>
      </w:tr>
      <w:tr w14:paraId="5BFEEB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B564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B01335">
            <w:pPr>
              <w:jc w:val="center"/>
            </w:pPr>
            <w:r>
              <w:rPr>
                <w:rFonts w:ascii="宋体" w:hAnsi="宋体" w:eastAsia="宋体"/>
                <w:sz w:val="16"/>
              </w:rPr>
              <w:t>岳普湖县公安局</w:t>
            </w:r>
          </w:p>
        </w:tc>
      </w:tr>
      <w:tr w14:paraId="0E0316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5C3B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6A4F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AB5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2C8F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4FAB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618D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FDCB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C395C">
            <w:pPr>
              <w:jc w:val="center"/>
            </w:pPr>
            <w:r>
              <w:rPr>
                <w:rFonts w:ascii="宋体" w:hAnsi="宋体" w:eastAsia="宋体"/>
                <w:sz w:val="16"/>
              </w:rPr>
              <w:t>得分</w:t>
            </w:r>
          </w:p>
        </w:tc>
      </w:tr>
      <w:tr w14:paraId="626D30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814A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C6C8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2E9AC">
            <w:pPr>
              <w:jc w:val="center"/>
            </w:pPr>
            <w:r>
              <w:rPr>
                <w:rFonts w:ascii="宋体" w:hAnsi="宋体" w:eastAsia="宋体"/>
                <w:sz w:val="16"/>
              </w:rPr>
              <w:t>22,312.89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F2193">
            <w:pPr>
              <w:jc w:val="center"/>
            </w:pPr>
            <w:r>
              <w:rPr>
                <w:rFonts w:ascii="宋体" w:hAnsi="宋体" w:eastAsia="宋体"/>
                <w:sz w:val="16"/>
              </w:rPr>
              <w:t>15,039.55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5ED77">
            <w:pPr>
              <w:jc w:val="center"/>
            </w:pPr>
            <w:r>
              <w:rPr>
                <w:rFonts w:ascii="宋体" w:hAnsi="宋体" w:eastAsia="宋体"/>
                <w:sz w:val="16"/>
              </w:rPr>
              <w:t>15,039.55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D35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66560">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F809C">
            <w:pPr>
              <w:jc w:val="center"/>
            </w:pPr>
            <w:r>
              <w:rPr>
                <w:rFonts w:ascii="宋体" w:hAnsi="宋体" w:eastAsia="宋体"/>
                <w:sz w:val="16"/>
              </w:rPr>
              <w:t>10</w:t>
            </w:r>
          </w:p>
        </w:tc>
      </w:tr>
      <w:tr w14:paraId="380B84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A9F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1F6D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A9A34">
            <w:pPr>
              <w:jc w:val="center"/>
            </w:pPr>
            <w:r>
              <w:rPr>
                <w:rFonts w:ascii="宋体" w:hAnsi="宋体" w:eastAsia="宋体"/>
                <w:sz w:val="16"/>
              </w:rPr>
              <w:t>7,090.58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49B44">
            <w:pPr>
              <w:jc w:val="center"/>
            </w:pPr>
            <w:r>
              <w:rPr>
                <w:rFonts w:ascii="宋体" w:hAnsi="宋体" w:eastAsia="宋体"/>
                <w:sz w:val="16"/>
              </w:rPr>
              <w:t>10,935.25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0E27E">
            <w:pPr>
              <w:jc w:val="center"/>
            </w:pPr>
            <w:r>
              <w:rPr>
                <w:rFonts w:ascii="宋体" w:hAnsi="宋体" w:eastAsia="宋体"/>
                <w:sz w:val="16"/>
              </w:rPr>
              <w:t>10,935.25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DEA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29DE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D22E0">
            <w:pPr>
              <w:jc w:val="center"/>
            </w:pPr>
            <w:r>
              <w:rPr>
                <w:rFonts w:ascii="宋体" w:hAnsi="宋体" w:eastAsia="宋体"/>
                <w:sz w:val="16"/>
              </w:rPr>
              <w:t>—</w:t>
            </w:r>
          </w:p>
        </w:tc>
      </w:tr>
      <w:tr w14:paraId="469356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D296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F691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208C0">
            <w:pPr>
              <w:jc w:val="center"/>
            </w:pPr>
            <w:r>
              <w:rPr>
                <w:rFonts w:ascii="宋体" w:hAnsi="宋体" w:eastAsia="宋体"/>
                <w:sz w:val="16"/>
              </w:rPr>
              <w:t>15,222.31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26B1D">
            <w:pPr>
              <w:jc w:val="center"/>
            </w:pPr>
            <w:r>
              <w:rPr>
                <w:rFonts w:ascii="宋体" w:hAnsi="宋体" w:eastAsia="宋体"/>
                <w:sz w:val="16"/>
              </w:rPr>
              <w:t>4,104.30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DD6E3">
            <w:pPr>
              <w:jc w:val="center"/>
            </w:pPr>
            <w:r>
              <w:rPr>
                <w:rFonts w:ascii="宋体" w:hAnsi="宋体" w:eastAsia="宋体"/>
                <w:sz w:val="16"/>
              </w:rPr>
              <w:t>4,104.30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4B5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82FC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92A96">
            <w:pPr>
              <w:jc w:val="center"/>
            </w:pPr>
            <w:r>
              <w:rPr>
                <w:rFonts w:ascii="宋体" w:hAnsi="宋体" w:eastAsia="宋体"/>
                <w:sz w:val="16"/>
              </w:rPr>
              <w:t>—</w:t>
            </w:r>
          </w:p>
        </w:tc>
      </w:tr>
      <w:tr w14:paraId="110307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B88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5550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8E7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ED2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563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796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B2D1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C458">
            <w:pPr>
              <w:jc w:val="center"/>
            </w:pPr>
            <w:r>
              <w:rPr>
                <w:rFonts w:ascii="宋体" w:hAnsi="宋体" w:eastAsia="宋体"/>
                <w:sz w:val="16"/>
              </w:rPr>
              <w:t>—</w:t>
            </w:r>
          </w:p>
        </w:tc>
      </w:tr>
      <w:tr w14:paraId="3A160B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4EB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098D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BAE2F">
            <w:pPr>
              <w:jc w:val="center"/>
            </w:pPr>
            <w:r>
              <w:rPr>
                <w:rFonts w:ascii="宋体" w:hAnsi="宋体" w:eastAsia="宋体"/>
                <w:sz w:val="16"/>
              </w:rPr>
              <w:t>实际完成情况</w:t>
            </w:r>
          </w:p>
        </w:tc>
      </w:tr>
      <w:tr w14:paraId="6524D7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8DC1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40FBFD">
            <w:pPr>
              <w:jc w:val="both"/>
            </w:pPr>
            <w:r>
              <w:rPr>
                <w:rFonts w:ascii="宋体" w:hAnsi="宋体" w:eastAsia="宋体"/>
                <w:sz w:val="16"/>
              </w:rPr>
              <w:t>管理指导基层派出所机构数量10个，管理维护公安指挥调度系统数量171套。加强和规范民辅警队伍教育管理，提升公安队伍的业务水平和职业素养，强化公安队伍的专业化和职业化建设；认真核查举报线索，及时处置社会治安事件。增强社会风险隐患排查和化解能力，保障社会稳定和长治久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629DEE">
            <w:pPr>
              <w:jc w:val="both"/>
            </w:pPr>
            <w:r>
              <w:rPr>
                <w:rFonts w:ascii="宋体" w:hAnsi="宋体" w:eastAsia="宋体"/>
                <w:sz w:val="16"/>
              </w:rPr>
              <w:t>管理指导基层派出所机构全年实际达到了10个，管理维护公安指挥调度系统全年实际达到了171套，各项指挥调度任务按期完成。本年度进一步加强和规范了岳普湖县民辅警队伍教育管理，提升了岳普湖县公安队伍的业务水平和职业素养，进一步强化了公安队伍的专业化和职业化建设；认真核查了举报线索，及时处置化解了社会治安事件。不断增强了社会风险隐患排查和化解能力，持续保障了岳普湖县社会稳定和长治久安。</w:t>
            </w:r>
          </w:p>
        </w:tc>
      </w:tr>
      <w:tr w14:paraId="62BAAB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735C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3B2D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F730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5076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9B0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8806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5404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665E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C2DF5">
            <w:pPr>
              <w:jc w:val="center"/>
            </w:pPr>
            <w:r>
              <w:rPr>
                <w:rFonts w:ascii="宋体" w:hAnsi="宋体" w:eastAsia="宋体"/>
                <w:sz w:val="16"/>
              </w:rPr>
              <w:t>得分</w:t>
            </w:r>
          </w:p>
        </w:tc>
      </w:tr>
      <w:tr w14:paraId="61F73F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1757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F4B9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320A9">
            <w:pPr>
              <w:jc w:val="center"/>
            </w:pPr>
            <w:r>
              <w:rPr>
                <w:rFonts w:ascii="宋体" w:hAnsi="宋体" w:eastAsia="宋体"/>
                <w:sz w:val="16"/>
              </w:rPr>
              <w:t>管理指导基层派出所机构数量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34830">
            <w:pPr>
              <w:jc w:val="center"/>
            </w:pPr>
            <w:r>
              <w:rPr>
                <w:rFonts w:ascii="宋体" w:hAnsi="宋体" w:eastAsia="宋体"/>
                <w:sz w:val="16"/>
              </w:rPr>
              <w:t>&gt;=10个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0143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7B09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5EC33">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82D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116B">
            <w:pPr>
              <w:jc w:val="center"/>
            </w:pPr>
            <w:r>
              <w:rPr>
                <w:rFonts w:ascii="宋体" w:hAnsi="宋体" w:eastAsia="宋体"/>
                <w:sz w:val="16"/>
              </w:rPr>
              <w:t>18</w:t>
            </w:r>
          </w:p>
        </w:tc>
      </w:tr>
      <w:tr w14:paraId="2BF9C9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694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223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12983">
            <w:pPr>
              <w:jc w:val="center"/>
            </w:pPr>
            <w:r>
              <w:rPr>
                <w:rFonts w:ascii="宋体" w:hAnsi="宋体" w:eastAsia="宋体"/>
                <w:sz w:val="16"/>
              </w:rPr>
              <w:t>管理维护公安指挥调度系统数量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401B9">
            <w:pPr>
              <w:jc w:val="center"/>
            </w:pPr>
            <w:r>
              <w:rPr>
                <w:rFonts w:ascii="宋体" w:hAnsi="宋体" w:eastAsia="宋体"/>
                <w:sz w:val="16"/>
              </w:rPr>
              <w:t>&gt;=171套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D9E0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7FB9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3B454">
            <w:pPr>
              <w:jc w:val="center"/>
            </w:pPr>
            <w:r>
              <w:rPr>
                <w:rFonts w:ascii="宋体" w:hAnsi="宋体" w:eastAsia="宋体"/>
                <w:sz w:val="16"/>
              </w:rPr>
              <w:t>171套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515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E3D12">
            <w:pPr>
              <w:jc w:val="center"/>
            </w:pPr>
            <w:r>
              <w:rPr>
                <w:rFonts w:ascii="宋体" w:hAnsi="宋体" w:eastAsia="宋体"/>
                <w:sz w:val="16"/>
              </w:rPr>
              <w:t>18</w:t>
            </w:r>
          </w:p>
        </w:tc>
      </w:tr>
      <w:tr w14:paraId="40C2E2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F30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10C27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AB07B">
            <w:pPr>
              <w:jc w:val="center"/>
            </w:pPr>
            <w:r>
              <w:rPr>
                <w:rFonts w:ascii="宋体" w:hAnsi="宋体" w:eastAsia="宋体"/>
                <w:sz w:val="16"/>
              </w:rPr>
              <w:t>指挥调度任务完成率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275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E1E3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148D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FC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ACF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D6C11">
            <w:pPr>
              <w:jc w:val="center"/>
            </w:pPr>
            <w:r>
              <w:rPr>
                <w:rFonts w:ascii="宋体" w:hAnsi="宋体" w:eastAsia="宋体"/>
                <w:sz w:val="16"/>
              </w:rPr>
              <w:t>18</w:t>
            </w:r>
          </w:p>
        </w:tc>
      </w:tr>
      <w:tr w14:paraId="4098DB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BFF0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B22D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784EB">
            <w:pPr>
              <w:jc w:val="center"/>
            </w:pPr>
            <w:r>
              <w:rPr>
                <w:rFonts w:ascii="宋体" w:hAnsi="宋体" w:eastAsia="宋体"/>
                <w:sz w:val="16"/>
              </w:rPr>
              <w:t>举报线索核查率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F3E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ECD0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FBB7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DDE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18E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7C86C">
            <w:pPr>
              <w:jc w:val="center"/>
            </w:pPr>
            <w:r>
              <w:rPr>
                <w:rFonts w:ascii="宋体" w:hAnsi="宋体" w:eastAsia="宋体"/>
                <w:sz w:val="16"/>
              </w:rPr>
              <w:t>18</w:t>
            </w:r>
          </w:p>
        </w:tc>
      </w:tr>
      <w:tr w14:paraId="1E0F02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2DC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4488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47B16">
            <w:pPr>
              <w:jc w:val="center"/>
            </w:pPr>
            <w:r>
              <w:rPr>
                <w:rFonts w:ascii="宋体" w:hAnsi="宋体" w:eastAsia="宋体"/>
                <w:sz w:val="16"/>
              </w:rPr>
              <w:t>社会治安事件处置及时率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15C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A0FB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2F49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34D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623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025E8">
            <w:pPr>
              <w:jc w:val="center"/>
            </w:pPr>
            <w:r>
              <w:rPr>
                <w:rFonts w:ascii="宋体" w:hAnsi="宋体" w:eastAsia="宋体"/>
                <w:sz w:val="16"/>
              </w:rPr>
              <w:t>18</w:t>
            </w:r>
          </w:p>
        </w:tc>
      </w:tr>
    </w:tbl>
    <w:p w14:paraId="43B99C7F">
      <w:r>
        <w:br w:type="page"/>
      </w:r>
    </w:p>
    <w:p w14:paraId="14852614">
      <w:pPr>
        <w:spacing w:line="640" w:lineRule="exact"/>
        <w:ind w:firstLine="640"/>
        <w:jc w:val="both"/>
        <w:outlineLvl w:val="2"/>
      </w:pPr>
      <w:r>
        <w:rPr>
          <w:rFonts w:ascii="黑体" w:hAnsi="黑体" w:eastAsia="黑体"/>
          <w:sz w:val="32"/>
        </w:rPr>
        <w:t>十二、其他需说明的事项</w:t>
      </w:r>
    </w:p>
    <w:p w14:paraId="28A4D2F2">
      <w:pPr>
        <w:spacing w:line="580" w:lineRule="exact"/>
        <w:ind w:firstLine="640"/>
        <w:jc w:val="both"/>
      </w:pPr>
      <w:r>
        <w:rPr>
          <w:rFonts w:ascii="仿宋_GB2312" w:hAnsi="仿宋_GB2312" w:eastAsia="仿宋_GB2312"/>
          <w:b w:val="0"/>
          <w:sz w:val="32"/>
        </w:rPr>
        <w:t>本年本单位SM项目2个，全年预算数510.04万元，全年执行数510.04万元。</w:t>
      </w:r>
    </w:p>
    <w:p w14:paraId="4F566E75">
      <w:r>
        <w:br w:type="page"/>
      </w:r>
    </w:p>
    <w:p w14:paraId="45E7E703">
      <w:pPr>
        <w:spacing w:line="240" w:lineRule="auto"/>
        <w:jc w:val="center"/>
        <w:outlineLvl w:val="1"/>
      </w:pPr>
      <w:r>
        <w:rPr>
          <w:rFonts w:ascii="黑体" w:hAnsi="黑体" w:eastAsia="黑体"/>
          <w:sz w:val="32"/>
        </w:rPr>
        <w:t>第三部分 专业名词解释</w:t>
      </w:r>
    </w:p>
    <w:p w14:paraId="4916237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D5068B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BA0CA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FC2E5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34666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23F3C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AEEE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6B18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F548BC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AA602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2495CA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DABB6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EC30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AB1AF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5B4792">
      <w:r>
        <w:br w:type="page"/>
      </w:r>
    </w:p>
    <w:p w14:paraId="6393CC69">
      <w:pPr>
        <w:spacing w:line="240" w:lineRule="auto"/>
        <w:jc w:val="center"/>
        <w:outlineLvl w:val="1"/>
      </w:pPr>
      <w:r>
        <w:rPr>
          <w:rFonts w:ascii="黑体" w:hAnsi="黑体" w:eastAsia="黑体"/>
          <w:sz w:val="32"/>
        </w:rPr>
        <w:t>第四部分 部门决算报表（见附表）</w:t>
      </w:r>
    </w:p>
    <w:p w14:paraId="3A148B15">
      <w:pPr>
        <w:spacing w:line="240" w:lineRule="auto"/>
        <w:ind w:firstLine="640"/>
        <w:jc w:val="both"/>
      </w:pPr>
      <w:r>
        <w:rPr>
          <w:rFonts w:ascii="仿宋_GB2312" w:hAnsi="仿宋_GB2312" w:eastAsia="仿宋_GB2312"/>
          <w:b w:val="0"/>
          <w:sz w:val="32"/>
        </w:rPr>
        <w:t>一、《收入支出决算总表》</w:t>
      </w:r>
    </w:p>
    <w:p w14:paraId="136AD85F">
      <w:pPr>
        <w:spacing w:line="240" w:lineRule="auto"/>
        <w:ind w:firstLine="640"/>
        <w:jc w:val="both"/>
      </w:pPr>
      <w:r>
        <w:rPr>
          <w:rFonts w:ascii="仿宋_GB2312" w:hAnsi="仿宋_GB2312" w:eastAsia="仿宋_GB2312"/>
          <w:b w:val="0"/>
          <w:sz w:val="32"/>
        </w:rPr>
        <w:t>二、《收入决算表》</w:t>
      </w:r>
    </w:p>
    <w:p w14:paraId="0A7B5DFD">
      <w:pPr>
        <w:spacing w:line="240" w:lineRule="auto"/>
        <w:ind w:firstLine="640"/>
        <w:jc w:val="both"/>
      </w:pPr>
      <w:r>
        <w:rPr>
          <w:rFonts w:ascii="仿宋_GB2312" w:hAnsi="仿宋_GB2312" w:eastAsia="仿宋_GB2312"/>
          <w:b w:val="0"/>
          <w:sz w:val="32"/>
        </w:rPr>
        <w:t>三、《支出决算表》</w:t>
      </w:r>
    </w:p>
    <w:p w14:paraId="2399D752">
      <w:pPr>
        <w:spacing w:line="240" w:lineRule="auto"/>
        <w:ind w:firstLine="640"/>
        <w:jc w:val="both"/>
      </w:pPr>
      <w:r>
        <w:rPr>
          <w:rFonts w:ascii="仿宋_GB2312" w:hAnsi="仿宋_GB2312" w:eastAsia="仿宋_GB2312"/>
          <w:b w:val="0"/>
          <w:sz w:val="32"/>
        </w:rPr>
        <w:t>四、《财政拨款收入支出决算总表》</w:t>
      </w:r>
    </w:p>
    <w:p w14:paraId="313AEF94">
      <w:pPr>
        <w:spacing w:line="240" w:lineRule="auto"/>
        <w:ind w:firstLine="640"/>
        <w:jc w:val="both"/>
      </w:pPr>
      <w:r>
        <w:rPr>
          <w:rFonts w:ascii="仿宋_GB2312" w:hAnsi="仿宋_GB2312" w:eastAsia="仿宋_GB2312"/>
          <w:b w:val="0"/>
          <w:sz w:val="32"/>
        </w:rPr>
        <w:t>五、《一般公共预算财政拨款支出决算表》</w:t>
      </w:r>
    </w:p>
    <w:p w14:paraId="784888B0">
      <w:pPr>
        <w:spacing w:line="240" w:lineRule="auto"/>
        <w:ind w:firstLine="640"/>
        <w:jc w:val="both"/>
      </w:pPr>
      <w:r>
        <w:rPr>
          <w:rFonts w:ascii="仿宋_GB2312" w:hAnsi="仿宋_GB2312" w:eastAsia="仿宋_GB2312"/>
          <w:b w:val="0"/>
          <w:sz w:val="32"/>
        </w:rPr>
        <w:t>六、《一般公共预算财政拨款基本支出决算表》</w:t>
      </w:r>
    </w:p>
    <w:p w14:paraId="7C2CC5B6">
      <w:pPr>
        <w:spacing w:line="240" w:lineRule="auto"/>
        <w:ind w:firstLine="640"/>
        <w:jc w:val="both"/>
      </w:pPr>
      <w:r>
        <w:rPr>
          <w:rFonts w:ascii="仿宋_GB2312" w:hAnsi="仿宋_GB2312" w:eastAsia="仿宋_GB2312"/>
          <w:b w:val="0"/>
          <w:sz w:val="32"/>
        </w:rPr>
        <w:t>七、《政府性基金预算财政拨款收入支出决算表》</w:t>
      </w:r>
    </w:p>
    <w:p w14:paraId="1F29E06D">
      <w:pPr>
        <w:spacing w:line="240" w:lineRule="auto"/>
        <w:ind w:firstLine="640"/>
        <w:jc w:val="both"/>
      </w:pPr>
      <w:r>
        <w:rPr>
          <w:rFonts w:ascii="仿宋_GB2312" w:hAnsi="仿宋_GB2312" w:eastAsia="仿宋_GB2312"/>
          <w:b w:val="0"/>
          <w:sz w:val="32"/>
        </w:rPr>
        <w:t>八、《国有资本经营预算财政拨款收入支出决算表》</w:t>
      </w:r>
    </w:p>
    <w:p w14:paraId="268119CD">
      <w:pPr>
        <w:spacing w:line="240" w:lineRule="auto"/>
        <w:ind w:firstLine="640"/>
        <w:jc w:val="both"/>
      </w:pPr>
      <w:r>
        <w:rPr>
          <w:rFonts w:ascii="仿宋_GB2312" w:hAnsi="仿宋_GB2312" w:eastAsia="仿宋_GB2312"/>
          <w:b w:val="0"/>
          <w:sz w:val="32"/>
        </w:rPr>
        <w:t>九、《财政拨款“三公”经费支出决算表》</w:t>
      </w:r>
    </w:p>
    <w:p w14:paraId="31CE4707">
      <w:pPr>
        <w:spacing w:line="240" w:lineRule="auto"/>
        <w:ind w:firstLine="640"/>
        <w:jc w:val="both"/>
      </w:pPr>
    </w:p>
    <w:p w14:paraId="2D00EA90">
      <w:pPr>
        <w:spacing w:line="240" w:lineRule="auto"/>
        <w:ind w:firstLine="640"/>
        <w:jc w:val="both"/>
      </w:pPr>
    </w:p>
    <w:p w14:paraId="5B4E106A">
      <w:pPr>
        <w:spacing w:line="240" w:lineRule="auto"/>
        <w:ind w:firstLine="640"/>
        <w:jc w:val="both"/>
      </w:pPr>
    </w:p>
    <w:p w14:paraId="4AA13BB6">
      <w:pPr>
        <w:spacing w:line="240" w:lineRule="auto"/>
        <w:ind w:firstLine="640"/>
        <w:jc w:val="both"/>
      </w:pPr>
    </w:p>
    <w:p w14:paraId="638D908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8C30A4-9EF4-455C-8488-95E848A830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83AE8EF-406E-4259-B5CD-038F07650033}"/>
  </w:font>
  <w:font w:name="仿宋_GB2312">
    <w:altName w:val="仿宋"/>
    <w:panose1 w:val="02010609030101010101"/>
    <w:charset w:val="86"/>
    <w:family w:val="modern"/>
    <w:pitch w:val="default"/>
    <w:sig w:usb0="00000000" w:usb1="00000000" w:usb2="00000000" w:usb3="00000000" w:csb0="00040000" w:csb1="00000000"/>
    <w:embedRegular r:id="rId3" w:fontKey="{E7F26078-DD37-428D-8A67-5AA9B94C96DB}"/>
  </w:font>
  <w:font w:name="楷体_GB2312">
    <w:altName w:val="楷体"/>
    <w:panose1 w:val="02010609030101010101"/>
    <w:charset w:val="86"/>
    <w:family w:val="auto"/>
    <w:pitch w:val="default"/>
    <w:sig w:usb0="00000000" w:usb1="00000000" w:usb2="00000000" w:usb3="00000000" w:csb0="00040000" w:csb1="00000000"/>
    <w:embedRegular r:id="rId4" w:fontKey="{0A3273D0-652E-4D88-82DC-D8B71FED36B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7878C7"/>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157527"/>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6066</Words>
  <Characters>7079</Characters>
  <Lines>0</Lines>
  <Paragraphs>0</Paragraphs>
  <TotalTime>10</TotalTime>
  <ScaleCrop>false</ScaleCrop>
  <LinksUpToDate>false</LinksUpToDate>
  <CharactersWithSpaces>7087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