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岳普湖县劳务输出服务站2024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6C9B77">
      <w:r>
        <w:br w:type="page"/>
      </w:r>
    </w:p>
    <w:p w14:paraId="3875D566">
      <w:pPr>
        <w:spacing w:line="640" w:lineRule="exact"/>
        <w:jc w:val="center"/>
        <w:outlineLvl w:val="1"/>
      </w:pPr>
      <w:r>
        <w:rPr>
          <w:rFonts w:ascii="黑体" w:hAnsi="黑体" w:eastAsia="黑体"/>
          <w:sz w:val="32"/>
        </w:rPr>
        <w:t>第一部分 单位概况</w:t>
      </w:r>
    </w:p>
    <w:p w14:paraId="4CA4013E">
      <w:pPr>
        <w:spacing w:line="640" w:lineRule="exact"/>
        <w:ind w:firstLine="640"/>
        <w:jc w:val="both"/>
        <w:outlineLvl w:val="2"/>
      </w:pPr>
      <w:r>
        <w:rPr>
          <w:rFonts w:ascii="黑体" w:hAnsi="黑体" w:eastAsia="黑体"/>
          <w:sz w:val="32"/>
        </w:rPr>
        <w:t>一、主要职能</w:t>
      </w:r>
    </w:p>
    <w:p w14:paraId="3FA29337">
      <w:pPr>
        <w:spacing w:line="580" w:lineRule="exact"/>
        <w:ind w:firstLine="640"/>
        <w:jc w:val="both"/>
      </w:pPr>
      <w:r>
        <w:rPr>
          <w:rFonts w:ascii="仿宋_GB2312" w:hAnsi="仿宋_GB2312" w:eastAsia="仿宋_GB2312"/>
          <w:sz w:val="32"/>
        </w:rPr>
        <w:t>（1）管理劳务输出业务流程，包括项目对接、签约、培训、派遣、回访等环节。</w:t>
      </w:r>
    </w:p>
    <w:p w14:paraId="060CF4D8">
      <w:pPr>
        <w:spacing w:line="580" w:lineRule="exact"/>
        <w:ind w:firstLine="640"/>
        <w:jc w:val="both"/>
      </w:pPr>
      <w:r>
        <w:rPr>
          <w:rFonts w:ascii="仿宋_GB2312" w:hAnsi="仿宋_GB2312" w:eastAsia="仿宋_GB2312"/>
          <w:sz w:val="32"/>
        </w:rPr>
        <w:t>（2）组织开展对外宣传，积极开展招聘、宣传活动和培训工作，扩大服务对象，提升服务质量。</w:t>
      </w:r>
    </w:p>
    <w:p w14:paraId="7AA15ADA">
      <w:pPr>
        <w:spacing w:line="580" w:lineRule="exact"/>
        <w:ind w:firstLine="640"/>
        <w:jc w:val="both"/>
      </w:pPr>
      <w:r>
        <w:rPr>
          <w:rFonts w:ascii="仿宋_GB2312" w:hAnsi="仿宋_GB2312" w:eastAsia="仿宋_GB2312"/>
          <w:sz w:val="32"/>
        </w:rPr>
        <w:t>（3）建立维护与用工单位的联系，及时处理和回应用工单位的需求和问题，并开展定期回访工作。</w:t>
      </w:r>
    </w:p>
    <w:p w14:paraId="4DEDF9E7">
      <w:pPr>
        <w:spacing w:line="580" w:lineRule="exact"/>
        <w:ind w:firstLine="640"/>
        <w:jc w:val="both"/>
      </w:pPr>
      <w:r>
        <w:rPr>
          <w:rFonts w:ascii="仿宋_GB2312" w:hAnsi="仿宋_GB2312" w:eastAsia="仿宋_GB2312"/>
          <w:sz w:val="32"/>
        </w:rPr>
        <w:t>（4）维护人员和档案信息，及时更新人员派遣情况，确保所有服务对象的信息完善追溯、准确、规范。</w:t>
      </w:r>
    </w:p>
    <w:p w14:paraId="69459200">
      <w:pPr>
        <w:spacing w:line="580" w:lineRule="exact"/>
        <w:ind w:firstLine="640"/>
        <w:jc w:val="both"/>
      </w:pPr>
      <w:r>
        <w:rPr>
          <w:rFonts w:ascii="仿宋_GB2312" w:hAnsi="仿宋_GB2312" w:eastAsia="仿宋_GB2312"/>
          <w:sz w:val="32"/>
        </w:rPr>
        <w:t>（5）对劳务输出过程中出现的问题和风险进行监测和分析，并提出改进意见和措施，保障劳务输出工作的可持续发展。</w:t>
      </w:r>
    </w:p>
    <w:p w14:paraId="5D69243E">
      <w:pPr>
        <w:spacing w:line="640" w:lineRule="exact"/>
        <w:ind w:firstLine="640"/>
        <w:jc w:val="both"/>
        <w:outlineLvl w:val="2"/>
      </w:pPr>
      <w:r>
        <w:rPr>
          <w:rFonts w:ascii="黑体" w:hAnsi="黑体" w:eastAsia="黑体"/>
          <w:sz w:val="32"/>
        </w:rPr>
        <w:t>二、机构设置及人员情况</w:t>
      </w:r>
    </w:p>
    <w:p w14:paraId="543124D5">
      <w:pPr>
        <w:spacing w:line="580" w:lineRule="exact"/>
        <w:ind w:firstLine="640"/>
        <w:jc w:val="both"/>
      </w:pPr>
      <w:r>
        <w:rPr>
          <w:rFonts w:ascii="仿宋_GB2312" w:hAnsi="仿宋_GB2312" w:eastAsia="仿宋_GB2312"/>
          <w:sz w:val="32"/>
        </w:rPr>
        <w:t>岳普湖县劳务输出服务站2024年度，实有人数7人，其中：在职人员5人，减少1人；离休人员0人，增加0人；退休人员2人,增加1人。</w:t>
      </w:r>
    </w:p>
    <w:p w14:paraId="6DC8FCC3">
      <w:pPr>
        <w:spacing w:line="580" w:lineRule="exact"/>
        <w:ind w:firstLine="640"/>
        <w:jc w:val="both"/>
      </w:pPr>
      <w:r>
        <w:rPr>
          <w:rFonts w:ascii="仿宋_GB2312" w:hAnsi="仿宋_GB2312" w:eastAsia="仿宋_GB2312"/>
          <w:sz w:val="32"/>
        </w:rPr>
        <w:t>岳普湖县劳务输出服务站无下属预算单位，下设1个科室，分别是：办公室。</w:t>
      </w:r>
    </w:p>
    <w:p w14:paraId="43FE6B74">
      <w:r>
        <w:br w:type="page"/>
      </w:r>
    </w:p>
    <w:p w14:paraId="1D573775">
      <w:pPr>
        <w:spacing w:line="240" w:lineRule="auto"/>
        <w:jc w:val="center"/>
        <w:outlineLvl w:val="1"/>
      </w:pPr>
      <w:r>
        <w:rPr>
          <w:rFonts w:ascii="黑体" w:hAnsi="黑体" w:eastAsia="黑体"/>
          <w:sz w:val="32"/>
        </w:rPr>
        <w:t>第二部分 部门决算情况说明</w:t>
      </w:r>
    </w:p>
    <w:p w14:paraId="0FFE1A98">
      <w:pPr>
        <w:spacing w:line="640" w:lineRule="exact"/>
        <w:ind w:firstLine="640"/>
        <w:jc w:val="both"/>
        <w:outlineLvl w:val="2"/>
      </w:pPr>
      <w:r>
        <w:rPr>
          <w:rFonts w:ascii="黑体" w:hAnsi="黑体" w:eastAsia="黑体"/>
          <w:sz w:val="32"/>
        </w:rPr>
        <w:t>一、收入支出决算总体情况说明</w:t>
      </w:r>
    </w:p>
    <w:p w14:paraId="3252BB51">
      <w:pPr>
        <w:spacing w:line="580" w:lineRule="exact"/>
        <w:ind w:firstLine="640"/>
        <w:jc w:val="both"/>
      </w:pPr>
      <w:r>
        <w:rPr>
          <w:rFonts w:ascii="仿宋_GB2312" w:hAnsi="仿宋_GB2312" w:eastAsia="仿宋_GB2312"/>
          <w:b/>
          <w:sz w:val="32"/>
        </w:rPr>
        <w:t>2024年度收入总计261.64万元，</w:t>
      </w:r>
      <w:r>
        <w:rPr>
          <w:rFonts w:ascii="仿宋_GB2312" w:hAnsi="仿宋_GB2312" w:eastAsia="仿宋_GB2312"/>
          <w:b w:val="0"/>
          <w:sz w:val="32"/>
        </w:rPr>
        <w:t>其中：本年收入合计261.64万元，使用非财政拨款结余（含专用结余）0.00万元，年初结转和结余0.00万元。</w:t>
      </w:r>
    </w:p>
    <w:p w14:paraId="294FAFED">
      <w:pPr>
        <w:spacing w:line="580" w:lineRule="exact"/>
        <w:ind w:firstLine="640"/>
        <w:jc w:val="both"/>
      </w:pPr>
      <w:r>
        <w:rPr>
          <w:rFonts w:ascii="仿宋_GB2312" w:hAnsi="仿宋_GB2312" w:eastAsia="仿宋_GB2312"/>
          <w:b/>
          <w:sz w:val="32"/>
        </w:rPr>
        <w:t>2024年度支出总计261.64万元，</w:t>
      </w:r>
      <w:r>
        <w:rPr>
          <w:rFonts w:ascii="仿宋_GB2312" w:hAnsi="仿宋_GB2312" w:eastAsia="仿宋_GB2312"/>
          <w:b w:val="0"/>
          <w:sz w:val="32"/>
        </w:rPr>
        <w:t>其中：本年支出合计261.64万元，结余分配0.00万元，年末结转和结余0.00万元。</w:t>
      </w:r>
    </w:p>
    <w:p w14:paraId="0F084AA2">
      <w:pPr>
        <w:spacing w:line="580" w:lineRule="exact"/>
        <w:ind w:firstLine="640"/>
        <w:jc w:val="both"/>
      </w:pPr>
      <w:r>
        <w:rPr>
          <w:rFonts w:ascii="仿宋_GB2312" w:hAnsi="仿宋_GB2312" w:eastAsia="仿宋_GB2312"/>
          <w:b w:val="0"/>
          <w:sz w:val="32"/>
        </w:rPr>
        <w:t>收入支出总体与上年相比，增加84.99万元，增长48.11%，主要原因是：本年增加2024年铸牢中华民族共同体意识交往交流交融项目，用于富余劳动力有组织转移就业岗位开发等用途。</w:t>
      </w:r>
    </w:p>
    <w:p w14:paraId="396588F6">
      <w:pPr>
        <w:spacing w:line="640" w:lineRule="exact"/>
        <w:ind w:firstLine="640"/>
        <w:jc w:val="both"/>
        <w:outlineLvl w:val="2"/>
      </w:pPr>
      <w:r>
        <w:rPr>
          <w:rFonts w:ascii="黑体" w:hAnsi="黑体" w:eastAsia="黑体"/>
          <w:sz w:val="32"/>
        </w:rPr>
        <w:t>二、收入决算情况说明</w:t>
      </w:r>
    </w:p>
    <w:p w14:paraId="730DE28D">
      <w:pPr>
        <w:spacing w:line="580" w:lineRule="exact"/>
        <w:ind w:firstLine="640"/>
        <w:jc w:val="both"/>
      </w:pPr>
      <w:r>
        <w:rPr>
          <w:rFonts w:ascii="仿宋_GB2312" w:hAnsi="仿宋_GB2312" w:eastAsia="仿宋_GB2312"/>
          <w:b/>
          <w:sz w:val="32"/>
        </w:rPr>
        <w:t>本年收入261.64万元，</w:t>
      </w:r>
      <w:r>
        <w:rPr>
          <w:rFonts w:ascii="仿宋_GB2312" w:hAnsi="仿宋_GB2312" w:eastAsia="仿宋_GB2312"/>
          <w:b w:val="0"/>
          <w:sz w:val="32"/>
        </w:rPr>
        <w:t>其中：财政拨款收入176.17万元，占67.33%；上级补助收入0.00万元，占0.00%；事业收入0.00万元，占0.00%；经营收入0.00万元，占0.00%；附属单位上缴收入0.00万元，占0.00%；其他收入85.47万元，占32.67%。</w:t>
      </w:r>
    </w:p>
    <w:p w14:paraId="097C7F7F">
      <w:pPr>
        <w:spacing w:line="640" w:lineRule="exact"/>
        <w:ind w:firstLine="640"/>
        <w:jc w:val="both"/>
        <w:outlineLvl w:val="2"/>
      </w:pPr>
      <w:r>
        <w:rPr>
          <w:rFonts w:ascii="黑体" w:hAnsi="黑体" w:eastAsia="黑体"/>
          <w:sz w:val="32"/>
        </w:rPr>
        <w:t>三、支出决算情况说明</w:t>
      </w:r>
    </w:p>
    <w:p w14:paraId="5A56653D">
      <w:pPr>
        <w:spacing w:line="580" w:lineRule="exact"/>
        <w:ind w:firstLine="640"/>
        <w:jc w:val="both"/>
      </w:pPr>
      <w:r>
        <w:rPr>
          <w:rFonts w:ascii="仿宋_GB2312" w:hAnsi="仿宋_GB2312" w:eastAsia="仿宋_GB2312"/>
          <w:b/>
          <w:sz w:val="32"/>
        </w:rPr>
        <w:t>本年支出261.64万元，</w:t>
      </w:r>
      <w:r>
        <w:rPr>
          <w:rFonts w:ascii="仿宋_GB2312" w:hAnsi="仿宋_GB2312" w:eastAsia="仿宋_GB2312"/>
          <w:b w:val="0"/>
          <w:sz w:val="32"/>
        </w:rPr>
        <w:t>其中：基本支出99.79万元，占38.14%；项目支出161.84万元，占61.86%；上缴上级支出0.00万元，占0.00%；经营支出0.00万元，占0.00%；对附属单位补助支出0.00万元，占0.00%。</w:t>
      </w:r>
    </w:p>
    <w:p w14:paraId="36E8F987">
      <w:pPr>
        <w:spacing w:line="640" w:lineRule="exact"/>
        <w:ind w:firstLine="640"/>
        <w:jc w:val="both"/>
        <w:outlineLvl w:val="2"/>
      </w:pPr>
      <w:r>
        <w:rPr>
          <w:rFonts w:ascii="黑体" w:hAnsi="黑体" w:eastAsia="黑体"/>
          <w:sz w:val="32"/>
        </w:rPr>
        <w:t>四、财政拨款收入支出决算总体情况说明</w:t>
      </w:r>
    </w:p>
    <w:p w14:paraId="69ED2ACF">
      <w:pPr>
        <w:spacing w:line="580" w:lineRule="exact"/>
        <w:ind w:firstLine="640"/>
        <w:jc w:val="both"/>
      </w:pPr>
      <w:r>
        <w:rPr>
          <w:rFonts w:ascii="仿宋_GB2312" w:hAnsi="仿宋_GB2312" w:eastAsia="仿宋_GB2312"/>
          <w:b/>
          <w:sz w:val="32"/>
        </w:rPr>
        <w:t>2024年度财政拨款收入总计176.17万元，</w:t>
      </w:r>
      <w:r>
        <w:rPr>
          <w:rFonts w:ascii="仿宋_GB2312" w:hAnsi="仿宋_GB2312" w:eastAsia="仿宋_GB2312"/>
          <w:b w:val="0"/>
          <w:sz w:val="32"/>
        </w:rPr>
        <w:t>其中：年初财政拨款结转和结余0.00万元，本年财政拨款收入176.17万元。</w:t>
      </w:r>
      <w:r>
        <w:rPr>
          <w:rFonts w:ascii="仿宋_GB2312" w:hAnsi="仿宋_GB2312" w:eastAsia="仿宋_GB2312"/>
          <w:b/>
          <w:sz w:val="32"/>
        </w:rPr>
        <w:t>财政拨款支出总计176.17万元，</w:t>
      </w:r>
      <w:r>
        <w:rPr>
          <w:rFonts w:ascii="仿宋_GB2312" w:hAnsi="仿宋_GB2312" w:eastAsia="仿宋_GB2312"/>
          <w:b w:val="0"/>
          <w:sz w:val="32"/>
        </w:rPr>
        <w:t>其中：年末财政拨款结转和结余0.00万元，本年财政拨款支出176.17万元。</w:t>
      </w:r>
    </w:p>
    <w:p w14:paraId="227E0F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增加9.07万元，增长5.43%，主要原因是：本年组织转移就业带队干部交通生活补贴项目资金增加。</w:t>
      </w:r>
      <w:r>
        <w:rPr>
          <w:rFonts w:ascii="仿宋_GB2312" w:hAnsi="仿宋_GB2312" w:eastAsia="仿宋_GB2312"/>
          <w:b/>
          <w:sz w:val="32"/>
        </w:rPr>
        <w:t>与年初预算相比，</w:t>
      </w:r>
      <w:r>
        <w:rPr>
          <w:rFonts w:ascii="仿宋_GB2312" w:hAnsi="仿宋_GB2312" w:eastAsia="仿宋_GB2312"/>
          <w:b w:val="0"/>
          <w:sz w:val="32"/>
        </w:rPr>
        <w:t>年初预算数110.70万元，决算数176.17万元，预决算差异率59.14%，主要原因是：年中追加带队干部交通、生活补助项目，导致预决算存在差异。</w:t>
      </w:r>
    </w:p>
    <w:p w14:paraId="6C596702">
      <w:pPr>
        <w:spacing w:line="640" w:lineRule="exact"/>
        <w:ind w:firstLine="640"/>
        <w:jc w:val="both"/>
        <w:outlineLvl w:val="2"/>
      </w:pPr>
      <w:r>
        <w:rPr>
          <w:rFonts w:ascii="黑体" w:hAnsi="黑体" w:eastAsia="黑体"/>
          <w:sz w:val="32"/>
        </w:rPr>
        <w:t>五、一般公共预算财政拨款支出决算情况说明</w:t>
      </w:r>
    </w:p>
    <w:p w14:paraId="2A2F6F8A">
      <w:pPr>
        <w:spacing w:line="640" w:lineRule="exact"/>
        <w:ind w:firstLine="640"/>
        <w:jc w:val="both"/>
        <w:outlineLvl w:val="3"/>
      </w:pPr>
      <w:r>
        <w:rPr>
          <w:rFonts w:ascii="楷体_GB2312" w:hAnsi="楷体_GB2312" w:eastAsia="楷体_GB2312"/>
          <w:b/>
          <w:sz w:val="32"/>
        </w:rPr>
        <w:t>（一）一般公共预算财政拨款支出决算总体情况</w:t>
      </w:r>
    </w:p>
    <w:p w14:paraId="61FF471C">
      <w:pPr>
        <w:spacing w:line="580" w:lineRule="exact"/>
        <w:ind w:firstLine="640"/>
        <w:jc w:val="both"/>
      </w:pPr>
      <w:r>
        <w:rPr>
          <w:rFonts w:ascii="仿宋_GB2312" w:hAnsi="仿宋_GB2312" w:eastAsia="仿宋_GB2312"/>
          <w:b/>
          <w:sz w:val="32"/>
        </w:rPr>
        <w:t>2024年度一般公共预算财政拨款支出176.17万元，</w:t>
      </w:r>
      <w:r>
        <w:rPr>
          <w:rFonts w:ascii="仿宋_GB2312" w:hAnsi="仿宋_GB2312" w:eastAsia="仿宋_GB2312"/>
          <w:b w:val="0"/>
          <w:sz w:val="32"/>
        </w:rPr>
        <w:t>占本年支出合计的67.33%。</w:t>
      </w:r>
      <w:r>
        <w:rPr>
          <w:rFonts w:ascii="仿宋_GB2312" w:hAnsi="仿宋_GB2312" w:eastAsia="仿宋_GB2312"/>
          <w:b/>
          <w:sz w:val="32"/>
        </w:rPr>
        <w:t>与上年相比，</w:t>
      </w:r>
      <w:r>
        <w:rPr>
          <w:rFonts w:ascii="仿宋_GB2312" w:hAnsi="仿宋_GB2312" w:eastAsia="仿宋_GB2312"/>
          <w:b w:val="0"/>
          <w:sz w:val="32"/>
        </w:rPr>
        <w:t>增加9.07万元，增长5.43%，主要原因是：本年组织转移就业带队干部交通生活补贴项目资金增加。</w:t>
      </w:r>
      <w:r>
        <w:rPr>
          <w:rFonts w:ascii="仿宋_GB2312" w:hAnsi="仿宋_GB2312" w:eastAsia="仿宋_GB2312"/>
          <w:b/>
          <w:sz w:val="32"/>
        </w:rPr>
        <w:t>与年初预算相比,</w:t>
      </w:r>
      <w:r>
        <w:rPr>
          <w:rFonts w:ascii="仿宋_GB2312" w:hAnsi="仿宋_GB2312" w:eastAsia="仿宋_GB2312"/>
          <w:b w:val="0"/>
          <w:sz w:val="32"/>
        </w:rPr>
        <w:t>年初预算数110.70万元，决算数176.17万元，预决算差异率59.14%，主要原因是：年中追加带队干部交通、生活补助项目，导致预决算存在差异。</w:t>
      </w:r>
    </w:p>
    <w:p w14:paraId="60EA03D1">
      <w:pPr>
        <w:spacing w:line="640" w:lineRule="exact"/>
        <w:ind w:firstLine="640"/>
        <w:jc w:val="both"/>
        <w:outlineLvl w:val="3"/>
      </w:pPr>
      <w:r>
        <w:rPr>
          <w:rFonts w:ascii="楷体_GB2312" w:hAnsi="楷体_GB2312" w:eastAsia="楷体_GB2312"/>
          <w:b/>
          <w:sz w:val="32"/>
        </w:rPr>
        <w:t>（二）一般公共预算财政拨款支出决算结构情况</w:t>
      </w:r>
    </w:p>
    <w:p w14:paraId="64D1121B">
      <w:pPr>
        <w:spacing w:line="580" w:lineRule="exact"/>
        <w:ind w:firstLine="640"/>
        <w:jc w:val="both"/>
      </w:pPr>
      <w:r>
        <w:rPr>
          <w:rFonts w:ascii="仿宋_GB2312" w:hAnsi="仿宋_GB2312" w:eastAsia="仿宋_GB2312"/>
          <w:b w:val="0"/>
          <w:sz w:val="32"/>
        </w:rPr>
        <w:t>1.一般公共服务支出(类)72.24万元,占41.01%。</w:t>
      </w:r>
    </w:p>
    <w:p w14:paraId="45404784">
      <w:pPr>
        <w:spacing w:line="580" w:lineRule="exact"/>
        <w:ind w:firstLine="640"/>
        <w:jc w:val="both"/>
      </w:pPr>
      <w:r>
        <w:rPr>
          <w:rFonts w:ascii="仿宋_GB2312" w:hAnsi="仿宋_GB2312" w:eastAsia="仿宋_GB2312"/>
          <w:b w:val="0"/>
          <w:sz w:val="32"/>
        </w:rPr>
        <w:t>2.社会保障和就业支出(类)92.50万元,占52.51%。</w:t>
      </w:r>
    </w:p>
    <w:p w14:paraId="33BFA5B7">
      <w:pPr>
        <w:spacing w:line="580" w:lineRule="exact"/>
        <w:ind w:firstLine="640"/>
        <w:jc w:val="both"/>
      </w:pPr>
      <w:r>
        <w:rPr>
          <w:rFonts w:ascii="仿宋_GB2312" w:hAnsi="仿宋_GB2312" w:eastAsia="仿宋_GB2312"/>
          <w:b w:val="0"/>
          <w:sz w:val="32"/>
        </w:rPr>
        <w:t>3.卫生健康支出(类)3.93万元,占2.23%。</w:t>
      </w:r>
    </w:p>
    <w:p w14:paraId="3FD87316">
      <w:pPr>
        <w:spacing w:line="580" w:lineRule="exact"/>
        <w:ind w:firstLine="640"/>
        <w:jc w:val="both"/>
      </w:pPr>
      <w:r>
        <w:rPr>
          <w:rFonts w:ascii="仿宋_GB2312" w:hAnsi="仿宋_GB2312" w:eastAsia="仿宋_GB2312"/>
          <w:b w:val="0"/>
          <w:sz w:val="32"/>
        </w:rPr>
        <w:t>4.住房保障支出(类)7.49万元,占4.25%。</w:t>
      </w:r>
    </w:p>
    <w:p w14:paraId="3510FC5C">
      <w:pPr>
        <w:spacing w:line="640" w:lineRule="exact"/>
        <w:ind w:firstLine="640"/>
        <w:jc w:val="both"/>
        <w:outlineLvl w:val="3"/>
      </w:pPr>
      <w:r>
        <w:rPr>
          <w:rFonts w:ascii="楷体_GB2312" w:hAnsi="楷体_GB2312" w:eastAsia="楷体_GB2312"/>
          <w:b/>
          <w:sz w:val="32"/>
        </w:rPr>
        <w:t>（三）一般公共预算财政拨款支出决算具体情况</w:t>
      </w:r>
    </w:p>
    <w:p w14:paraId="533A63C4">
      <w:pPr>
        <w:spacing w:line="580" w:lineRule="exact"/>
        <w:ind w:firstLine="640"/>
        <w:jc w:val="both"/>
      </w:pPr>
      <w:r>
        <w:rPr>
          <w:rFonts w:ascii="仿宋_GB2312" w:hAnsi="仿宋_GB2312" w:eastAsia="仿宋_GB2312"/>
          <w:b w:val="0"/>
          <w:sz w:val="32"/>
        </w:rPr>
        <w:t>1.一般公共服务支出(类)组织事务(款)事业运行(项):支出决算数为72.24万元，比上年决算减少19.30万元，下降21.08%,主要原因是：本年在职人员减少，相应人员经费较上年减少。</w:t>
      </w:r>
    </w:p>
    <w:p w14:paraId="2BA87A4D">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21.70万元，下降100.00%,主要原因是：本年外出务工人员的补助资金由其他组织事务支出调整至其他就业补助支出，导致经费减少。</w:t>
      </w:r>
    </w:p>
    <w:p w14:paraId="6B261962">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3.社会保障和就业支出(类)行政事业单位养老支出(款)事业单位离退休(项):支出决算数为1.53万元，比上年决算增加1.35万元，增长750.00%,主要原因是：本年退休人员增加1人，退休费支出增加。</w:t>
      </w:r>
    </w:p>
    <w:p w14:paraId="07EA3C1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9.25万元，比上年决算减少1.12万元，下降10.80%,主要原因是：本年在职人员减少1人，单位基本养老保险缴费较上年减少。</w:t>
      </w:r>
    </w:p>
    <w:p w14:paraId="2FBC11A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5.社会保障和就业支出(类)行政事业单位养老支出(款)机关事业单位职业年金缴费支出(项):支出决算数为5.35万元，比上年决算减少0.56万元，下降9.48%,主要原因是：本年度退休人员职级较低，职业年金支出减少。</w:t>
      </w:r>
    </w:p>
    <w:p w14:paraId="265A60B6">
      <w:pPr>
        <w:spacing w:line="580" w:lineRule="exact"/>
        <w:ind w:firstLine="640"/>
        <w:jc w:val="both"/>
      </w:pPr>
      <w:r>
        <w:rPr>
          <w:rFonts w:ascii="仿宋_GB2312" w:hAnsi="仿宋_GB2312" w:eastAsia="仿宋_GB2312"/>
          <w:b w:val="0"/>
          <w:sz w:val="32"/>
        </w:rPr>
        <w:t>6.社会保障和就业支出(类)就业补助(款)其他就业补助支出(项):支出决算数为76.38万元，比上年决算增加51.62万元，增长208.48%,主要原因是：本年</w:t>
      </w:r>
      <w:r>
        <w:rPr>
          <w:rFonts w:hint="eastAsia" w:ascii="仿宋_GB2312" w:hAnsi="仿宋_GB2312" w:eastAsia="仿宋_GB2312"/>
          <w:b w:val="0"/>
          <w:sz w:val="32"/>
          <w:lang w:eastAsia="zh-CN"/>
        </w:rPr>
        <w:t>富余劳动力</w:t>
      </w:r>
      <w:r>
        <w:rPr>
          <w:rFonts w:ascii="仿宋_GB2312" w:hAnsi="仿宋_GB2312" w:eastAsia="仿宋_GB2312"/>
          <w:b w:val="0"/>
          <w:sz w:val="32"/>
        </w:rPr>
        <w:t>转移就业支出人数增加；本年外出务工人员的补助资金由其他组织事务支出调整至其他就业补助支出，导致经费增加。</w:t>
      </w:r>
    </w:p>
    <w:p w14:paraId="3B0E556D">
      <w:pPr>
        <w:spacing w:line="580" w:lineRule="exact"/>
        <w:ind w:firstLine="640"/>
        <w:jc w:val="both"/>
      </w:pPr>
      <w:r>
        <w:rPr>
          <w:rFonts w:ascii="仿宋_GB2312" w:hAnsi="仿宋_GB2312" w:eastAsia="仿宋_GB2312"/>
          <w:b w:val="0"/>
          <w:sz w:val="32"/>
        </w:rPr>
        <w:t>7.卫生健康支出(类)行政事业单位医疗(款)事业单位医疗(项):支出决算数为3.93万元，比上年决算减少0.59万元，下降13.05%,主要原因是：本年在职人员减少1人，事业单位医疗支出较上年减少。</w:t>
      </w:r>
    </w:p>
    <w:p w14:paraId="08020A79">
      <w:pPr>
        <w:spacing w:line="580" w:lineRule="exact"/>
        <w:ind w:firstLine="640"/>
        <w:jc w:val="both"/>
      </w:pPr>
      <w:r>
        <w:rPr>
          <w:rFonts w:ascii="仿宋_GB2312" w:hAnsi="仿宋_GB2312" w:eastAsia="仿宋_GB2312"/>
          <w:b w:val="0"/>
          <w:sz w:val="32"/>
        </w:rPr>
        <w:t>8.住房保障支出(类)住房改革支出(款)住房公积金(项):支出决算数为7.49万元，比上年决算减少0.63万元，下降7.76%,主要原因是：本年在职人员减少，住房公积金缴费较上年减少。</w:t>
      </w:r>
    </w:p>
    <w:p w14:paraId="33A0030A">
      <w:pPr>
        <w:spacing w:line="640" w:lineRule="exact"/>
        <w:ind w:firstLine="640"/>
        <w:jc w:val="both"/>
        <w:outlineLvl w:val="2"/>
      </w:pPr>
      <w:r>
        <w:rPr>
          <w:rFonts w:ascii="黑体" w:hAnsi="黑体" w:eastAsia="黑体"/>
          <w:sz w:val="32"/>
        </w:rPr>
        <w:t>六、一般公共预算财政拨款基本支出决算情况说明</w:t>
      </w:r>
    </w:p>
    <w:p w14:paraId="440B0A08">
      <w:pPr>
        <w:spacing w:line="580" w:lineRule="exact"/>
        <w:ind w:firstLine="640"/>
        <w:jc w:val="both"/>
      </w:pPr>
      <w:r>
        <w:rPr>
          <w:rFonts w:ascii="仿宋_GB2312" w:hAnsi="仿宋_GB2312" w:eastAsia="仿宋_GB2312"/>
          <w:b w:val="0"/>
          <w:sz w:val="32"/>
        </w:rPr>
        <w:t>2024年度一般公共预算财政拨款基本支出99.79万元，其中：</w:t>
      </w:r>
      <w:r>
        <w:rPr>
          <w:rFonts w:ascii="仿宋_GB2312" w:hAnsi="仿宋_GB2312" w:eastAsia="仿宋_GB2312"/>
          <w:b/>
          <w:sz w:val="32"/>
        </w:rPr>
        <w:t>人员经费98.03万元，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3DFADA7C">
      <w:pPr>
        <w:spacing w:line="580" w:lineRule="exact"/>
        <w:ind w:firstLine="640"/>
        <w:jc w:val="both"/>
      </w:pPr>
      <w:r>
        <w:rPr>
          <w:rFonts w:ascii="仿宋_GB2312" w:hAnsi="仿宋_GB2312" w:eastAsia="仿宋_GB2312"/>
          <w:b/>
          <w:sz w:val="32"/>
        </w:rPr>
        <w:t>公用经费1.76万元，</w:t>
      </w:r>
      <w:r>
        <w:rPr>
          <w:rFonts w:ascii="仿宋_GB2312" w:hAnsi="仿宋_GB2312" w:eastAsia="仿宋_GB2312"/>
          <w:b w:val="0"/>
          <w:sz w:val="32"/>
        </w:rPr>
        <w:t>包括：办公费、水费、电费、邮电费。</w:t>
      </w:r>
    </w:p>
    <w:p w14:paraId="78715925">
      <w:pPr>
        <w:spacing w:line="640" w:lineRule="exact"/>
        <w:ind w:firstLine="640"/>
        <w:jc w:val="both"/>
        <w:outlineLvl w:val="2"/>
      </w:pPr>
      <w:r>
        <w:rPr>
          <w:rFonts w:ascii="黑体" w:hAnsi="黑体" w:eastAsia="黑体"/>
          <w:sz w:val="32"/>
        </w:rPr>
        <w:t>七、政府性基金预算财政拨款收入支出决算情况说明</w:t>
      </w:r>
    </w:p>
    <w:p w14:paraId="7485275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1E0B03">
      <w:pPr>
        <w:spacing w:line="640" w:lineRule="exact"/>
        <w:ind w:firstLine="640"/>
        <w:jc w:val="both"/>
        <w:outlineLvl w:val="2"/>
      </w:pPr>
      <w:r>
        <w:rPr>
          <w:rFonts w:ascii="黑体" w:hAnsi="黑体" w:eastAsia="黑体"/>
          <w:sz w:val="32"/>
        </w:rPr>
        <w:t>八、国有资本经营预算财政拨款收入支出决算情况说明</w:t>
      </w:r>
    </w:p>
    <w:p w14:paraId="117DB9F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DEC0FC">
      <w:pPr>
        <w:spacing w:line="640" w:lineRule="exact"/>
        <w:ind w:firstLine="640"/>
        <w:jc w:val="both"/>
        <w:outlineLvl w:val="2"/>
      </w:pPr>
      <w:r>
        <w:rPr>
          <w:rFonts w:ascii="黑体" w:hAnsi="黑体" w:eastAsia="黑体"/>
          <w:sz w:val="32"/>
        </w:rPr>
        <w:t>九、财政拨款“三公”经费支出决算情况说明</w:t>
      </w:r>
    </w:p>
    <w:p w14:paraId="5199053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9D5C280">
      <w:pPr>
        <w:spacing w:line="580" w:lineRule="exact"/>
        <w:ind w:firstLine="640"/>
        <w:jc w:val="both"/>
      </w:pPr>
      <w:r>
        <w:rPr>
          <w:rFonts w:ascii="仿宋_GB2312" w:hAnsi="仿宋_GB2312" w:eastAsia="仿宋_GB2312"/>
          <w:b/>
          <w:sz w:val="32"/>
        </w:rPr>
        <w:t>具体情况如下：</w:t>
      </w:r>
    </w:p>
    <w:p w14:paraId="42BC26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9792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177341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24B5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210FD2">
      <w:pPr>
        <w:spacing w:line="640" w:lineRule="exact"/>
        <w:ind w:firstLine="640"/>
        <w:jc w:val="both"/>
        <w:outlineLvl w:val="2"/>
      </w:pPr>
      <w:r>
        <w:rPr>
          <w:rFonts w:ascii="黑体" w:hAnsi="黑体" w:eastAsia="黑体"/>
          <w:sz w:val="32"/>
        </w:rPr>
        <w:t>十、其他重要事项的情况说明</w:t>
      </w:r>
    </w:p>
    <w:p w14:paraId="08F8123E">
      <w:pPr>
        <w:spacing w:line="640" w:lineRule="exact"/>
        <w:ind w:firstLine="640"/>
        <w:jc w:val="both"/>
        <w:outlineLvl w:val="3"/>
      </w:pPr>
      <w:r>
        <w:rPr>
          <w:rFonts w:ascii="楷体_GB2312" w:hAnsi="楷体_GB2312" w:eastAsia="楷体_GB2312"/>
          <w:b/>
          <w:sz w:val="32"/>
        </w:rPr>
        <w:t>（一）机关运行经费及公用经费支出情况</w:t>
      </w:r>
    </w:p>
    <w:p w14:paraId="39F98601">
      <w:pPr>
        <w:spacing w:line="580" w:lineRule="exact"/>
        <w:ind w:firstLine="640"/>
        <w:jc w:val="both"/>
      </w:pPr>
      <w:r>
        <w:rPr>
          <w:rFonts w:ascii="仿宋_GB2312" w:hAnsi="仿宋_GB2312" w:eastAsia="仿宋_GB2312"/>
          <w:b w:val="0"/>
          <w:sz w:val="32"/>
        </w:rPr>
        <w:t>2024年度岳普湖县劳务输出服务站（事业单位）公用经费支出1.76万元，比上年减少0.11万元，下降5.88%，主要原因是：严格控制公用经费，合理节约办公用品，减少不必要开支。</w:t>
      </w:r>
    </w:p>
    <w:p w14:paraId="608BC004">
      <w:pPr>
        <w:spacing w:line="640" w:lineRule="exact"/>
        <w:ind w:firstLine="640"/>
        <w:jc w:val="both"/>
        <w:outlineLvl w:val="3"/>
      </w:pPr>
      <w:r>
        <w:rPr>
          <w:rFonts w:ascii="楷体_GB2312" w:hAnsi="楷体_GB2312" w:eastAsia="楷体_GB2312"/>
          <w:b/>
          <w:sz w:val="32"/>
        </w:rPr>
        <w:t>（二）政府采购情况</w:t>
      </w:r>
    </w:p>
    <w:p w14:paraId="3A5FAC4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F017F4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F3D4CE6">
      <w:pPr>
        <w:spacing w:line="640" w:lineRule="exact"/>
        <w:ind w:firstLine="640"/>
        <w:jc w:val="both"/>
        <w:outlineLvl w:val="3"/>
      </w:pPr>
      <w:r>
        <w:rPr>
          <w:rFonts w:ascii="楷体_GB2312" w:hAnsi="楷体_GB2312" w:eastAsia="楷体_GB2312"/>
          <w:b/>
          <w:sz w:val="32"/>
        </w:rPr>
        <w:t>（三）国有资产占用情况说明</w:t>
      </w:r>
    </w:p>
    <w:p w14:paraId="15B27DB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087B03C">
      <w:pPr>
        <w:spacing w:line="640" w:lineRule="exact"/>
        <w:ind w:firstLine="640"/>
        <w:jc w:val="both"/>
        <w:outlineLvl w:val="2"/>
      </w:pPr>
      <w:r>
        <w:rPr>
          <w:rFonts w:ascii="黑体" w:hAnsi="黑体" w:eastAsia="黑体"/>
          <w:sz w:val="32"/>
        </w:rPr>
        <w:t>十一、预算绩效的情况说明</w:t>
      </w:r>
    </w:p>
    <w:p w14:paraId="153F4FF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261.64万元，实际执行总额261.64万元；预算绩效评价项目3个，全年预算数111.68万元，全年执行数111.68万元。预算绩效管理取得的成效：一是单位领导重视。单位领导高度重视，分管领导具体负责，专门成立项目绩效评价工作组，负责项目工作的指挥、协调，明确工作职责。充分发挥其职能作用。二是加强本项目与相关政策的协调配合。要与其他就业、衔接资金等政策的协调配合，形成政策合力，共同促进受益人群的稳定就业和脱贫致富。发现的问题及原因：一是监管机制不完善：监管机制不健全，监督手段有待继续提高。二是提高相关人员素质：带队干部的组织能力及专业能力尚有不足。外出劳务人员的基础综合素质参差不齐。下一步改进措施：一是健全监管机制：建立健全补贴发放监管机制，明确监管责任和措施，确保补贴发放的合规性和有效性。定期开展补贴发放监督检查工作，对发现的问题及时整改和处理，严肃查处违规行为。二是加强人员的基础综合素质：对外出的劳务人员组织相关培训和指导，提高业务能力及相关技能。加强带队干部的培训和教育，提升组织能力和专业技能。具体附整体支出绩效自评表，项目支出绩效自评表和评价报告。</w:t>
      </w:r>
    </w:p>
    <w:p w14:paraId="73A2AA8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F6D554">
        <w:tblPrEx>
          <w:tblCellMar>
            <w:top w:w="0" w:type="dxa"/>
            <w:left w:w="108" w:type="dxa"/>
            <w:bottom w:w="0" w:type="dxa"/>
            <w:right w:w="108" w:type="dxa"/>
          </w:tblCellMar>
        </w:tblPrEx>
        <w:tc>
          <w:tcPr>
            <w:tcW w:w="8847" w:type="dxa"/>
            <w:gridSpan w:val="9"/>
            <w:vAlign w:val="center"/>
          </w:tcPr>
          <w:p w14:paraId="0BF9E595">
            <w:pPr>
              <w:jc w:val="center"/>
            </w:pPr>
            <w:r>
              <w:rPr>
                <w:rFonts w:ascii="宋体" w:hAnsi="宋体" w:eastAsia="宋体"/>
                <w:sz w:val="24"/>
              </w:rPr>
              <w:t>单位整体支出绩效自评表</w:t>
            </w:r>
          </w:p>
        </w:tc>
      </w:tr>
      <w:tr w14:paraId="06EC485E">
        <w:tblPrEx>
          <w:tblCellMar>
            <w:top w:w="0" w:type="dxa"/>
            <w:left w:w="108" w:type="dxa"/>
            <w:bottom w:w="0" w:type="dxa"/>
            <w:right w:w="108" w:type="dxa"/>
          </w:tblCellMar>
        </w:tblPrEx>
        <w:tc>
          <w:tcPr>
            <w:tcW w:w="8847" w:type="dxa"/>
            <w:gridSpan w:val="9"/>
            <w:vAlign w:val="center"/>
          </w:tcPr>
          <w:p w14:paraId="6E2CF38C">
            <w:pPr>
              <w:jc w:val="center"/>
            </w:pPr>
            <w:r>
              <w:rPr>
                <w:rFonts w:ascii="宋体" w:hAnsi="宋体" w:eastAsia="宋体"/>
                <w:sz w:val="24"/>
              </w:rPr>
              <w:t>（2024年度）</w:t>
            </w:r>
          </w:p>
        </w:tc>
      </w:tr>
      <w:tr w14:paraId="48E306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BA7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2C5D85">
            <w:pPr>
              <w:jc w:val="center"/>
            </w:pPr>
            <w:r>
              <w:rPr>
                <w:rFonts w:ascii="宋体" w:hAnsi="宋体" w:eastAsia="宋体"/>
                <w:sz w:val="16"/>
              </w:rPr>
              <w:t>岳普湖县劳务输出服务站</w:t>
            </w:r>
          </w:p>
        </w:tc>
      </w:tr>
      <w:tr w14:paraId="58486A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B08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086C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688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4D41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A64D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0A2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0D5C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86C8">
            <w:pPr>
              <w:jc w:val="center"/>
            </w:pPr>
            <w:r>
              <w:rPr>
                <w:rFonts w:ascii="宋体" w:hAnsi="宋体" w:eastAsia="宋体"/>
                <w:sz w:val="16"/>
              </w:rPr>
              <w:t>得分</w:t>
            </w:r>
          </w:p>
        </w:tc>
      </w:tr>
      <w:tr w14:paraId="3F74EF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704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6870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F20A7">
            <w:pPr>
              <w:jc w:val="center"/>
            </w:pPr>
            <w:r>
              <w:rPr>
                <w:rFonts w:ascii="宋体" w:hAnsi="宋体" w:eastAsia="宋体"/>
                <w:sz w:val="16"/>
              </w:rPr>
              <w:t>110.70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747FD">
            <w:pPr>
              <w:jc w:val="center"/>
            </w:pPr>
            <w:r>
              <w:rPr>
                <w:rFonts w:ascii="宋体" w:hAnsi="宋体" w:eastAsia="宋体"/>
                <w:sz w:val="16"/>
              </w:rPr>
              <w:t>261.64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BD028">
            <w:pPr>
              <w:jc w:val="center"/>
            </w:pPr>
            <w:r>
              <w:rPr>
                <w:rFonts w:ascii="宋体" w:hAnsi="宋体" w:eastAsia="宋体"/>
                <w:sz w:val="16"/>
              </w:rPr>
              <w:t>261.64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7D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2F7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8634">
            <w:pPr>
              <w:jc w:val="center"/>
            </w:pPr>
            <w:r>
              <w:rPr>
                <w:rFonts w:ascii="宋体" w:hAnsi="宋体" w:eastAsia="宋体"/>
                <w:sz w:val="16"/>
              </w:rPr>
              <w:t>10</w:t>
            </w:r>
          </w:p>
        </w:tc>
      </w:tr>
      <w:tr w14:paraId="590DD8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17D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CCA5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41B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4C00">
            <w:pPr>
              <w:jc w:val="center"/>
            </w:pPr>
            <w:r>
              <w:rPr>
                <w:rFonts w:ascii="宋体" w:hAnsi="宋体" w:eastAsia="宋体"/>
                <w:sz w:val="16"/>
              </w:rPr>
              <w:t>39.50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81CF6">
            <w:pPr>
              <w:jc w:val="center"/>
            </w:pPr>
            <w:r>
              <w:rPr>
                <w:rFonts w:ascii="宋体" w:hAnsi="宋体" w:eastAsia="宋体"/>
                <w:sz w:val="16"/>
              </w:rPr>
              <w:t>39.50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CA5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229A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EE4E2">
            <w:pPr>
              <w:jc w:val="center"/>
            </w:pPr>
            <w:r>
              <w:rPr>
                <w:rFonts w:ascii="宋体" w:hAnsi="宋体" w:eastAsia="宋体"/>
                <w:sz w:val="16"/>
              </w:rPr>
              <w:t>—</w:t>
            </w:r>
          </w:p>
        </w:tc>
      </w:tr>
      <w:tr w14:paraId="0BF51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7475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52A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59AD5">
            <w:pPr>
              <w:jc w:val="center"/>
            </w:pPr>
            <w:r>
              <w:rPr>
                <w:rFonts w:ascii="宋体" w:hAnsi="宋体" w:eastAsia="宋体"/>
                <w:sz w:val="16"/>
              </w:rPr>
              <w:t>110.70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5F1EC">
            <w:pPr>
              <w:jc w:val="center"/>
            </w:pPr>
            <w:r>
              <w:rPr>
                <w:rFonts w:ascii="宋体" w:hAnsi="宋体" w:eastAsia="宋体"/>
                <w:sz w:val="16"/>
              </w:rPr>
              <w:t>210.56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813FC">
            <w:pPr>
              <w:jc w:val="center"/>
            </w:pPr>
            <w:r>
              <w:rPr>
                <w:rFonts w:ascii="宋体" w:hAnsi="宋体" w:eastAsia="宋体"/>
                <w:sz w:val="16"/>
              </w:rPr>
              <w:t>210.56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DA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28F6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C2FB">
            <w:pPr>
              <w:jc w:val="center"/>
            </w:pPr>
            <w:r>
              <w:rPr>
                <w:rFonts w:ascii="宋体" w:hAnsi="宋体" w:eastAsia="宋体"/>
                <w:sz w:val="16"/>
              </w:rPr>
              <w:t>—</w:t>
            </w:r>
          </w:p>
        </w:tc>
      </w:tr>
      <w:tr w14:paraId="2F2A84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68D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33A7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9E0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7B566">
            <w:pPr>
              <w:jc w:val="center"/>
            </w:pPr>
            <w:r>
              <w:rPr>
                <w:rFonts w:ascii="宋体" w:hAnsi="宋体" w:eastAsia="宋体"/>
                <w:sz w:val="16"/>
              </w:rPr>
              <w:t>11.58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1ED86">
            <w:pPr>
              <w:jc w:val="center"/>
            </w:pPr>
            <w:r>
              <w:rPr>
                <w:rFonts w:ascii="宋体" w:hAnsi="宋体" w:eastAsia="宋体"/>
                <w:sz w:val="16"/>
              </w:rPr>
              <w:t>11.58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E09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99C8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C90D3">
            <w:pPr>
              <w:jc w:val="center"/>
            </w:pPr>
            <w:r>
              <w:rPr>
                <w:rFonts w:ascii="宋体" w:hAnsi="宋体" w:eastAsia="宋体"/>
                <w:sz w:val="16"/>
              </w:rPr>
              <w:t>—</w:t>
            </w:r>
          </w:p>
        </w:tc>
      </w:tr>
      <w:tr w14:paraId="33F8DA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357E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405C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C768E4">
            <w:pPr>
              <w:jc w:val="center"/>
            </w:pPr>
            <w:r>
              <w:rPr>
                <w:rFonts w:ascii="宋体" w:hAnsi="宋体" w:eastAsia="宋体"/>
                <w:sz w:val="16"/>
              </w:rPr>
              <w:t>实际完成情况</w:t>
            </w:r>
          </w:p>
        </w:tc>
      </w:tr>
      <w:tr w14:paraId="0A1A5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A106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C08AC0">
            <w:pPr>
              <w:jc w:val="both"/>
            </w:pPr>
            <w:r>
              <w:rPr>
                <w:rFonts w:ascii="宋体" w:hAnsi="宋体" w:eastAsia="宋体"/>
                <w:sz w:val="16"/>
              </w:rPr>
              <w:t>保障15名有组织转移就业带队干部交通费及生活补贴的按期发放。有效解决富余劳动力输出就业；加强务工人员基础素质培训工作；持续加强就业人员的跟踪和管理，掌握其工作生活情况。</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50ED1">
            <w:pPr>
              <w:jc w:val="both"/>
            </w:pPr>
            <w:r>
              <w:rPr>
                <w:rFonts w:ascii="宋体" w:hAnsi="宋体" w:eastAsia="宋体"/>
                <w:sz w:val="16"/>
              </w:rPr>
              <w:t>顺利完成对15名负责组织转移就业的带队干部的交通费以及生活补贴的按期发放工作。有效解决富余劳动力的输出就业问题；同时，充分发挥单位的履职效能，加强对务工人员的基础素质培训工作，确保外出务工人员具备必要的工作技能和职业素养。此外，持续加强对就业人员的跟踪和管理，确保能够及时掌握外出务工人员的工作和生活情况，以便更好地提供支持和服务。</w:t>
            </w:r>
          </w:p>
        </w:tc>
      </w:tr>
      <w:tr w14:paraId="220D80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0170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292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40F0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EC7D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1BC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B46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B3E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ED66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7D1C8">
            <w:pPr>
              <w:jc w:val="center"/>
            </w:pPr>
            <w:r>
              <w:rPr>
                <w:rFonts w:ascii="宋体" w:hAnsi="宋体" w:eastAsia="宋体"/>
                <w:sz w:val="16"/>
              </w:rPr>
              <w:t>得分</w:t>
            </w:r>
          </w:p>
        </w:tc>
      </w:tr>
      <w:tr w14:paraId="2195C7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2785A">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B3F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57A3C">
            <w:pPr>
              <w:jc w:val="center"/>
            </w:pPr>
            <w:r>
              <w:rPr>
                <w:rFonts w:ascii="宋体" w:hAnsi="宋体" w:eastAsia="宋体"/>
                <w:sz w:val="16"/>
              </w:rPr>
              <w:t>转移就业带队干部人数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D279C">
            <w:pPr>
              <w:jc w:val="center"/>
            </w:pPr>
            <w:r>
              <w:rPr>
                <w:rFonts w:ascii="宋体" w:hAnsi="宋体" w:eastAsia="宋体"/>
                <w:sz w:val="16"/>
              </w:rPr>
              <w:t>&gt;=15人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513C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617D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3F649">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FAF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B0374">
            <w:pPr>
              <w:jc w:val="center"/>
            </w:pPr>
            <w:r>
              <w:rPr>
                <w:rFonts w:ascii="宋体" w:hAnsi="宋体" w:eastAsia="宋体"/>
                <w:sz w:val="16"/>
              </w:rPr>
              <w:t>18</w:t>
            </w:r>
          </w:p>
        </w:tc>
      </w:tr>
      <w:tr w14:paraId="05F6CF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B9E4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F3AE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921F0">
            <w:pPr>
              <w:jc w:val="center"/>
            </w:pPr>
            <w:r>
              <w:rPr>
                <w:rFonts w:ascii="宋体" w:hAnsi="宋体" w:eastAsia="宋体"/>
                <w:sz w:val="16"/>
              </w:rPr>
              <w:t>转移就业带队干部服务保障率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8F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62A5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C0E8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7BF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619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05FFA">
            <w:pPr>
              <w:jc w:val="center"/>
            </w:pPr>
            <w:r>
              <w:rPr>
                <w:rFonts w:ascii="宋体" w:hAnsi="宋体" w:eastAsia="宋体"/>
                <w:sz w:val="16"/>
              </w:rPr>
              <w:t>18</w:t>
            </w:r>
          </w:p>
        </w:tc>
      </w:tr>
      <w:tr w14:paraId="0F8DEC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20E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22D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CFD84">
            <w:pPr>
              <w:jc w:val="center"/>
            </w:pPr>
            <w:r>
              <w:rPr>
                <w:rFonts w:ascii="宋体" w:hAnsi="宋体" w:eastAsia="宋体"/>
                <w:sz w:val="16"/>
              </w:rPr>
              <w:t>富余劳动力就业按期输出保障率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560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366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506C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D9A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3DE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8885">
            <w:pPr>
              <w:jc w:val="center"/>
            </w:pPr>
            <w:r>
              <w:rPr>
                <w:rFonts w:ascii="宋体" w:hAnsi="宋体" w:eastAsia="宋体"/>
                <w:sz w:val="16"/>
              </w:rPr>
              <w:t>18</w:t>
            </w:r>
          </w:p>
        </w:tc>
      </w:tr>
      <w:tr w14:paraId="007422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CF0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25A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03253">
            <w:pPr>
              <w:jc w:val="center"/>
            </w:pPr>
            <w:r>
              <w:rPr>
                <w:rFonts w:ascii="宋体" w:hAnsi="宋体" w:eastAsia="宋体"/>
                <w:sz w:val="16"/>
              </w:rPr>
              <w:t>就业政策宣传普及率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82F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436A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6EC8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55A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321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F0C85">
            <w:pPr>
              <w:jc w:val="center"/>
            </w:pPr>
            <w:r>
              <w:rPr>
                <w:rFonts w:ascii="宋体" w:hAnsi="宋体" w:eastAsia="宋体"/>
                <w:sz w:val="16"/>
              </w:rPr>
              <w:t>18</w:t>
            </w:r>
          </w:p>
        </w:tc>
      </w:tr>
      <w:tr w14:paraId="566F0F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073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F65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A7CE0">
            <w:pPr>
              <w:jc w:val="center"/>
            </w:pPr>
            <w:r>
              <w:rPr>
                <w:rFonts w:ascii="宋体" w:hAnsi="宋体" w:eastAsia="宋体"/>
                <w:sz w:val="16"/>
              </w:rPr>
              <w:t>务工人员基础素质培训完成率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29A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631D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2B0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18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FA1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A731">
            <w:pPr>
              <w:jc w:val="center"/>
            </w:pPr>
            <w:r>
              <w:rPr>
                <w:rFonts w:ascii="宋体" w:hAnsi="宋体" w:eastAsia="宋体"/>
                <w:sz w:val="16"/>
              </w:rPr>
              <w:t>18</w:t>
            </w:r>
          </w:p>
        </w:tc>
      </w:tr>
    </w:tbl>
    <w:p w14:paraId="61F993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26F3969">
        <w:tblPrEx>
          <w:tblCellMar>
            <w:top w:w="0" w:type="dxa"/>
            <w:left w:w="108" w:type="dxa"/>
            <w:bottom w:w="0" w:type="dxa"/>
            <w:right w:w="108" w:type="dxa"/>
          </w:tblCellMar>
        </w:tblPrEx>
        <w:tc>
          <w:tcPr>
            <w:tcW w:w="8848" w:type="dxa"/>
            <w:gridSpan w:val="14"/>
            <w:vAlign w:val="center"/>
          </w:tcPr>
          <w:p w14:paraId="4F267AF4">
            <w:pPr>
              <w:jc w:val="center"/>
            </w:pPr>
            <w:r>
              <w:rPr>
                <w:rFonts w:ascii="宋体" w:hAnsi="宋体" w:eastAsia="宋体"/>
                <w:sz w:val="24"/>
              </w:rPr>
              <w:t>项目支出绩效自评表</w:t>
            </w:r>
          </w:p>
        </w:tc>
      </w:tr>
      <w:tr w14:paraId="079B8AF9">
        <w:tblPrEx>
          <w:tblCellMar>
            <w:top w:w="0" w:type="dxa"/>
            <w:left w:w="108" w:type="dxa"/>
            <w:bottom w:w="0" w:type="dxa"/>
            <w:right w:w="108" w:type="dxa"/>
          </w:tblCellMar>
        </w:tblPrEx>
        <w:tc>
          <w:tcPr>
            <w:tcW w:w="8848" w:type="dxa"/>
            <w:gridSpan w:val="14"/>
            <w:vAlign w:val="center"/>
          </w:tcPr>
          <w:p w14:paraId="10BABF9C">
            <w:pPr>
              <w:jc w:val="center"/>
            </w:pPr>
            <w:r>
              <w:rPr>
                <w:rFonts w:ascii="宋体" w:hAnsi="宋体" w:eastAsia="宋体"/>
                <w:sz w:val="24"/>
              </w:rPr>
              <w:t>(2024年度)</w:t>
            </w:r>
          </w:p>
        </w:tc>
      </w:tr>
      <w:tr w14:paraId="47A376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D2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BD95E8">
            <w:pPr>
              <w:jc w:val="center"/>
            </w:pPr>
            <w:r>
              <w:rPr>
                <w:rFonts w:ascii="宋体" w:hAnsi="宋体" w:eastAsia="宋体"/>
                <w:sz w:val="16"/>
              </w:rPr>
              <w:t>偿还前期欠款项目</w:t>
            </w:r>
          </w:p>
        </w:tc>
      </w:tr>
      <w:tr w14:paraId="21B300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9E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AC73E">
            <w:pPr>
              <w:jc w:val="center"/>
            </w:pPr>
            <w:r>
              <w:rPr>
                <w:rFonts w:ascii="宋体" w:hAnsi="宋体" w:eastAsia="宋体"/>
                <w:sz w:val="16"/>
              </w:rPr>
              <w:t>岳普湖县劳务输出服务站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42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1DB413">
            <w:pPr>
              <w:jc w:val="center"/>
            </w:pPr>
            <w:r>
              <w:rPr>
                <w:rFonts w:ascii="宋体" w:hAnsi="宋体" w:eastAsia="宋体"/>
                <w:sz w:val="16"/>
              </w:rPr>
              <w:t>岳普湖县劳务输出服务站</w:t>
            </w:r>
          </w:p>
        </w:tc>
      </w:tr>
      <w:tr w14:paraId="7E9BA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DDA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474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DF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60D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7FA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F6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04C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B4DA">
            <w:pPr>
              <w:jc w:val="center"/>
            </w:pPr>
            <w:r>
              <w:rPr>
                <w:rFonts w:ascii="宋体" w:hAnsi="宋体" w:eastAsia="宋体"/>
                <w:sz w:val="16"/>
              </w:rPr>
              <w:t>得分</w:t>
            </w:r>
          </w:p>
        </w:tc>
      </w:tr>
      <w:tr w14:paraId="2DF13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361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18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5D6F">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A4F5D">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5CC3">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06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27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6D27">
            <w:pPr>
              <w:jc w:val="center"/>
            </w:pPr>
            <w:r>
              <w:rPr>
                <w:rFonts w:ascii="宋体" w:hAnsi="宋体" w:eastAsia="宋体"/>
                <w:sz w:val="16"/>
              </w:rPr>
              <w:t>10.00分</w:t>
            </w:r>
          </w:p>
        </w:tc>
      </w:tr>
      <w:tr w14:paraId="31236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0B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169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BAC4F">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E460B">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072CE">
            <w:pPr>
              <w:jc w:val="center"/>
            </w:pPr>
            <w:r>
              <w:rPr>
                <w:rFonts w:ascii="宋体" w:hAnsi="宋体" w:eastAsia="宋体"/>
                <w:sz w:val="16"/>
              </w:rPr>
              <w:t>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514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C3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6270">
            <w:pPr>
              <w:jc w:val="center"/>
            </w:pPr>
            <w:r>
              <w:rPr>
                <w:rFonts w:ascii="宋体" w:hAnsi="宋体" w:eastAsia="宋体"/>
                <w:sz w:val="16"/>
              </w:rPr>
              <w:t>—</w:t>
            </w:r>
          </w:p>
        </w:tc>
      </w:tr>
      <w:tr w14:paraId="27FF4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845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07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48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C0E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C4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B02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9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6107">
            <w:pPr>
              <w:jc w:val="center"/>
            </w:pPr>
            <w:r>
              <w:rPr>
                <w:rFonts w:ascii="宋体" w:hAnsi="宋体" w:eastAsia="宋体"/>
                <w:sz w:val="16"/>
              </w:rPr>
              <w:t>—</w:t>
            </w:r>
          </w:p>
        </w:tc>
      </w:tr>
      <w:tr w14:paraId="279A0F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EEE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2E2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8EB1F0">
            <w:pPr>
              <w:jc w:val="center"/>
            </w:pPr>
            <w:r>
              <w:rPr>
                <w:rFonts w:ascii="宋体" w:hAnsi="宋体" w:eastAsia="宋体"/>
                <w:sz w:val="16"/>
              </w:rPr>
              <w:t>实际完成情况</w:t>
            </w:r>
          </w:p>
        </w:tc>
      </w:tr>
      <w:tr w14:paraId="1B479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455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7BB8D">
            <w:pPr>
              <w:jc w:val="both"/>
            </w:pPr>
            <w:r>
              <w:rPr>
                <w:rFonts w:ascii="宋体" w:hAnsi="宋体" w:eastAsia="宋体"/>
                <w:sz w:val="16"/>
              </w:rPr>
              <w:t>项目主要用于偿还前期欠款项目1个，确保项目款项按期及时支付，提高政府部门的履约和服务能力，增强政府公信力。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FF98A5">
            <w:pPr>
              <w:jc w:val="both"/>
            </w:pPr>
            <w:r>
              <w:rPr>
                <w:rFonts w:ascii="宋体" w:hAnsi="宋体" w:eastAsia="宋体"/>
                <w:sz w:val="16"/>
              </w:rPr>
              <w:t>现阶段已完成1个前期欠款项目的支付，预算执行率为100%。项目的实施有效提高政府部门的履约和服务能力，增强政府公信力。</w:t>
            </w:r>
          </w:p>
        </w:tc>
      </w:tr>
      <w:tr w14:paraId="76B1A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D0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E9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2B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2A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E8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06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9E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97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88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E2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77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4D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D92F">
            <w:pPr>
              <w:jc w:val="center"/>
            </w:pPr>
            <w:r>
              <w:rPr>
                <w:rFonts w:ascii="宋体" w:hAnsi="宋体" w:eastAsia="宋体"/>
                <w:sz w:val="16"/>
              </w:rPr>
              <w:t>偏差原因分析及改进措施</w:t>
            </w:r>
          </w:p>
        </w:tc>
      </w:tr>
      <w:tr w14:paraId="1F6914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9FF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A59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13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8A9B">
            <w:pPr>
              <w:jc w:val="center"/>
            </w:pPr>
            <w:r>
              <w:rPr>
                <w:rFonts w:ascii="宋体" w:hAnsi="宋体" w:eastAsia="宋体"/>
                <w:sz w:val="16"/>
              </w:rPr>
              <w:t>偿还前期欠款项目数量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621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2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3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19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D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13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71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AD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D3CC">
            <w:pPr>
              <w:jc w:val="center"/>
            </w:pPr>
          </w:p>
        </w:tc>
      </w:tr>
      <w:tr w14:paraId="66FE0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DD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F4B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3B6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27B3">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D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4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BF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52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9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04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2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BB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16485">
            <w:pPr>
              <w:jc w:val="center"/>
            </w:pPr>
          </w:p>
        </w:tc>
      </w:tr>
      <w:tr w14:paraId="7511F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C8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710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DD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0B1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91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7B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DE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27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E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5D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1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E4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B21C0">
            <w:pPr>
              <w:jc w:val="center"/>
            </w:pPr>
          </w:p>
        </w:tc>
      </w:tr>
      <w:tr w14:paraId="09FD2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58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2AA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D1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61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8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1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8D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01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8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EF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A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40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28F1">
            <w:pPr>
              <w:jc w:val="center"/>
            </w:pPr>
          </w:p>
        </w:tc>
      </w:tr>
      <w:tr w14:paraId="75373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A4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DD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E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2D1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272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8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15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53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9D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72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4CBE">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5E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11C2">
            <w:pPr>
              <w:jc w:val="center"/>
            </w:pPr>
          </w:p>
        </w:tc>
      </w:tr>
      <w:tr w14:paraId="5220F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37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30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1D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D89A">
            <w:pPr>
              <w:jc w:val="center"/>
            </w:pPr>
            <w:r>
              <w:rPr>
                <w:rFonts w:ascii="宋体" w:hAnsi="宋体" w:eastAsia="宋体"/>
                <w:sz w:val="16"/>
              </w:rPr>
              <w:t>欠款项目预算控制数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202A">
            <w:pPr>
              <w:jc w:val="center"/>
            </w:pPr>
            <w:r>
              <w:rPr>
                <w:rFonts w:ascii="宋体" w:hAnsi="宋体" w:eastAsia="宋体"/>
                <w:sz w:val="16"/>
              </w:rPr>
              <w:t>&lt;=3.17万元/个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4E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B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ED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7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52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D548">
            <w:pPr>
              <w:jc w:val="center"/>
            </w:pPr>
            <w:r>
              <w:rPr>
                <w:rFonts w:ascii="宋体" w:hAnsi="宋体" w:eastAsia="宋体"/>
                <w:sz w:val="16"/>
              </w:rPr>
              <w:t>=3.17万元/个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C4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7F318">
            <w:pPr>
              <w:jc w:val="center"/>
            </w:pPr>
          </w:p>
        </w:tc>
      </w:tr>
      <w:tr w14:paraId="682C2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5CC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FD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4C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FD08">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50F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3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88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AAB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0F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53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03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563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F9804">
            <w:pPr>
              <w:jc w:val="center"/>
            </w:pPr>
          </w:p>
        </w:tc>
      </w:tr>
      <w:tr w14:paraId="618732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FED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96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12A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F6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6EF7C0"/>
        </w:tc>
      </w:tr>
    </w:tbl>
    <w:p w14:paraId="6A96FBA9">
      <w:r>
        <w:br w:type="page"/>
      </w:r>
    </w:p>
    <w:tbl>
      <w:tblPr>
        <w:tblStyle w:val="9"/>
        <w:tblW w:w="9204" w:type="dxa"/>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3"/>
        <w:gridCol w:w="565"/>
        <w:gridCol w:w="631"/>
        <w:gridCol w:w="144"/>
      </w:tblGrid>
      <w:tr w14:paraId="58E3A8D6">
        <w:tblPrEx>
          <w:tblCellMar>
            <w:top w:w="0" w:type="dxa"/>
            <w:left w:w="108" w:type="dxa"/>
            <w:bottom w:w="0" w:type="dxa"/>
            <w:right w:w="108" w:type="dxa"/>
          </w:tblCellMar>
        </w:tblPrEx>
        <w:trPr>
          <w:gridAfter w:val="1"/>
          <w:wAfter w:w="144" w:type="dxa"/>
        </w:trPr>
        <w:tc>
          <w:tcPr>
            <w:tcW w:w="9060" w:type="dxa"/>
            <w:gridSpan w:val="14"/>
            <w:vAlign w:val="center"/>
          </w:tcPr>
          <w:p w14:paraId="030C9397">
            <w:pPr>
              <w:jc w:val="center"/>
            </w:pPr>
            <w:r>
              <w:rPr>
                <w:rFonts w:ascii="宋体" w:hAnsi="宋体" w:eastAsia="宋体"/>
                <w:sz w:val="24"/>
              </w:rPr>
              <w:t>项目支出绩效自评表</w:t>
            </w:r>
          </w:p>
        </w:tc>
      </w:tr>
      <w:tr w14:paraId="054A5210">
        <w:tblPrEx>
          <w:tblCellMar>
            <w:top w:w="0" w:type="dxa"/>
            <w:left w:w="108" w:type="dxa"/>
            <w:bottom w:w="0" w:type="dxa"/>
            <w:right w:w="108" w:type="dxa"/>
          </w:tblCellMar>
        </w:tblPrEx>
        <w:trPr>
          <w:gridAfter w:val="1"/>
          <w:wAfter w:w="144" w:type="dxa"/>
        </w:trPr>
        <w:tc>
          <w:tcPr>
            <w:tcW w:w="9060" w:type="dxa"/>
            <w:gridSpan w:val="14"/>
            <w:vAlign w:val="center"/>
          </w:tcPr>
          <w:p w14:paraId="1F93E3EE">
            <w:pPr>
              <w:jc w:val="center"/>
            </w:pPr>
            <w:r>
              <w:rPr>
                <w:rFonts w:ascii="宋体" w:hAnsi="宋体" w:eastAsia="宋体"/>
                <w:sz w:val="24"/>
              </w:rPr>
              <w:t>(2024年度)</w:t>
            </w:r>
          </w:p>
        </w:tc>
      </w:tr>
      <w:tr w14:paraId="07603926">
        <w:tblPrEx>
          <w:tblCellMar>
            <w:top w:w="0" w:type="dxa"/>
            <w:left w:w="108" w:type="dxa"/>
            <w:bottom w:w="0" w:type="dxa"/>
            <w:right w:w="108" w:type="dxa"/>
          </w:tblCellMar>
        </w:tblPrEx>
        <w:trPr>
          <w:gridAfter w:val="1"/>
          <w:wAfter w:w="144" w:type="dxa"/>
        </w:trPr>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BFFB43B">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95C16">
            <w:pPr>
              <w:jc w:val="center"/>
            </w:pPr>
            <w:r>
              <w:rPr>
                <w:rFonts w:ascii="宋体" w:hAnsi="宋体" w:eastAsia="宋体"/>
                <w:sz w:val="16"/>
              </w:rPr>
              <w:t>富余劳动力转移就业补助项目</w:t>
            </w:r>
          </w:p>
        </w:tc>
      </w:tr>
      <w:tr w14:paraId="3C1D324B">
        <w:tblPrEx>
          <w:tblCellMar>
            <w:top w:w="0" w:type="dxa"/>
            <w:left w:w="108" w:type="dxa"/>
            <w:bottom w:w="0" w:type="dxa"/>
            <w:right w:w="108" w:type="dxa"/>
          </w:tblCellMar>
        </w:tblPrEx>
        <w:trPr>
          <w:gridAfter w:val="1"/>
          <w:wAfter w:w="144" w:type="dxa"/>
        </w:trPr>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7037C1E">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B61AF">
            <w:pPr>
              <w:jc w:val="center"/>
            </w:pPr>
            <w:r>
              <w:rPr>
                <w:rFonts w:ascii="宋体" w:hAnsi="宋体" w:eastAsia="宋体"/>
                <w:sz w:val="16"/>
              </w:rPr>
              <w:t>岳普湖县劳务输出服务站</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2647B75">
            <w:pPr>
              <w:jc w:val="center"/>
            </w:pPr>
            <w:r>
              <w:rPr>
                <w:rFonts w:ascii="宋体" w:hAnsi="宋体" w:eastAsia="宋体"/>
                <w:sz w:val="16"/>
              </w:rPr>
              <w:t>实施单位</w:t>
            </w:r>
          </w:p>
        </w:tc>
        <w:tc>
          <w:tcPr>
            <w:tcW w:w="32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24EA70">
            <w:pPr>
              <w:jc w:val="center"/>
            </w:pPr>
            <w:r>
              <w:rPr>
                <w:rFonts w:ascii="宋体" w:hAnsi="宋体" w:eastAsia="宋体"/>
                <w:sz w:val="16"/>
              </w:rPr>
              <w:t>岳普湖县劳务输出服务站</w:t>
            </w:r>
          </w:p>
        </w:tc>
      </w:tr>
      <w:tr w14:paraId="4EBA7819">
        <w:tblPrEx>
          <w:tblCellMar>
            <w:top w:w="0" w:type="dxa"/>
            <w:left w:w="108" w:type="dxa"/>
            <w:bottom w:w="0" w:type="dxa"/>
            <w:right w:w="108" w:type="dxa"/>
          </w:tblCellMar>
        </w:tblPrEx>
        <w:trPr>
          <w:gridAfter w:val="1"/>
          <w:wAfter w:w="144" w:type="dxa"/>
        </w:trP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4D673">
            <w:pPr>
              <w:jc w:val="center"/>
            </w:pPr>
            <w:r>
              <w:rPr>
                <w:rFonts w:ascii="宋体" w:hAnsi="宋体" w:eastAsia="宋体"/>
                <w:sz w:val="16"/>
              </w:rPr>
              <w:t>项目资金 （万元）</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1A37F">
            <w:pPr>
              <w:jc w:val="center"/>
            </w:pPr>
          </w:p>
        </w:tc>
        <w:tc>
          <w:tcPr>
            <w:tcW w:w="15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8BDF">
            <w:pPr>
              <w:jc w:val="center"/>
            </w:pPr>
            <w:r>
              <w:rPr>
                <w:rFonts w:ascii="宋体" w:hAnsi="宋体" w:eastAsia="宋体"/>
                <w:sz w:val="16"/>
              </w:rPr>
              <w:t>年初预算数</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5F25F">
            <w:pPr>
              <w:jc w:val="center"/>
            </w:pPr>
            <w:r>
              <w:rPr>
                <w:rFonts w:ascii="宋体" w:hAnsi="宋体" w:eastAsia="宋体"/>
                <w:sz w:val="16"/>
              </w:rPr>
              <w:t>全年预算数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E7B40">
            <w:pPr>
              <w:jc w:val="center"/>
            </w:pPr>
            <w:r>
              <w:rPr>
                <w:rFonts w:ascii="宋体" w:hAnsi="宋体" w:eastAsia="宋体"/>
                <w:sz w:val="16"/>
              </w:rPr>
              <w:t>全年执行数</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91C18">
            <w:pPr>
              <w:jc w:val="center"/>
            </w:pPr>
            <w:r>
              <w:rPr>
                <w:rFonts w:ascii="宋体" w:hAnsi="宋体" w:eastAsia="宋体"/>
                <w:sz w:val="16"/>
              </w:rPr>
              <w:t>分值</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6507">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0BC6FFB">
            <w:pPr>
              <w:jc w:val="center"/>
            </w:pPr>
            <w:r>
              <w:rPr>
                <w:rFonts w:ascii="宋体" w:hAnsi="宋体" w:eastAsia="宋体"/>
                <w:sz w:val="16"/>
              </w:rPr>
              <w:t>得分</w:t>
            </w:r>
          </w:p>
        </w:tc>
      </w:tr>
      <w:tr w14:paraId="6AA28A00">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97BBB75"/>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E7EF">
            <w:pPr>
              <w:jc w:val="center"/>
            </w:pPr>
            <w:r>
              <w:rPr>
                <w:rFonts w:ascii="宋体" w:hAnsi="宋体" w:eastAsia="宋体"/>
                <w:sz w:val="16"/>
              </w:rPr>
              <w:t>年度资金总额</w:t>
            </w:r>
          </w:p>
        </w:tc>
        <w:tc>
          <w:tcPr>
            <w:tcW w:w="15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F2B9D">
            <w:pPr>
              <w:jc w:val="center"/>
            </w:pPr>
            <w:r>
              <w:rPr>
                <w:rFonts w:ascii="宋体" w:hAnsi="宋体" w:eastAsia="宋体"/>
                <w:sz w:val="16"/>
              </w:rPr>
              <w:t>25.71</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477DA">
            <w:pPr>
              <w:jc w:val="center"/>
            </w:pPr>
            <w:r>
              <w:rPr>
                <w:rFonts w:ascii="宋体" w:hAnsi="宋体" w:eastAsia="宋体"/>
                <w:sz w:val="16"/>
              </w:rPr>
              <w:t>73.89</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8112">
            <w:pPr>
              <w:jc w:val="center"/>
            </w:pPr>
            <w:r>
              <w:rPr>
                <w:rFonts w:ascii="宋体" w:hAnsi="宋体" w:eastAsia="宋体"/>
                <w:sz w:val="16"/>
              </w:rPr>
              <w:t>73.89</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E72E0">
            <w:pPr>
              <w:jc w:val="center"/>
            </w:pPr>
            <w:r>
              <w:rPr>
                <w:rFonts w:ascii="宋体" w:hAnsi="宋体" w:eastAsia="宋体"/>
                <w:sz w:val="16"/>
              </w:rPr>
              <w:t>10</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C0AF">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7359C00">
            <w:pPr>
              <w:jc w:val="center"/>
            </w:pPr>
            <w:r>
              <w:rPr>
                <w:rFonts w:ascii="宋体" w:hAnsi="宋体" w:eastAsia="宋体"/>
                <w:sz w:val="16"/>
              </w:rPr>
              <w:t>10.00分</w:t>
            </w:r>
          </w:p>
        </w:tc>
      </w:tr>
      <w:tr w14:paraId="3BF7EA0C">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812BB60"/>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16065">
            <w:pPr>
              <w:jc w:val="center"/>
            </w:pPr>
            <w:r>
              <w:rPr>
                <w:rFonts w:ascii="宋体" w:hAnsi="宋体" w:eastAsia="宋体"/>
                <w:sz w:val="16"/>
              </w:rPr>
              <w:t>其中：当年财政拨款</w:t>
            </w:r>
          </w:p>
        </w:tc>
        <w:tc>
          <w:tcPr>
            <w:tcW w:w="15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C844">
            <w:pPr>
              <w:jc w:val="center"/>
            </w:pPr>
            <w:r>
              <w:rPr>
                <w:rFonts w:ascii="宋体" w:hAnsi="宋体" w:eastAsia="宋体"/>
                <w:sz w:val="16"/>
              </w:rPr>
              <w:t>0.00</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A9DC5">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10D3">
            <w:pPr>
              <w:jc w:val="center"/>
            </w:pPr>
            <w:r>
              <w:rPr>
                <w:rFonts w:ascii="宋体" w:hAnsi="宋体" w:eastAsia="宋体"/>
                <w:sz w:val="16"/>
              </w:rPr>
              <w:t>0.00</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081D">
            <w:pPr>
              <w:jc w:val="center"/>
            </w:pPr>
            <w:r>
              <w:rPr>
                <w:rFonts w:ascii="宋体" w:hAnsi="宋体" w:eastAsia="宋体"/>
                <w:sz w:val="16"/>
              </w:rPr>
              <w:t>—</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9347">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29CE113">
            <w:pPr>
              <w:jc w:val="center"/>
            </w:pPr>
            <w:r>
              <w:rPr>
                <w:rFonts w:ascii="宋体" w:hAnsi="宋体" w:eastAsia="宋体"/>
                <w:sz w:val="16"/>
              </w:rPr>
              <w:t>—</w:t>
            </w:r>
          </w:p>
        </w:tc>
      </w:tr>
      <w:tr w14:paraId="554693E9">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7D75B49"/>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404A6">
            <w:pPr>
              <w:jc w:val="center"/>
            </w:pPr>
            <w:r>
              <w:rPr>
                <w:rFonts w:ascii="宋体" w:hAnsi="宋体" w:eastAsia="宋体"/>
                <w:sz w:val="16"/>
              </w:rPr>
              <w:t xml:space="preserve">  其他资金</w:t>
            </w:r>
          </w:p>
        </w:tc>
        <w:tc>
          <w:tcPr>
            <w:tcW w:w="15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9BE0">
            <w:pPr>
              <w:jc w:val="center"/>
            </w:pPr>
            <w:r>
              <w:rPr>
                <w:rFonts w:ascii="宋体" w:hAnsi="宋体" w:eastAsia="宋体"/>
                <w:sz w:val="16"/>
              </w:rPr>
              <w:t>25.71</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CE0E">
            <w:pPr>
              <w:jc w:val="center"/>
            </w:pPr>
            <w:r>
              <w:rPr>
                <w:rFonts w:ascii="宋体" w:hAnsi="宋体" w:eastAsia="宋体"/>
                <w:sz w:val="16"/>
              </w:rPr>
              <w:t>73.89</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13FA4">
            <w:pPr>
              <w:jc w:val="center"/>
            </w:pPr>
            <w:r>
              <w:rPr>
                <w:rFonts w:ascii="宋体" w:hAnsi="宋体" w:eastAsia="宋体"/>
                <w:sz w:val="16"/>
              </w:rPr>
              <w:t>73.89</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1919">
            <w:pPr>
              <w:jc w:val="center"/>
            </w:pPr>
            <w:r>
              <w:rPr>
                <w:rFonts w:ascii="宋体" w:hAnsi="宋体" w:eastAsia="宋体"/>
                <w:sz w:val="16"/>
              </w:rPr>
              <w:t>—</w:t>
            </w:r>
          </w:p>
        </w:tc>
        <w:tc>
          <w:tcPr>
            <w:tcW w:w="11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F582">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AE4C8E">
            <w:pPr>
              <w:jc w:val="center"/>
            </w:pPr>
            <w:r>
              <w:rPr>
                <w:rFonts w:ascii="宋体" w:hAnsi="宋体" w:eastAsia="宋体"/>
                <w:sz w:val="16"/>
              </w:rPr>
              <w:t>—</w:t>
            </w:r>
          </w:p>
        </w:tc>
      </w:tr>
      <w:tr w14:paraId="56A6006B">
        <w:tblPrEx>
          <w:tblCellMar>
            <w:top w:w="0" w:type="dxa"/>
            <w:left w:w="108" w:type="dxa"/>
            <w:bottom w:w="0" w:type="dxa"/>
            <w:right w:w="108" w:type="dxa"/>
          </w:tblCellMar>
        </w:tblPrEx>
        <w:trPr>
          <w:gridAfter w:val="1"/>
          <w:wAfter w:w="144" w:type="dxa"/>
        </w:trP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BC2D6">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BC155">
            <w:pPr>
              <w:jc w:val="center"/>
            </w:pPr>
            <w:r>
              <w:rPr>
                <w:rFonts w:ascii="宋体" w:hAnsi="宋体" w:eastAsia="宋体"/>
                <w:sz w:val="16"/>
              </w:rPr>
              <w:t>预期目标</w:t>
            </w:r>
          </w:p>
        </w:tc>
        <w:tc>
          <w:tcPr>
            <w:tcW w:w="38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6AAE62">
            <w:pPr>
              <w:jc w:val="center"/>
            </w:pPr>
            <w:r>
              <w:rPr>
                <w:rFonts w:ascii="宋体" w:hAnsi="宋体" w:eastAsia="宋体"/>
                <w:sz w:val="16"/>
              </w:rPr>
              <w:t>实际完成情况</w:t>
            </w:r>
          </w:p>
        </w:tc>
      </w:tr>
      <w:tr w14:paraId="1EAEA943">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8170998"/>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F9ED5">
            <w:pPr>
              <w:jc w:val="both"/>
            </w:pPr>
            <w:r>
              <w:rPr>
                <w:rFonts w:ascii="宋体" w:hAnsi="宋体" w:eastAsia="宋体"/>
                <w:sz w:val="16"/>
              </w:rPr>
              <w:t>对370名转移富余劳动力就业人员发放补助，通过项目实施提高就业人员的生活水平，改善家庭经济状况。</w:t>
            </w:r>
          </w:p>
        </w:tc>
        <w:tc>
          <w:tcPr>
            <w:tcW w:w="388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674791">
            <w:pPr>
              <w:jc w:val="both"/>
            </w:pPr>
            <w:r>
              <w:rPr>
                <w:rFonts w:ascii="宋体" w:hAnsi="宋体" w:eastAsia="宋体"/>
                <w:sz w:val="16"/>
              </w:rPr>
              <w:t>现阶段已完成对370名转移富余劳动力就业人员的补助发放，预算执行率为100%。通过项目实施有效提高就业人员的生活水平，改善家庭经济状况。受益转移富余劳动力人员满意度为100%。</w:t>
            </w:r>
            <w:r>
              <w:rPr>
                <w:rFonts w:ascii="宋体" w:hAnsi="宋体" w:eastAsia="宋体"/>
                <w:sz w:val="16"/>
              </w:rPr>
              <w:tab/>
            </w:r>
          </w:p>
        </w:tc>
      </w:tr>
      <w:tr w14:paraId="5A0CF136">
        <w:tblPrEx>
          <w:tblCellMar>
            <w:top w:w="0" w:type="dxa"/>
            <w:left w:w="108" w:type="dxa"/>
            <w:bottom w:w="0" w:type="dxa"/>
            <w:right w:w="108" w:type="dxa"/>
          </w:tblCellMar>
        </w:tblPrEx>
        <w:trPr>
          <w:gridAfter w:val="1"/>
          <w:wAfter w:w="144" w:type="dxa"/>
        </w:trPr>
        <w:tc>
          <w:tcPr>
            <w:tcW w:w="621" w:type="dxa"/>
            <w:tcBorders>
              <w:top w:val="single" w:color="auto" w:sz="10" w:space="0"/>
              <w:left w:val="single" w:color="auto" w:sz="10" w:space="0"/>
              <w:bottom w:val="single" w:color="auto" w:sz="10" w:space="0"/>
              <w:right w:val="single" w:color="auto" w:sz="10" w:space="0"/>
              <w:insideV w:val="single" w:sz="10" w:space="0"/>
            </w:tcBorders>
          </w:tcPr>
          <w:p w14:paraId="236BA937"/>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4FF7516">
            <w:pPr>
              <w:jc w:val="center"/>
            </w:pPr>
            <w:r>
              <w:rPr>
                <w:rFonts w:ascii="宋体" w:hAnsi="宋体" w:eastAsia="宋体"/>
                <w:sz w:val="16"/>
              </w:rPr>
              <w:t>一级指标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16A576B">
            <w:pPr>
              <w:jc w:val="center"/>
            </w:pPr>
            <w:r>
              <w:rPr>
                <w:rFonts w:ascii="宋体" w:hAnsi="宋体" w:eastAsia="宋体"/>
                <w:sz w:val="16"/>
              </w:rPr>
              <w:t>二级指标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0049CAF">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D5D2B2D">
            <w:pPr>
              <w:jc w:val="center"/>
            </w:pPr>
            <w:r>
              <w:rPr>
                <w:rFonts w:ascii="宋体" w:hAnsi="宋体" w:eastAsia="宋体"/>
                <w:sz w:val="16"/>
              </w:rPr>
              <w:t>年度指标值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44A0BF1">
            <w:pPr>
              <w:jc w:val="center"/>
            </w:pPr>
            <w:r>
              <w:rPr>
                <w:rFonts w:ascii="宋体" w:hAnsi="宋体" w:eastAsia="宋体"/>
                <w:sz w:val="16"/>
              </w:rPr>
              <w:t>指标值设定依据</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7942E93">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713F5C6">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2B4FDAC">
            <w:pPr>
              <w:jc w:val="center"/>
            </w:pPr>
            <w:r>
              <w:rPr>
                <w:rFonts w:ascii="宋体" w:hAnsi="宋体" w:eastAsia="宋体"/>
                <w:sz w:val="16"/>
              </w:rPr>
              <w:t>赋分规则</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087CD7C">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81D697">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ED5542B">
            <w:pPr>
              <w:jc w:val="center"/>
            </w:pPr>
            <w:r>
              <w:rPr>
                <w:rFonts w:ascii="宋体" w:hAnsi="宋体" w:eastAsia="宋体"/>
                <w:sz w:val="16"/>
              </w:rPr>
              <w:t>得分</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13D84">
            <w:pPr>
              <w:jc w:val="center"/>
            </w:pPr>
            <w:r>
              <w:rPr>
                <w:rFonts w:ascii="宋体" w:hAnsi="宋体" w:eastAsia="宋体"/>
                <w:sz w:val="16"/>
              </w:rPr>
              <w:t>偏差原因分析及改进措施</w:t>
            </w:r>
          </w:p>
        </w:tc>
      </w:tr>
      <w:tr w14:paraId="4DC1406C">
        <w:tblPrEx>
          <w:tblCellMar>
            <w:top w:w="0" w:type="dxa"/>
            <w:left w:w="108" w:type="dxa"/>
            <w:bottom w:w="0" w:type="dxa"/>
            <w:right w:w="108" w:type="dxa"/>
          </w:tblCellMar>
        </w:tblPrEx>
        <w:trPr>
          <w:gridAfter w:val="1"/>
          <w:wAfter w:w="144" w:type="dxa"/>
        </w:trP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C4987">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A267">
            <w:pPr>
              <w:jc w:val="center"/>
            </w:pPr>
            <w:r>
              <w:rPr>
                <w:rFonts w:ascii="宋体" w:hAnsi="宋体" w:eastAsia="宋体"/>
                <w:sz w:val="16"/>
              </w:rPr>
              <w:t>产出指标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3F525AD">
            <w:pPr>
              <w:jc w:val="center"/>
            </w:pPr>
            <w:r>
              <w:rPr>
                <w:rFonts w:ascii="宋体" w:hAnsi="宋体" w:eastAsia="宋体"/>
                <w:sz w:val="16"/>
              </w:rPr>
              <w:t>数量指标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3B902F2">
            <w:pPr>
              <w:jc w:val="center"/>
            </w:pPr>
            <w:r>
              <w:rPr>
                <w:rFonts w:ascii="宋体" w:hAnsi="宋体" w:eastAsia="宋体"/>
                <w:sz w:val="16"/>
              </w:rPr>
              <w:t>富余劳动力就业人数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89612A6">
            <w:pPr>
              <w:jc w:val="center"/>
            </w:pPr>
            <w:r>
              <w:rPr>
                <w:rFonts w:ascii="宋体" w:hAnsi="宋体" w:eastAsia="宋体"/>
                <w:sz w:val="16"/>
              </w:rPr>
              <w:t>&gt;=370人</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F516496">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E88FAA2">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B4FAC9E">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A323ABE">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44C222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45ECA14">
            <w:pPr>
              <w:jc w:val="center"/>
            </w:pPr>
            <w:r>
              <w:rPr>
                <w:rFonts w:ascii="宋体" w:hAnsi="宋体" w:eastAsia="宋体"/>
                <w:sz w:val="16"/>
              </w:rPr>
              <w:t>=370人</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DD34D2C">
            <w:pPr>
              <w:jc w:val="center"/>
            </w:pPr>
            <w:r>
              <w:rPr>
                <w:rFonts w:ascii="宋体" w:hAnsi="宋体" w:eastAsia="宋体"/>
                <w:sz w:val="16"/>
              </w:rPr>
              <w:t>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1AC5D">
            <w:pPr>
              <w:jc w:val="center"/>
            </w:pPr>
          </w:p>
        </w:tc>
      </w:tr>
      <w:tr w14:paraId="6BC1C07A">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F5CB720"/>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12E2D85E"/>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CCDF4">
            <w:pPr>
              <w:jc w:val="center"/>
            </w:pPr>
            <w:r>
              <w:rPr>
                <w:rFonts w:ascii="宋体" w:hAnsi="宋体" w:eastAsia="宋体"/>
                <w:sz w:val="16"/>
              </w:rPr>
              <w:t>质量指标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CC4BAC5">
            <w:pPr>
              <w:jc w:val="center"/>
            </w:pPr>
            <w:r>
              <w:rPr>
                <w:rFonts w:ascii="宋体" w:hAnsi="宋体" w:eastAsia="宋体"/>
                <w:sz w:val="16"/>
              </w:rPr>
              <w:t>资金保障率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E2DE515">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D435812">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5D3023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EE82C25">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A4A34EF">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9868DE2">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707CDC">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5999B8D">
            <w:pPr>
              <w:jc w:val="center"/>
            </w:pPr>
            <w:r>
              <w:rPr>
                <w:rFonts w:ascii="宋体" w:hAnsi="宋体" w:eastAsia="宋体"/>
                <w:sz w:val="16"/>
              </w:rPr>
              <w:t>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97A3D">
            <w:pPr>
              <w:jc w:val="center"/>
            </w:pPr>
          </w:p>
        </w:tc>
      </w:tr>
      <w:tr w14:paraId="701E8642">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E332C3D"/>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78A4AF46"/>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6C9BD1AC"/>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02ABF58">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1899CE0">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E32EEAA">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72514E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629EB72">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50EB5F7">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09284D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E5C9B73">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CB2B8C5">
            <w:pPr>
              <w:jc w:val="center"/>
            </w:pPr>
            <w:r>
              <w:rPr>
                <w:rFonts w:ascii="宋体" w:hAnsi="宋体" w:eastAsia="宋体"/>
                <w:sz w:val="16"/>
              </w:rPr>
              <w:t>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AB06">
            <w:pPr>
              <w:jc w:val="center"/>
            </w:pPr>
          </w:p>
        </w:tc>
      </w:tr>
      <w:tr w14:paraId="50EF3A79">
        <w:tblPrEx>
          <w:tblCellMar>
            <w:top w:w="0" w:type="dxa"/>
            <w:left w:w="108" w:type="dxa"/>
            <w:bottom w:w="0" w:type="dxa"/>
            <w:right w:w="108" w:type="dxa"/>
          </w:tblCellMar>
        </w:tblPrEx>
        <w:trPr>
          <w:gridAfter w:val="1"/>
          <w:wAfter w:w="144" w:type="dxa"/>
        </w:trP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746FE80"/>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41869FDD"/>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A5070">
            <w:pPr>
              <w:jc w:val="center"/>
            </w:pPr>
            <w:r>
              <w:rPr>
                <w:rFonts w:ascii="宋体" w:hAnsi="宋体" w:eastAsia="宋体"/>
                <w:sz w:val="16"/>
              </w:rPr>
              <w:t>时效指标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7C9B7B4">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8D69F58">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D3B813F">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98BF4F9">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B8D7837">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3427422">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3668341">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C45820">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CBA6E87">
            <w:pPr>
              <w:jc w:val="center"/>
            </w:pPr>
            <w:r>
              <w:rPr>
                <w:rFonts w:ascii="宋体" w:hAnsi="宋体" w:eastAsia="宋体"/>
                <w:sz w:val="16"/>
              </w:rPr>
              <w:t>8</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1D11">
            <w:pPr>
              <w:jc w:val="center"/>
            </w:pPr>
          </w:p>
        </w:tc>
      </w:tr>
      <w:tr w14:paraId="145B4CD3">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37C9308"/>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1327488F"/>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14:paraId="7170F768"/>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F628576">
            <w:pPr>
              <w:jc w:val="center"/>
            </w:pPr>
            <w:r>
              <w:rPr>
                <w:rFonts w:ascii="宋体" w:hAnsi="宋体" w:eastAsia="宋体"/>
                <w:sz w:val="16"/>
              </w:rPr>
              <w:t>资金支付完成时间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DF7C93A">
            <w:pPr>
              <w:jc w:val="center"/>
            </w:pPr>
            <w:r>
              <w:rPr>
                <w:rFonts w:ascii="宋体" w:hAnsi="宋体" w:eastAsia="宋体"/>
                <w:sz w:val="16"/>
              </w:rPr>
              <w:t>=2024年12月20日前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DB1029F">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29EF62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66CD414">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C422470">
            <w:pPr>
              <w:jc w:val="center"/>
            </w:pPr>
            <w:r>
              <w:rPr>
                <w:rFonts w:ascii="宋体" w:hAnsi="宋体" w:eastAsia="宋体"/>
                <w:sz w:val="16"/>
              </w:rPr>
              <w:t>直接赋分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383FAF6">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3F4A41">
            <w:pPr>
              <w:jc w:val="center"/>
            </w:pPr>
            <w:r>
              <w:rPr>
                <w:rFonts w:ascii="宋体" w:hAnsi="宋体" w:eastAsia="宋体"/>
                <w:sz w:val="16"/>
              </w:rPr>
              <w:t>=2024年12月13日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EBE73E2">
            <w:pPr>
              <w:jc w:val="center"/>
            </w:pPr>
            <w:r>
              <w:rPr>
                <w:rFonts w:ascii="宋体" w:hAnsi="宋体" w:eastAsia="宋体"/>
                <w:sz w:val="16"/>
              </w:rPr>
              <w:t>8</w:t>
            </w:r>
          </w:p>
        </w:tc>
        <w:tc>
          <w:tcPr>
            <w:tcW w:w="13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A26A85">
            <w:pPr>
              <w:jc w:val="center"/>
            </w:pPr>
          </w:p>
        </w:tc>
      </w:tr>
      <w:tr w14:paraId="459209F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F805A79"/>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84A513D">
            <w:pPr>
              <w:jc w:val="center"/>
            </w:pPr>
            <w:r>
              <w:rPr>
                <w:rFonts w:ascii="宋体" w:hAnsi="宋体" w:eastAsia="宋体"/>
                <w:sz w:val="16"/>
              </w:rPr>
              <w:t>成本指标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FA63D2B">
            <w:pPr>
              <w:jc w:val="center"/>
            </w:pPr>
            <w:r>
              <w:rPr>
                <w:rFonts w:ascii="宋体" w:hAnsi="宋体" w:eastAsia="宋体"/>
                <w:sz w:val="16"/>
              </w:rPr>
              <w:t>经济成本指标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F4565EB">
            <w:pPr>
              <w:jc w:val="center"/>
            </w:pPr>
            <w:r>
              <w:rPr>
                <w:rFonts w:ascii="宋体" w:hAnsi="宋体" w:eastAsia="宋体"/>
                <w:sz w:val="16"/>
              </w:rPr>
              <w:t>人均标准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182BA4F">
            <w:pPr>
              <w:jc w:val="center"/>
            </w:pPr>
            <w:r>
              <w:rPr>
                <w:rFonts w:ascii="宋体" w:hAnsi="宋体" w:eastAsia="宋体"/>
                <w:sz w:val="16"/>
              </w:rPr>
              <w:t>&lt;=1997.02元</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DCCE5B6">
            <w:pPr>
              <w:jc w:val="center"/>
            </w:pPr>
            <w:r>
              <w:rPr>
                <w:rFonts w:ascii="宋体" w:hAnsi="宋体" w:eastAsia="宋体"/>
                <w:sz w:val="16"/>
              </w:rPr>
              <w:t>预算支出标准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AA9C5C8">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004426C">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F6E098B">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E42D78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958013">
            <w:pPr>
              <w:jc w:val="center"/>
            </w:pPr>
            <w:r>
              <w:rPr>
                <w:rFonts w:ascii="宋体" w:hAnsi="宋体" w:eastAsia="宋体"/>
                <w:sz w:val="16"/>
              </w:rPr>
              <w:t>=1997.02元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990559B">
            <w:pPr>
              <w:jc w:val="center"/>
            </w:pPr>
            <w:r>
              <w:rPr>
                <w:rFonts w:ascii="宋体" w:hAnsi="宋体" w:eastAsia="宋体"/>
                <w:sz w:val="16"/>
              </w:rPr>
              <w:t>20</w:t>
            </w:r>
          </w:p>
        </w:tc>
        <w:tc>
          <w:tcPr>
            <w:tcW w:w="13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F337E0">
            <w:pPr>
              <w:jc w:val="center"/>
            </w:pPr>
          </w:p>
        </w:tc>
      </w:tr>
      <w:tr w14:paraId="2AB4F02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4F7B97D"/>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5448BF59">
            <w:pPr>
              <w:jc w:val="center"/>
            </w:pPr>
            <w:r>
              <w:rPr>
                <w:rFonts w:ascii="宋体" w:hAnsi="宋体" w:eastAsia="宋体"/>
                <w:sz w:val="16"/>
              </w:rPr>
              <w:t>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EEC9E88">
            <w:pPr>
              <w:jc w:val="center"/>
            </w:pPr>
            <w:r>
              <w:rPr>
                <w:rFonts w:ascii="宋体" w:hAnsi="宋体" w:eastAsia="宋体"/>
                <w:sz w:val="16"/>
              </w:rPr>
              <w:t>社会效益指标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08935C8">
            <w:pPr>
              <w:jc w:val="center"/>
            </w:pPr>
            <w:r>
              <w:rPr>
                <w:rFonts w:ascii="宋体" w:hAnsi="宋体" w:eastAsia="宋体"/>
                <w:sz w:val="16"/>
              </w:rPr>
              <w:t>提高就业人员的生活水平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5CC3889">
            <w:pPr>
              <w:jc w:val="center"/>
            </w:pPr>
            <w:r>
              <w:rPr>
                <w:rFonts w:ascii="宋体" w:hAnsi="宋体" w:eastAsia="宋体"/>
                <w:sz w:val="16"/>
              </w:rPr>
              <w:t>有效提高</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63044F33">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3660BFC">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F9799B7">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BE01DB5">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2C68439">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FBD3273">
            <w:pPr>
              <w:jc w:val="center"/>
            </w:pPr>
            <w:r>
              <w:rPr>
                <w:rFonts w:ascii="宋体" w:hAnsi="宋体" w:eastAsia="宋体"/>
                <w:sz w:val="16"/>
              </w:rPr>
              <w:t>有效提高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B0B5E07">
            <w:pPr>
              <w:jc w:val="center"/>
            </w:pPr>
            <w:r>
              <w:rPr>
                <w:rFonts w:ascii="宋体" w:hAnsi="宋体" w:eastAsia="宋体"/>
                <w:sz w:val="16"/>
              </w:rPr>
              <w:t>20</w:t>
            </w:r>
          </w:p>
        </w:tc>
        <w:tc>
          <w:tcPr>
            <w:tcW w:w="13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44A3B4">
            <w:pPr>
              <w:jc w:val="center"/>
            </w:pPr>
          </w:p>
        </w:tc>
      </w:tr>
      <w:tr w14:paraId="70FBB6A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20B6E82"/>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EC8D40E">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BF63FD4">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C5896A8">
            <w:pPr>
              <w:jc w:val="center"/>
            </w:pPr>
            <w:r>
              <w:rPr>
                <w:rFonts w:ascii="宋体" w:hAnsi="宋体" w:eastAsia="宋体"/>
                <w:sz w:val="16"/>
              </w:rPr>
              <w:t>转移富余劳动力人员满意度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32C4699">
            <w:pPr>
              <w:jc w:val="center"/>
            </w:pPr>
            <w:r>
              <w:rPr>
                <w:rFonts w:ascii="宋体" w:hAnsi="宋体" w:eastAsia="宋体"/>
                <w:sz w:val="16"/>
              </w:rPr>
              <w:t>&gt;=98%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757FAEDD">
            <w:pPr>
              <w:jc w:val="center"/>
            </w:pPr>
            <w:r>
              <w:rPr>
                <w:rFonts w:ascii="宋体" w:hAnsi="宋体" w:eastAsia="宋体"/>
                <w:sz w:val="16"/>
              </w:rPr>
              <w:t>计划标准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8DF3724">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A0A85A8">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9F9801E">
            <w:pPr>
              <w:jc w:val="center"/>
            </w:pPr>
            <w:r>
              <w:rPr>
                <w:rFonts w:ascii="宋体" w:hAnsi="宋体" w:eastAsia="宋体"/>
                <w:sz w:val="16"/>
              </w:rPr>
              <w:t>满意度赋分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3F279B6">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62A0BE">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1447BB8">
            <w:pPr>
              <w:jc w:val="center"/>
            </w:pPr>
            <w:r>
              <w:rPr>
                <w:rFonts w:ascii="宋体" w:hAnsi="宋体" w:eastAsia="宋体"/>
                <w:sz w:val="16"/>
              </w:rPr>
              <w:t>10</w:t>
            </w:r>
          </w:p>
        </w:tc>
        <w:tc>
          <w:tcPr>
            <w:tcW w:w="13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A00A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D916BFB">
        <w:tblPrEx>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67892A">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3E4C02F">
            <w:pPr>
              <w:jc w:val="center"/>
            </w:pPr>
            <w:r>
              <w:rPr>
                <w:rFonts w:ascii="宋体" w:hAnsi="宋体" w:eastAsia="宋体"/>
                <w:sz w:val="16"/>
              </w:rPr>
              <w:t>100</w:t>
            </w:r>
          </w:p>
        </w:tc>
        <w:tc>
          <w:tcPr>
            <w:tcW w:w="2058" w:type="dxa"/>
            <w:gridSpan w:val="3"/>
            <w:tcBorders>
              <w:top w:val="single" w:color="auto" w:sz="10" w:space="0"/>
              <w:left w:val="single" w:color="auto" w:sz="10" w:space="0"/>
              <w:bottom w:val="single" w:color="auto" w:sz="10" w:space="0"/>
              <w:right w:val="single" w:color="auto" w:sz="10" w:space="0"/>
              <w:insideV w:val="single" w:sz="10" w:space="0"/>
            </w:tcBorders>
          </w:tcPr>
          <w:p w14:paraId="0A69C909"/>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AF980E0">
            <w:pPr>
              <w:jc w:val="center"/>
            </w:pPr>
            <w:r>
              <w:rPr>
                <w:rFonts w:ascii="宋体" w:hAnsi="宋体" w:eastAsia="宋体"/>
                <w:sz w:val="16"/>
              </w:rPr>
              <w:t>100分</w:t>
            </w:r>
          </w:p>
        </w:tc>
        <w:tc>
          <w:tcPr>
            <w:tcW w:w="1340" w:type="dxa"/>
            <w:gridSpan w:val="3"/>
            <w:tcBorders>
              <w:top w:val="single" w:color="auto" w:sz="10" w:space="0"/>
              <w:left w:val="single" w:color="auto" w:sz="10" w:space="0"/>
              <w:bottom w:val="single" w:color="auto" w:sz="10" w:space="0"/>
              <w:right w:val="single" w:color="auto" w:sz="10" w:space="0"/>
              <w:insideV w:val="single" w:sz="10" w:space="0"/>
            </w:tcBorders>
          </w:tcPr>
          <w:p w14:paraId="6051929C"/>
        </w:tc>
      </w:tr>
    </w:tbl>
    <w:p w14:paraId="3945D976">
      <w:r>
        <w:br w:type="page"/>
      </w:r>
    </w:p>
    <w:tbl>
      <w:tblPr>
        <w:tblStyle w:val="9"/>
        <w:tblW w:w="0" w:type="auto"/>
        <w:tblInd w:w="0" w:type="dxa"/>
        <w:tblLayout w:type="autofit"/>
        <w:tblCellMar>
          <w:top w:w="0" w:type="dxa"/>
          <w:left w:w="108" w:type="dxa"/>
          <w:bottom w:w="0" w:type="dxa"/>
          <w:right w:w="108" w:type="dxa"/>
        </w:tblCellMar>
      </w:tblPr>
      <w:tblGrid>
        <w:gridCol w:w="613"/>
        <w:gridCol w:w="582"/>
        <w:gridCol w:w="583"/>
        <w:gridCol w:w="583"/>
        <w:gridCol w:w="936"/>
        <w:gridCol w:w="583"/>
        <w:gridCol w:w="776"/>
        <w:gridCol w:w="598"/>
        <w:gridCol w:w="583"/>
        <w:gridCol w:w="583"/>
        <w:gridCol w:w="856"/>
        <w:gridCol w:w="632"/>
        <w:gridCol w:w="523"/>
        <w:gridCol w:w="629"/>
      </w:tblGrid>
      <w:tr w14:paraId="08746F64">
        <w:tblPrEx>
          <w:tblCellMar>
            <w:top w:w="0" w:type="dxa"/>
            <w:left w:w="108" w:type="dxa"/>
            <w:bottom w:w="0" w:type="dxa"/>
            <w:right w:w="108" w:type="dxa"/>
          </w:tblCellMar>
        </w:tblPrEx>
        <w:tc>
          <w:tcPr>
            <w:tcW w:w="8848" w:type="dxa"/>
            <w:gridSpan w:val="14"/>
            <w:vAlign w:val="center"/>
          </w:tcPr>
          <w:p w14:paraId="13335CEB">
            <w:pPr>
              <w:jc w:val="center"/>
            </w:pPr>
            <w:r>
              <w:rPr>
                <w:rFonts w:ascii="宋体" w:hAnsi="宋体" w:eastAsia="宋体"/>
                <w:sz w:val="24"/>
              </w:rPr>
              <w:t>项目支出绩效自评表</w:t>
            </w:r>
          </w:p>
        </w:tc>
      </w:tr>
      <w:tr w14:paraId="45999FA8">
        <w:tblPrEx>
          <w:tblCellMar>
            <w:top w:w="0" w:type="dxa"/>
            <w:left w:w="108" w:type="dxa"/>
            <w:bottom w:w="0" w:type="dxa"/>
            <w:right w:w="108" w:type="dxa"/>
          </w:tblCellMar>
        </w:tblPrEx>
        <w:tc>
          <w:tcPr>
            <w:tcW w:w="8848" w:type="dxa"/>
            <w:gridSpan w:val="14"/>
            <w:vAlign w:val="center"/>
          </w:tcPr>
          <w:p w14:paraId="42028C09">
            <w:pPr>
              <w:jc w:val="center"/>
            </w:pPr>
            <w:r>
              <w:rPr>
                <w:rFonts w:ascii="宋体" w:hAnsi="宋体" w:eastAsia="宋体"/>
                <w:sz w:val="24"/>
              </w:rPr>
              <w:t>(2024年度)</w:t>
            </w:r>
          </w:p>
        </w:tc>
      </w:tr>
      <w:tr w14:paraId="34AF1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6D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A457FA">
            <w:pPr>
              <w:jc w:val="center"/>
            </w:pPr>
            <w:r>
              <w:rPr>
                <w:rFonts w:ascii="宋体" w:hAnsi="宋体" w:eastAsia="宋体"/>
                <w:sz w:val="16"/>
              </w:rPr>
              <w:t>有组织转移就业带队干部生活及交通补贴项目</w:t>
            </w:r>
          </w:p>
        </w:tc>
      </w:tr>
      <w:tr w14:paraId="2E1F53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CE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54AD9">
            <w:pPr>
              <w:jc w:val="center"/>
            </w:pPr>
            <w:r>
              <w:rPr>
                <w:rFonts w:ascii="宋体" w:hAnsi="宋体" w:eastAsia="宋体"/>
                <w:sz w:val="16"/>
              </w:rPr>
              <w:t>岳普湖县劳务输出服务站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97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E238D">
            <w:pPr>
              <w:jc w:val="center"/>
            </w:pPr>
            <w:r>
              <w:rPr>
                <w:rFonts w:ascii="宋体" w:hAnsi="宋体" w:eastAsia="宋体"/>
                <w:sz w:val="16"/>
              </w:rPr>
              <w:t>岳普湖县劳务输出服务站</w:t>
            </w:r>
          </w:p>
        </w:tc>
      </w:tr>
      <w:tr w14:paraId="29297F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24A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00F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3B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88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978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C80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AA1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0A1B">
            <w:pPr>
              <w:jc w:val="center"/>
            </w:pPr>
            <w:r>
              <w:rPr>
                <w:rFonts w:ascii="宋体" w:hAnsi="宋体" w:eastAsia="宋体"/>
                <w:sz w:val="16"/>
              </w:rPr>
              <w:t>得分</w:t>
            </w:r>
          </w:p>
        </w:tc>
      </w:tr>
      <w:tr w14:paraId="3ADFE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CE4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1F1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0CB23">
            <w:pPr>
              <w:jc w:val="center"/>
            </w:pPr>
            <w:r>
              <w:rPr>
                <w:rFonts w:ascii="宋体" w:hAnsi="宋体" w:eastAsia="宋体"/>
                <w:sz w:val="16"/>
              </w:rPr>
              <w:t>33.39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043DA">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5E80">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17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63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D111">
            <w:pPr>
              <w:jc w:val="center"/>
            </w:pPr>
            <w:r>
              <w:rPr>
                <w:rFonts w:ascii="宋体" w:hAnsi="宋体" w:eastAsia="宋体"/>
                <w:sz w:val="16"/>
              </w:rPr>
              <w:t>10.00分</w:t>
            </w:r>
          </w:p>
        </w:tc>
      </w:tr>
      <w:tr w14:paraId="71F8A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56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32F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3CFDC">
            <w:pPr>
              <w:jc w:val="center"/>
            </w:pPr>
            <w:r>
              <w:rPr>
                <w:rFonts w:ascii="宋体" w:hAnsi="宋体" w:eastAsia="宋体"/>
                <w:sz w:val="16"/>
              </w:rPr>
              <w:t>33.39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B9E8">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93EC">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CA4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C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1E02">
            <w:pPr>
              <w:jc w:val="center"/>
            </w:pPr>
            <w:r>
              <w:rPr>
                <w:rFonts w:ascii="宋体" w:hAnsi="宋体" w:eastAsia="宋体"/>
                <w:sz w:val="16"/>
              </w:rPr>
              <w:t>—</w:t>
            </w:r>
          </w:p>
        </w:tc>
      </w:tr>
      <w:tr w14:paraId="0F482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847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A0E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7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D66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2A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724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FD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E5BB">
            <w:pPr>
              <w:jc w:val="center"/>
            </w:pPr>
            <w:r>
              <w:rPr>
                <w:rFonts w:ascii="宋体" w:hAnsi="宋体" w:eastAsia="宋体"/>
                <w:sz w:val="16"/>
              </w:rPr>
              <w:t>—</w:t>
            </w:r>
          </w:p>
        </w:tc>
      </w:tr>
      <w:tr w14:paraId="1C00F6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44C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148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33944E">
            <w:pPr>
              <w:jc w:val="center"/>
            </w:pPr>
            <w:r>
              <w:rPr>
                <w:rFonts w:ascii="宋体" w:hAnsi="宋体" w:eastAsia="宋体"/>
                <w:sz w:val="16"/>
              </w:rPr>
              <w:t>实际完成情况</w:t>
            </w:r>
          </w:p>
        </w:tc>
      </w:tr>
      <w:tr w14:paraId="0E076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0E4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93178">
            <w:pPr>
              <w:jc w:val="both"/>
            </w:pPr>
            <w:r>
              <w:rPr>
                <w:rFonts w:ascii="宋体" w:hAnsi="宋体" w:eastAsia="宋体"/>
                <w:sz w:val="16"/>
              </w:rPr>
              <w:t>对有组织转移就业人员服务管理工作带队干部人员按166人次发放生活补助及交通补贴，共计发放18个月补助（其中：补发2023年7</w:t>
            </w:r>
            <w:bookmarkStart w:id="0" w:name="_GoBack"/>
            <w:r>
              <w:rPr>
                <w:rFonts w:hint="eastAsia" w:ascii="宋体" w:hAnsi="宋体"/>
                <w:sz w:val="16"/>
                <w:lang w:eastAsia="zh-CN"/>
              </w:rPr>
              <w:t>—</w:t>
            </w:r>
            <w:bookmarkEnd w:id="0"/>
            <w:r>
              <w:rPr>
                <w:rFonts w:ascii="宋体" w:hAnsi="宋体" w:eastAsia="宋体"/>
                <w:sz w:val="16"/>
              </w:rPr>
              <w:t>12月，发放2024年度）。通过发放生活补助减轻带队干部人员的经济负担，提高对工作的积极性。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211B1B">
            <w:pPr>
              <w:jc w:val="both"/>
            </w:pPr>
            <w:r>
              <w:rPr>
                <w:rFonts w:ascii="宋体" w:hAnsi="宋体" w:eastAsia="宋体"/>
                <w:sz w:val="16"/>
              </w:rPr>
              <w:t>现阶段已完成对有组织转移就业人员服务管理工作带队干部人员166人次的生活补助及交通补贴发放任务，共计发放18个月（其中：补发2023年7</w:t>
            </w:r>
            <w:r>
              <w:rPr>
                <w:rFonts w:hint="eastAsia" w:ascii="宋体" w:hAnsi="宋体"/>
                <w:sz w:val="16"/>
                <w:lang w:eastAsia="zh-CN"/>
              </w:rPr>
              <w:t>—</w:t>
            </w:r>
            <w:r>
              <w:rPr>
                <w:rFonts w:ascii="宋体" w:hAnsi="宋体" w:eastAsia="宋体"/>
                <w:sz w:val="16"/>
              </w:rPr>
              <w:t>12月，发放2024年度）的补助。预算执行率为100%。项目的实施通过发放生活补助减轻带队干部人员的经济负担，提高对工作的积极性。受益带队干部满意度为100%。</w:t>
            </w:r>
          </w:p>
        </w:tc>
      </w:tr>
      <w:tr w14:paraId="294446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6F2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6C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DF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87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F4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50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5A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AC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8B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47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F5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FF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A8AD">
            <w:pPr>
              <w:jc w:val="center"/>
            </w:pPr>
            <w:r>
              <w:rPr>
                <w:rFonts w:ascii="宋体" w:hAnsi="宋体" w:eastAsia="宋体"/>
                <w:sz w:val="16"/>
              </w:rPr>
              <w:t>偏差原因分析及改进措施</w:t>
            </w:r>
          </w:p>
        </w:tc>
      </w:tr>
      <w:tr w14:paraId="1BC46E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E6D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644E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09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19C9">
            <w:pPr>
              <w:jc w:val="center"/>
            </w:pPr>
            <w:r>
              <w:rPr>
                <w:rFonts w:ascii="宋体" w:hAnsi="宋体" w:eastAsia="宋体"/>
                <w:sz w:val="16"/>
              </w:rPr>
              <w:t>发放补贴人次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B665">
            <w:pPr>
              <w:jc w:val="center"/>
            </w:pPr>
            <w:r>
              <w:rPr>
                <w:rFonts w:ascii="宋体" w:hAnsi="宋体" w:eastAsia="宋体"/>
                <w:sz w:val="16"/>
              </w:rPr>
              <w:t>&gt;=166人次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7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8BBE">
            <w:pPr>
              <w:jc w:val="center"/>
            </w:pPr>
            <w:r>
              <w:rPr>
                <w:rFonts w:ascii="宋体" w:hAnsi="宋体" w:eastAsia="宋体"/>
                <w:sz w:val="16"/>
              </w:rPr>
              <w:t>106人次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01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6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D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F9F2">
            <w:pPr>
              <w:jc w:val="center"/>
            </w:pPr>
            <w:r>
              <w:rPr>
                <w:rFonts w:ascii="宋体" w:hAnsi="宋体" w:eastAsia="宋体"/>
                <w:sz w:val="16"/>
              </w:rPr>
              <w:t>=166人次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63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D72F">
            <w:pPr>
              <w:jc w:val="center"/>
            </w:pPr>
          </w:p>
        </w:tc>
      </w:tr>
      <w:tr w14:paraId="3FD10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B1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399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603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FFCC">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B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8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E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20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E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D1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6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53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70CA">
            <w:pPr>
              <w:jc w:val="center"/>
            </w:pPr>
          </w:p>
        </w:tc>
      </w:tr>
      <w:tr w14:paraId="53ED0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B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58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2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4A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2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7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B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35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2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1C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C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C7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10BD">
            <w:pPr>
              <w:jc w:val="center"/>
            </w:pPr>
          </w:p>
        </w:tc>
      </w:tr>
      <w:tr w14:paraId="26C3F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8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1FF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3D3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5B9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1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C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C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D8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A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05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2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54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CD0B9">
            <w:pPr>
              <w:jc w:val="center"/>
            </w:pPr>
          </w:p>
        </w:tc>
      </w:tr>
      <w:tr w14:paraId="2CD6E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4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BD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B8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C3D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F45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E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1D24">
            <w:pPr>
              <w:jc w:val="center"/>
            </w:pPr>
            <w:r>
              <w:rPr>
                <w:rFonts w:ascii="宋体" w:hAnsi="宋体" w:eastAsia="宋体"/>
                <w:sz w:val="16"/>
              </w:rPr>
              <w:t>2023年9月21日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17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EE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96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4F87">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99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6C1B">
            <w:pPr>
              <w:jc w:val="center"/>
            </w:pPr>
          </w:p>
        </w:tc>
      </w:tr>
      <w:tr w14:paraId="101BA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F2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02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CD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DDCE">
            <w:pPr>
              <w:jc w:val="center"/>
            </w:pPr>
            <w:r>
              <w:rPr>
                <w:rFonts w:ascii="宋体" w:hAnsi="宋体" w:eastAsia="宋体"/>
                <w:sz w:val="16"/>
              </w:rPr>
              <w:t>每人次人均补贴标准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9899">
            <w:pPr>
              <w:jc w:val="center"/>
            </w:pPr>
            <w:r>
              <w:rPr>
                <w:rFonts w:ascii="宋体" w:hAnsi="宋体" w:eastAsia="宋体"/>
                <w:sz w:val="16"/>
              </w:rPr>
              <w:t>&lt;=2085.54元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34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88B2">
            <w:pPr>
              <w:jc w:val="center"/>
            </w:pPr>
            <w:r>
              <w:rPr>
                <w:rFonts w:ascii="宋体" w:hAnsi="宋体" w:eastAsia="宋体"/>
                <w:sz w:val="16"/>
              </w:rPr>
              <w:t>2047.16元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DD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D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1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76D3">
            <w:pPr>
              <w:jc w:val="center"/>
            </w:pPr>
            <w:r>
              <w:rPr>
                <w:rFonts w:ascii="宋体" w:hAnsi="宋体" w:eastAsia="宋体"/>
                <w:sz w:val="16"/>
              </w:rPr>
              <w:t>=2085.54元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2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CCD46">
            <w:pPr>
              <w:jc w:val="center"/>
            </w:pPr>
          </w:p>
        </w:tc>
      </w:tr>
      <w:tr w14:paraId="3AC4E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3E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60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D2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A2DE">
            <w:pPr>
              <w:jc w:val="center"/>
            </w:pPr>
            <w:r>
              <w:rPr>
                <w:rFonts w:ascii="宋体" w:hAnsi="宋体" w:eastAsia="宋体"/>
                <w:sz w:val="16"/>
              </w:rPr>
              <w:t>减轻带队干部人员的经济负担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9FD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B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B70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12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FF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D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710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BE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EA05">
            <w:pPr>
              <w:jc w:val="center"/>
            </w:pPr>
          </w:p>
        </w:tc>
      </w:tr>
      <w:tr w14:paraId="3DAE6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29C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10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1E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4C5A">
            <w:pPr>
              <w:jc w:val="center"/>
            </w:pPr>
            <w:r>
              <w:rPr>
                <w:rFonts w:ascii="宋体" w:hAnsi="宋体" w:eastAsia="宋体"/>
                <w:sz w:val="16"/>
              </w:rPr>
              <w:t>带队干部满意度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0A7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9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2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F6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DC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FE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0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6C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3F3F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78DAB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F4D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67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E15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AC87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725F4B"/>
        </w:tc>
      </w:tr>
    </w:tbl>
    <w:p w14:paraId="4F7B5D78">
      <w:r>
        <w:br w:type="page"/>
      </w:r>
    </w:p>
    <w:p w14:paraId="0991DE3A">
      <w:pPr>
        <w:spacing w:line="640" w:lineRule="exact"/>
        <w:ind w:firstLine="640"/>
        <w:jc w:val="both"/>
        <w:outlineLvl w:val="2"/>
      </w:pPr>
      <w:r>
        <w:rPr>
          <w:rFonts w:ascii="黑体" w:hAnsi="黑体" w:eastAsia="黑体"/>
          <w:sz w:val="32"/>
        </w:rPr>
        <w:t>十二、其他需说明的事项</w:t>
      </w:r>
    </w:p>
    <w:p w14:paraId="11A0EC0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48D7E77">
      <w:r>
        <w:br w:type="page"/>
      </w:r>
    </w:p>
    <w:p w14:paraId="7A970E7A">
      <w:pPr>
        <w:spacing w:line="240" w:lineRule="auto"/>
        <w:jc w:val="center"/>
        <w:outlineLvl w:val="1"/>
      </w:pPr>
      <w:r>
        <w:rPr>
          <w:rFonts w:ascii="黑体" w:hAnsi="黑体" w:eastAsia="黑体"/>
          <w:sz w:val="32"/>
        </w:rPr>
        <w:t>第三部分 专业名词解释</w:t>
      </w:r>
    </w:p>
    <w:p w14:paraId="3ED3FF8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5AF6E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B979C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67F18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5C7C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D04D3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9650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843F0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14D4F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2ECBB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0A820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9C33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71DB1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635E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B347F6">
      <w:r>
        <w:br w:type="page"/>
      </w:r>
    </w:p>
    <w:p w14:paraId="0E224599">
      <w:pPr>
        <w:spacing w:line="240" w:lineRule="auto"/>
        <w:jc w:val="center"/>
        <w:outlineLvl w:val="1"/>
      </w:pPr>
      <w:r>
        <w:rPr>
          <w:rFonts w:ascii="黑体" w:hAnsi="黑体" w:eastAsia="黑体"/>
          <w:sz w:val="32"/>
        </w:rPr>
        <w:t>第四部分 部门决算报表（见附表）</w:t>
      </w:r>
    </w:p>
    <w:p w14:paraId="5B9FC7AA">
      <w:pPr>
        <w:spacing w:line="240" w:lineRule="auto"/>
        <w:ind w:firstLine="640"/>
        <w:jc w:val="both"/>
      </w:pPr>
      <w:r>
        <w:rPr>
          <w:rFonts w:ascii="仿宋_GB2312" w:hAnsi="仿宋_GB2312" w:eastAsia="仿宋_GB2312"/>
          <w:b w:val="0"/>
          <w:sz w:val="32"/>
        </w:rPr>
        <w:t>一、《收入支出决算总表》</w:t>
      </w:r>
    </w:p>
    <w:p w14:paraId="31DCFBB0">
      <w:pPr>
        <w:spacing w:line="240" w:lineRule="auto"/>
        <w:ind w:firstLine="640"/>
        <w:jc w:val="both"/>
      </w:pPr>
      <w:r>
        <w:rPr>
          <w:rFonts w:ascii="仿宋_GB2312" w:hAnsi="仿宋_GB2312" w:eastAsia="仿宋_GB2312"/>
          <w:b w:val="0"/>
          <w:sz w:val="32"/>
        </w:rPr>
        <w:t>二、《收入决算表》</w:t>
      </w:r>
    </w:p>
    <w:p w14:paraId="735F21DA">
      <w:pPr>
        <w:spacing w:line="240" w:lineRule="auto"/>
        <w:ind w:firstLine="640"/>
        <w:jc w:val="both"/>
      </w:pPr>
      <w:r>
        <w:rPr>
          <w:rFonts w:ascii="仿宋_GB2312" w:hAnsi="仿宋_GB2312" w:eastAsia="仿宋_GB2312"/>
          <w:b w:val="0"/>
          <w:sz w:val="32"/>
        </w:rPr>
        <w:t>三、《支出决算表》</w:t>
      </w:r>
    </w:p>
    <w:p w14:paraId="3D15C4DD">
      <w:pPr>
        <w:spacing w:line="240" w:lineRule="auto"/>
        <w:ind w:firstLine="640"/>
        <w:jc w:val="both"/>
      </w:pPr>
      <w:r>
        <w:rPr>
          <w:rFonts w:ascii="仿宋_GB2312" w:hAnsi="仿宋_GB2312" w:eastAsia="仿宋_GB2312"/>
          <w:b w:val="0"/>
          <w:sz w:val="32"/>
        </w:rPr>
        <w:t>四、《财政拨款收入支出决算总表》</w:t>
      </w:r>
    </w:p>
    <w:p w14:paraId="2045DA5F">
      <w:pPr>
        <w:spacing w:line="240" w:lineRule="auto"/>
        <w:ind w:firstLine="640"/>
        <w:jc w:val="both"/>
      </w:pPr>
      <w:r>
        <w:rPr>
          <w:rFonts w:ascii="仿宋_GB2312" w:hAnsi="仿宋_GB2312" w:eastAsia="仿宋_GB2312"/>
          <w:b w:val="0"/>
          <w:sz w:val="32"/>
        </w:rPr>
        <w:t>五、《一般公共预算财政拨款支出决算表》</w:t>
      </w:r>
    </w:p>
    <w:p w14:paraId="11A6AA61">
      <w:pPr>
        <w:spacing w:line="240" w:lineRule="auto"/>
        <w:ind w:firstLine="640"/>
        <w:jc w:val="both"/>
      </w:pPr>
      <w:r>
        <w:rPr>
          <w:rFonts w:ascii="仿宋_GB2312" w:hAnsi="仿宋_GB2312" w:eastAsia="仿宋_GB2312"/>
          <w:b w:val="0"/>
          <w:sz w:val="32"/>
        </w:rPr>
        <w:t>六、《一般公共预算财政拨款基本支出决算表》</w:t>
      </w:r>
    </w:p>
    <w:p w14:paraId="74DCCE0D">
      <w:pPr>
        <w:spacing w:line="240" w:lineRule="auto"/>
        <w:ind w:firstLine="640"/>
        <w:jc w:val="both"/>
      </w:pPr>
      <w:r>
        <w:rPr>
          <w:rFonts w:ascii="仿宋_GB2312" w:hAnsi="仿宋_GB2312" w:eastAsia="仿宋_GB2312"/>
          <w:b w:val="0"/>
          <w:sz w:val="32"/>
        </w:rPr>
        <w:t>七、《政府性基金预算财政拨款收入支出决算表》</w:t>
      </w:r>
    </w:p>
    <w:p w14:paraId="65C2FB0A">
      <w:pPr>
        <w:spacing w:line="240" w:lineRule="auto"/>
        <w:ind w:firstLine="640"/>
        <w:jc w:val="both"/>
      </w:pPr>
      <w:r>
        <w:rPr>
          <w:rFonts w:ascii="仿宋_GB2312" w:hAnsi="仿宋_GB2312" w:eastAsia="仿宋_GB2312"/>
          <w:b w:val="0"/>
          <w:sz w:val="32"/>
        </w:rPr>
        <w:t>八、《国有资本经营预算财政拨款收入支出决算表》</w:t>
      </w:r>
    </w:p>
    <w:p w14:paraId="50A24035">
      <w:pPr>
        <w:spacing w:line="240" w:lineRule="auto"/>
        <w:ind w:firstLine="640"/>
        <w:jc w:val="both"/>
      </w:pPr>
      <w:r>
        <w:rPr>
          <w:rFonts w:ascii="仿宋_GB2312" w:hAnsi="仿宋_GB2312" w:eastAsia="仿宋_GB2312"/>
          <w:b w:val="0"/>
          <w:sz w:val="32"/>
        </w:rPr>
        <w:t>九、《财政拨款“三公”经费支出决算表》</w:t>
      </w:r>
    </w:p>
    <w:p w14:paraId="71847597">
      <w:pPr>
        <w:spacing w:line="240" w:lineRule="auto"/>
        <w:ind w:firstLine="640"/>
        <w:jc w:val="both"/>
      </w:pPr>
    </w:p>
    <w:p w14:paraId="757CEC11">
      <w:pPr>
        <w:spacing w:line="240" w:lineRule="auto"/>
        <w:ind w:firstLine="640"/>
        <w:jc w:val="both"/>
      </w:pPr>
    </w:p>
    <w:p w14:paraId="42EA4766">
      <w:pPr>
        <w:spacing w:line="240" w:lineRule="auto"/>
        <w:ind w:firstLine="640"/>
        <w:jc w:val="both"/>
      </w:pPr>
    </w:p>
    <w:p w14:paraId="28C844D0">
      <w:pPr>
        <w:spacing w:line="240" w:lineRule="auto"/>
        <w:ind w:firstLine="640"/>
        <w:jc w:val="both"/>
      </w:pPr>
    </w:p>
    <w:p w14:paraId="6CAEA1F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5B287B-81F4-4C70-9B93-1146B5E99E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091689A-FD79-4B54-B911-FB9AE3CC46C7}"/>
  </w:font>
  <w:font w:name="仿宋_GB2312">
    <w:panose1 w:val="02010609030101010101"/>
    <w:charset w:val="86"/>
    <w:family w:val="modern"/>
    <w:pitch w:val="default"/>
    <w:sig w:usb0="00000001" w:usb1="080E0000" w:usb2="00000000" w:usb3="00000000" w:csb0="00040000" w:csb1="00000000"/>
    <w:embedRegular r:id="rId3" w:fontKey="{6FF446E3-8ABE-4CB5-B11A-A6CD5F6F6AEF}"/>
  </w:font>
  <w:font w:name="楷体_GB2312">
    <w:panose1 w:val="02010609030101010101"/>
    <w:charset w:val="86"/>
    <w:family w:val="auto"/>
    <w:pitch w:val="default"/>
    <w:sig w:usb0="00000001" w:usb1="080E0000" w:usb2="00000000" w:usb3="00000000" w:csb0="00040000" w:csb1="00000000"/>
    <w:embedRegular r:id="rId4" w:fontKey="{A74E0D88-F46F-4550-957D-B69CD4D364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7B0F6C"/>
    <w:rsid w:val="464B7E04"/>
    <w:rsid w:val="464F7E64"/>
    <w:rsid w:val="46901EEE"/>
    <w:rsid w:val="469C74D2"/>
    <w:rsid w:val="47445515"/>
    <w:rsid w:val="4B4C0111"/>
    <w:rsid w:val="4BB23021"/>
    <w:rsid w:val="4F3F074E"/>
    <w:rsid w:val="50DB5F45"/>
    <w:rsid w:val="52F92565"/>
    <w:rsid w:val="543D17CB"/>
    <w:rsid w:val="54C33A47"/>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5060</Words>
  <Characters>5817</Characters>
  <Lines>0</Lines>
  <Paragraphs>0</Paragraphs>
  <TotalTime>2</TotalTime>
  <ScaleCrop>false</ScaleCrop>
  <LinksUpToDate>false</LinksUpToDate>
  <CharactersWithSpaces>5825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