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9328DD">
      <w:r>
        <w:br w:type="page"/>
      </w:r>
    </w:p>
    <w:p w14:paraId="56EF3ADF">
      <w:pPr>
        <w:spacing w:line="640" w:lineRule="exact"/>
        <w:jc w:val="center"/>
        <w:outlineLvl w:val="1"/>
      </w:pPr>
      <w:r>
        <w:rPr>
          <w:rFonts w:ascii="黑体" w:hAnsi="黑体" w:eastAsia="黑体"/>
          <w:sz w:val="32"/>
        </w:rPr>
        <w:t>第一部分 单位概况</w:t>
      </w:r>
    </w:p>
    <w:p w14:paraId="3E49E1D5">
      <w:pPr>
        <w:spacing w:line="640" w:lineRule="exact"/>
        <w:ind w:firstLine="640"/>
        <w:jc w:val="both"/>
        <w:outlineLvl w:val="2"/>
      </w:pPr>
      <w:r>
        <w:rPr>
          <w:rFonts w:ascii="黑体" w:hAnsi="黑体" w:eastAsia="黑体"/>
          <w:sz w:val="32"/>
        </w:rPr>
        <w:t>一、主要职能</w:t>
      </w:r>
    </w:p>
    <w:p w14:paraId="04C4DAFC">
      <w:pPr>
        <w:spacing w:line="580" w:lineRule="exact"/>
        <w:ind w:firstLine="640"/>
        <w:jc w:val="both"/>
      </w:pPr>
      <w:r>
        <w:rPr>
          <w:rFonts w:ascii="仿宋_GB2312" w:hAnsi="仿宋_GB2312" w:eastAsia="仿宋_GB2312"/>
          <w:sz w:val="32"/>
        </w:rPr>
        <w:t>承担全面依法治县重大问题的政策研究，协调有关方面提出全面依法治县中长期规划建议;负责有关重大决策部署督察工作。</w:t>
      </w:r>
    </w:p>
    <w:p w14:paraId="723117C2">
      <w:pPr>
        <w:spacing w:line="580" w:lineRule="exact"/>
        <w:ind w:firstLine="640"/>
        <w:jc w:val="both"/>
      </w:pPr>
      <w:r>
        <w:rPr>
          <w:rFonts w:ascii="仿宋_GB2312" w:hAnsi="仿宋_GB2312" w:eastAsia="仿宋_GB2312"/>
          <w:sz w:val="32"/>
        </w:rPr>
        <w:t>承办上级法律、法规、规章草案和规范性文件征求意见建议的工作;负责协调实施规范性文件中的有关争议和问题;负责</w:t>
      </w:r>
      <w:bookmarkStart w:id="0" w:name="_GoBack"/>
      <w:r>
        <w:rPr>
          <w:rFonts w:hint="eastAsia" w:ascii="仿宋_GB2312" w:hAnsi="仿宋_GB2312" w:eastAsia="仿宋_GB2312"/>
          <w:sz w:val="32"/>
          <w:lang w:eastAsia="zh-CN"/>
        </w:rPr>
        <w:t>政府</w:t>
      </w:r>
      <w:bookmarkEnd w:id="0"/>
      <w:r>
        <w:rPr>
          <w:rFonts w:ascii="仿宋_GB2312" w:hAnsi="仿宋_GB2312" w:eastAsia="仿宋_GB2312"/>
          <w:sz w:val="32"/>
        </w:rPr>
        <w:t>规范性文件合法性审核、备案工作;组织开展政府规范性文件清理工作。</w:t>
      </w:r>
    </w:p>
    <w:p w14:paraId="615D0FA0">
      <w:pPr>
        <w:spacing w:line="580" w:lineRule="exact"/>
        <w:ind w:firstLine="640"/>
        <w:jc w:val="both"/>
      </w:pPr>
      <w:r>
        <w:rPr>
          <w:rFonts w:ascii="仿宋_GB2312" w:hAnsi="仿宋_GB2312" w:eastAsia="仿宋_GB2312"/>
          <w:sz w:val="32"/>
        </w:rPr>
        <w:t>承担统筹推进法治政府建设的责任;指导、监督政府各部门、各乡镇人民政府依法行政工作;负责行政执法的监督管理、综合协调工作，承担推进行政执法体制改革有关工作，推进严格规范公正文明执法;指导、监督全县行政复议和行政应诉工作;负责行政复议和应诉案件办理工作。</w:t>
      </w:r>
    </w:p>
    <w:p w14:paraId="27F5E83F">
      <w:pPr>
        <w:spacing w:line="580" w:lineRule="exact"/>
        <w:ind w:firstLine="640"/>
        <w:jc w:val="both"/>
      </w:pPr>
      <w:r>
        <w:rPr>
          <w:rFonts w:ascii="仿宋_GB2312" w:hAnsi="仿宋_GB2312" w:eastAsia="仿宋_GB2312"/>
          <w:sz w:val="32"/>
        </w:rPr>
        <w:t>承担统筹规划法治社会建设的责任;负责拟订岳普湖县法治宣传教育规划，组织实施普法宣传工作，组织对外法治宣传;推动人民参与和促进法治建设。</w:t>
      </w:r>
    </w:p>
    <w:p w14:paraId="1B7C00B9">
      <w:pPr>
        <w:spacing w:line="580" w:lineRule="exact"/>
        <w:ind w:firstLine="640"/>
        <w:jc w:val="both"/>
      </w:pPr>
      <w:r>
        <w:rPr>
          <w:rFonts w:ascii="仿宋_GB2312" w:hAnsi="仿宋_GB2312" w:eastAsia="仿宋_GB2312"/>
          <w:sz w:val="32"/>
        </w:rPr>
        <w:t>负责拟订公共法律服务体系建设规划并指导实施，统筹和布局城乡、区域法律服务资源;指导、监督律师、法律援助公证和基层法律服务管理工作;负责全县“12348”法律服务专线工作及参与社会治安综合治理工作。</w:t>
      </w:r>
    </w:p>
    <w:p w14:paraId="39194949">
      <w:pPr>
        <w:spacing w:line="640" w:lineRule="exact"/>
        <w:ind w:firstLine="640"/>
        <w:jc w:val="both"/>
        <w:outlineLvl w:val="2"/>
      </w:pPr>
      <w:r>
        <w:rPr>
          <w:rFonts w:ascii="黑体" w:hAnsi="黑体" w:eastAsia="黑体"/>
          <w:sz w:val="32"/>
        </w:rPr>
        <w:t>二、机构设置及人员情况</w:t>
      </w:r>
    </w:p>
    <w:p w14:paraId="39F6BF80">
      <w:pPr>
        <w:spacing w:line="580" w:lineRule="exact"/>
        <w:ind w:firstLine="640"/>
        <w:jc w:val="both"/>
      </w:pPr>
      <w:r>
        <w:rPr>
          <w:rFonts w:ascii="仿宋_GB2312" w:hAnsi="仿宋_GB2312" w:eastAsia="仿宋_GB2312"/>
          <w:sz w:val="32"/>
        </w:rPr>
        <w:t>岳普湖县司法局2024年度，实有人数45人，其中：在职人员31人，减少1人；离休人员0人，增加0人；退休人员14人,增加2人。</w:t>
      </w:r>
    </w:p>
    <w:p w14:paraId="24838EC2">
      <w:pPr>
        <w:spacing w:line="580" w:lineRule="exact"/>
        <w:ind w:firstLine="640"/>
        <w:jc w:val="both"/>
      </w:pPr>
      <w:r>
        <w:rPr>
          <w:rFonts w:ascii="仿宋_GB2312" w:hAnsi="仿宋_GB2312" w:eastAsia="仿宋_GB2312"/>
          <w:sz w:val="32"/>
        </w:rPr>
        <w:t>岳普湖县司法局无下属预算单位，下设4个科室，分别是：综合办公室、普法依法治理与依法治县室、行政复议与应诉室、公共法律服务管理室。</w:t>
      </w:r>
    </w:p>
    <w:p w14:paraId="73902937">
      <w:r>
        <w:br w:type="page"/>
      </w:r>
    </w:p>
    <w:p w14:paraId="73DA47A3">
      <w:pPr>
        <w:spacing w:line="240" w:lineRule="auto"/>
        <w:jc w:val="center"/>
        <w:outlineLvl w:val="1"/>
      </w:pPr>
      <w:r>
        <w:rPr>
          <w:rFonts w:ascii="黑体" w:hAnsi="黑体" w:eastAsia="黑体"/>
          <w:sz w:val="32"/>
        </w:rPr>
        <w:t>第二部分 部门决算情况说明</w:t>
      </w:r>
    </w:p>
    <w:p w14:paraId="3E9CEBE6">
      <w:pPr>
        <w:spacing w:line="640" w:lineRule="exact"/>
        <w:ind w:firstLine="640"/>
        <w:jc w:val="both"/>
        <w:outlineLvl w:val="2"/>
      </w:pPr>
      <w:r>
        <w:rPr>
          <w:rFonts w:ascii="黑体" w:hAnsi="黑体" w:eastAsia="黑体"/>
          <w:sz w:val="32"/>
        </w:rPr>
        <w:t>一、收入支出决算总体情况说明</w:t>
      </w:r>
    </w:p>
    <w:p w14:paraId="379B8743">
      <w:pPr>
        <w:spacing w:line="580" w:lineRule="exact"/>
        <w:ind w:firstLine="640"/>
        <w:jc w:val="both"/>
      </w:pPr>
      <w:r>
        <w:rPr>
          <w:rFonts w:ascii="仿宋_GB2312" w:hAnsi="仿宋_GB2312" w:eastAsia="仿宋_GB2312"/>
          <w:b/>
          <w:sz w:val="32"/>
        </w:rPr>
        <w:t>2024年度收入总计3,334.12万元，</w:t>
      </w:r>
      <w:r>
        <w:rPr>
          <w:rFonts w:ascii="仿宋_GB2312" w:hAnsi="仿宋_GB2312" w:eastAsia="仿宋_GB2312"/>
          <w:b w:val="0"/>
          <w:sz w:val="32"/>
        </w:rPr>
        <w:t>其中：本年收入合计3,334.12万元，使用非财政拨款结余（含专用结余）0.00万元，年初结转和结余0.00万元。</w:t>
      </w:r>
    </w:p>
    <w:p w14:paraId="15591A8A">
      <w:pPr>
        <w:spacing w:line="580" w:lineRule="exact"/>
        <w:ind w:firstLine="640"/>
        <w:jc w:val="both"/>
      </w:pPr>
      <w:r>
        <w:rPr>
          <w:rFonts w:ascii="仿宋_GB2312" w:hAnsi="仿宋_GB2312" w:eastAsia="仿宋_GB2312"/>
          <w:b/>
          <w:sz w:val="32"/>
        </w:rPr>
        <w:t>2024年度支出总计3,334.12万元，</w:t>
      </w:r>
      <w:r>
        <w:rPr>
          <w:rFonts w:ascii="仿宋_GB2312" w:hAnsi="仿宋_GB2312" w:eastAsia="仿宋_GB2312"/>
          <w:b w:val="0"/>
          <w:sz w:val="32"/>
        </w:rPr>
        <w:t>其中：本年支出合计3,319.12万元，结余分配0.00万元，年末结转和结余15.00万元。</w:t>
      </w:r>
    </w:p>
    <w:p w14:paraId="13B154CB">
      <w:pPr>
        <w:spacing w:line="580" w:lineRule="exact"/>
        <w:ind w:firstLine="640"/>
        <w:jc w:val="both"/>
      </w:pPr>
      <w:r>
        <w:rPr>
          <w:rFonts w:ascii="仿宋_GB2312" w:hAnsi="仿宋_GB2312" w:eastAsia="仿宋_GB2312"/>
          <w:b w:val="0"/>
          <w:sz w:val="32"/>
        </w:rPr>
        <w:t>收入支出总体与上年相比，减少2,441.87万元，下降42.28%，主要原因是：本年在职人员减少，相关人员经费较上年减少。本年减少专项项目经费，导致经费较上年减少。</w:t>
      </w:r>
    </w:p>
    <w:p w14:paraId="3E30DF3A">
      <w:pPr>
        <w:spacing w:line="640" w:lineRule="exact"/>
        <w:ind w:firstLine="640"/>
        <w:jc w:val="both"/>
        <w:outlineLvl w:val="2"/>
      </w:pPr>
      <w:r>
        <w:rPr>
          <w:rFonts w:ascii="黑体" w:hAnsi="黑体" w:eastAsia="黑体"/>
          <w:sz w:val="32"/>
        </w:rPr>
        <w:t>二、收入决算情况说明</w:t>
      </w:r>
    </w:p>
    <w:p w14:paraId="25938498">
      <w:pPr>
        <w:spacing w:line="580" w:lineRule="exact"/>
        <w:ind w:firstLine="640"/>
        <w:jc w:val="both"/>
      </w:pPr>
      <w:r>
        <w:rPr>
          <w:rFonts w:ascii="仿宋_GB2312" w:hAnsi="仿宋_GB2312" w:eastAsia="仿宋_GB2312"/>
          <w:b/>
          <w:sz w:val="32"/>
        </w:rPr>
        <w:t>本年收入3,334.12万元，</w:t>
      </w:r>
      <w:r>
        <w:rPr>
          <w:rFonts w:ascii="仿宋_GB2312" w:hAnsi="仿宋_GB2312" w:eastAsia="仿宋_GB2312"/>
          <w:b w:val="0"/>
          <w:sz w:val="32"/>
        </w:rPr>
        <w:t>其中：财政拨款收入3,319.12万元，占99.55%；上级补助收入0.00万元，占0.00%；事业收入0.00万元，占0.00%；经营收入0.00万元，占0.00%；附属单位上缴收入0.00万元，占0.00%；其他收入15.00万元，占0.45%。</w:t>
      </w:r>
    </w:p>
    <w:p w14:paraId="50E3343D">
      <w:pPr>
        <w:spacing w:line="640" w:lineRule="exact"/>
        <w:ind w:firstLine="640"/>
        <w:jc w:val="both"/>
        <w:outlineLvl w:val="2"/>
      </w:pPr>
      <w:r>
        <w:rPr>
          <w:rFonts w:ascii="黑体" w:hAnsi="黑体" w:eastAsia="黑体"/>
          <w:sz w:val="32"/>
        </w:rPr>
        <w:t>三、支出决算情况说明</w:t>
      </w:r>
    </w:p>
    <w:p w14:paraId="0AFA1CE9">
      <w:pPr>
        <w:spacing w:line="580" w:lineRule="exact"/>
        <w:ind w:firstLine="640"/>
        <w:jc w:val="both"/>
      </w:pPr>
      <w:r>
        <w:rPr>
          <w:rFonts w:ascii="仿宋_GB2312" w:hAnsi="仿宋_GB2312" w:eastAsia="仿宋_GB2312"/>
          <w:b/>
          <w:sz w:val="32"/>
        </w:rPr>
        <w:t>本年支出3,319.12万元，</w:t>
      </w:r>
      <w:r>
        <w:rPr>
          <w:rFonts w:ascii="仿宋_GB2312" w:hAnsi="仿宋_GB2312" w:eastAsia="仿宋_GB2312"/>
          <w:b w:val="0"/>
          <w:sz w:val="32"/>
        </w:rPr>
        <w:t>其中：基本支出648.79万元，占19.55%；项目支出2,670.32万元，占80.45%；上缴上级支出0.00万元，占0.00%；经营支出0.00万元，占0.00%；对附属单位补助支出0.00万元，占0.00%。</w:t>
      </w:r>
    </w:p>
    <w:p w14:paraId="36C69FA1">
      <w:pPr>
        <w:spacing w:line="640" w:lineRule="exact"/>
        <w:ind w:firstLine="640"/>
        <w:jc w:val="both"/>
        <w:outlineLvl w:val="2"/>
      </w:pPr>
      <w:r>
        <w:rPr>
          <w:rFonts w:ascii="黑体" w:hAnsi="黑体" w:eastAsia="黑体"/>
          <w:sz w:val="32"/>
        </w:rPr>
        <w:t>四、财政拨款收入支出决算总体情况说明</w:t>
      </w:r>
    </w:p>
    <w:p w14:paraId="239F3972">
      <w:pPr>
        <w:spacing w:line="580" w:lineRule="exact"/>
        <w:ind w:firstLine="640"/>
        <w:jc w:val="both"/>
      </w:pPr>
      <w:r>
        <w:rPr>
          <w:rFonts w:ascii="仿宋_GB2312" w:hAnsi="仿宋_GB2312" w:eastAsia="仿宋_GB2312"/>
          <w:b/>
          <w:sz w:val="32"/>
        </w:rPr>
        <w:t>2024年度财政拨款收入总计3,319.12万元，</w:t>
      </w:r>
      <w:r>
        <w:rPr>
          <w:rFonts w:ascii="仿宋_GB2312" w:hAnsi="仿宋_GB2312" w:eastAsia="仿宋_GB2312"/>
          <w:b w:val="0"/>
          <w:sz w:val="32"/>
        </w:rPr>
        <w:t>其中：年初财政拨款结转和结余0.00万元，本年财政拨款收入3,319.12万元。</w:t>
      </w:r>
      <w:r>
        <w:rPr>
          <w:rFonts w:ascii="仿宋_GB2312" w:hAnsi="仿宋_GB2312" w:eastAsia="仿宋_GB2312"/>
          <w:b/>
          <w:sz w:val="32"/>
        </w:rPr>
        <w:t>财政拨款支出总计3,319.12万元，</w:t>
      </w:r>
      <w:r>
        <w:rPr>
          <w:rFonts w:ascii="仿宋_GB2312" w:hAnsi="仿宋_GB2312" w:eastAsia="仿宋_GB2312"/>
          <w:b w:val="0"/>
          <w:sz w:val="32"/>
        </w:rPr>
        <w:t>其中：年末财政拨款结转和结余0.00万元，本年财政拨款支出3,319.12万元。</w:t>
      </w:r>
    </w:p>
    <w:p w14:paraId="0EB55FC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减少2,442.45万元，下降42.39%，主要原因是：本年在职人员减少，相关人员经费较上年减少。本年减少专项项目经费，导致经费较上年减少。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年初预算数3,850.62万元，决算数3,319.12万元，预决算差异率-13.80%，主要原因是：年中调减专项项目资金，导致预决算存在差异。</w:t>
      </w:r>
    </w:p>
    <w:p w14:paraId="427DDADC">
      <w:pPr>
        <w:spacing w:line="640" w:lineRule="exact"/>
        <w:ind w:firstLine="640"/>
        <w:jc w:val="both"/>
        <w:outlineLvl w:val="2"/>
      </w:pPr>
      <w:r>
        <w:rPr>
          <w:rFonts w:ascii="黑体" w:hAnsi="黑体" w:eastAsia="黑体"/>
          <w:sz w:val="32"/>
        </w:rPr>
        <w:t>五、一般公共预算财政拨款支出决算情况说明</w:t>
      </w:r>
    </w:p>
    <w:p w14:paraId="004EB082">
      <w:pPr>
        <w:spacing w:line="640" w:lineRule="exact"/>
        <w:ind w:firstLine="640"/>
        <w:jc w:val="both"/>
        <w:outlineLvl w:val="3"/>
      </w:pPr>
      <w:r>
        <w:rPr>
          <w:rFonts w:ascii="楷体_GB2312" w:hAnsi="楷体_GB2312" w:eastAsia="楷体_GB2312"/>
          <w:b/>
          <w:sz w:val="32"/>
        </w:rPr>
        <w:t>（一）一般公共预算财政拨款支出决算总体情况</w:t>
      </w:r>
    </w:p>
    <w:p w14:paraId="202FE62F">
      <w:pPr>
        <w:spacing w:line="580" w:lineRule="exact"/>
        <w:ind w:firstLine="640"/>
        <w:jc w:val="both"/>
      </w:pPr>
      <w:r>
        <w:rPr>
          <w:rFonts w:ascii="仿宋_GB2312" w:hAnsi="仿宋_GB2312" w:eastAsia="仿宋_GB2312"/>
          <w:b/>
          <w:sz w:val="32"/>
        </w:rPr>
        <w:t>2024年度一般公共预算财政拨款支出3,319.12万元，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增加2,448.55万元，增长281.26%，主要原因是：本年增加普法宣传经费、法律援助经费等，导致经费支出较上年增加。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年初预算数3,850.62万元，决算数3,319.12万元，预决算差异率-13.80%，主要原因是：年中调减专项项目资金，导致预决算存在差异。</w:t>
      </w:r>
    </w:p>
    <w:p w14:paraId="2FCB0D6C">
      <w:pPr>
        <w:spacing w:line="640" w:lineRule="exact"/>
        <w:ind w:firstLine="640"/>
        <w:jc w:val="both"/>
        <w:outlineLvl w:val="3"/>
      </w:pPr>
      <w:r>
        <w:rPr>
          <w:rFonts w:ascii="楷体_GB2312" w:hAnsi="楷体_GB2312" w:eastAsia="楷体_GB2312"/>
          <w:b/>
          <w:sz w:val="32"/>
        </w:rPr>
        <w:t>（二）一般公共预算财政拨款支出决算结构情况</w:t>
      </w:r>
    </w:p>
    <w:p w14:paraId="4B1C0CBA">
      <w:pPr>
        <w:spacing w:line="580" w:lineRule="exact"/>
        <w:ind w:firstLine="640"/>
        <w:jc w:val="both"/>
      </w:pPr>
      <w:r>
        <w:rPr>
          <w:rFonts w:ascii="仿宋_GB2312" w:hAnsi="仿宋_GB2312" w:eastAsia="仿宋_GB2312"/>
          <w:b w:val="0"/>
          <w:sz w:val="32"/>
        </w:rPr>
        <w:t>1.公共安全支出(类)3,146.71万元,占94.81%。</w:t>
      </w:r>
    </w:p>
    <w:p w14:paraId="54A2666B">
      <w:pPr>
        <w:spacing w:line="580" w:lineRule="exact"/>
        <w:ind w:firstLine="640"/>
        <w:jc w:val="both"/>
      </w:pPr>
      <w:r>
        <w:rPr>
          <w:rFonts w:ascii="仿宋_GB2312" w:hAnsi="仿宋_GB2312" w:eastAsia="仿宋_GB2312"/>
          <w:b w:val="0"/>
          <w:sz w:val="32"/>
        </w:rPr>
        <w:t>2.社会保障和就业支出(类)93.91万元,占2.83%。</w:t>
      </w:r>
    </w:p>
    <w:p w14:paraId="5E53C20C">
      <w:pPr>
        <w:spacing w:line="580" w:lineRule="exact"/>
        <w:ind w:firstLine="640"/>
        <w:jc w:val="both"/>
      </w:pPr>
      <w:r>
        <w:rPr>
          <w:rFonts w:ascii="仿宋_GB2312" w:hAnsi="仿宋_GB2312" w:eastAsia="仿宋_GB2312"/>
          <w:b w:val="0"/>
          <w:sz w:val="32"/>
        </w:rPr>
        <w:t>3.卫生健康支出(类)30.67万元,占0.92%。</w:t>
      </w:r>
    </w:p>
    <w:p w14:paraId="698B871B">
      <w:pPr>
        <w:spacing w:line="580" w:lineRule="exact"/>
        <w:ind w:firstLine="640"/>
        <w:jc w:val="both"/>
      </w:pPr>
      <w:r>
        <w:rPr>
          <w:rFonts w:ascii="仿宋_GB2312" w:hAnsi="仿宋_GB2312" w:eastAsia="仿宋_GB2312"/>
          <w:b w:val="0"/>
          <w:sz w:val="32"/>
        </w:rPr>
        <w:t>4.住房保障支出(类)47.83万元,占1.44%。</w:t>
      </w:r>
    </w:p>
    <w:p w14:paraId="18E0FAF8">
      <w:pPr>
        <w:spacing w:line="640" w:lineRule="exact"/>
        <w:ind w:firstLine="640"/>
        <w:jc w:val="both"/>
        <w:outlineLvl w:val="3"/>
      </w:pPr>
      <w:r>
        <w:rPr>
          <w:rFonts w:ascii="楷体_GB2312" w:hAnsi="楷体_GB2312" w:eastAsia="楷体_GB2312"/>
          <w:b/>
          <w:sz w:val="32"/>
        </w:rPr>
        <w:t>（三）一般公共预算财政拨款支出决算具体情况</w:t>
      </w:r>
    </w:p>
    <w:p w14:paraId="22F36E94">
      <w:pPr>
        <w:spacing w:line="580" w:lineRule="exact"/>
        <w:ind w:firstLine="640"/>
        <w:jc w:val="both"/>
      </w:pPr>
      <w:r>
        <w:rPr>
          <w:rFonts w:ascii="仿宋_GB2312" w:hAnsi="仿宋_GB2312" w:eastAsia="仿宋_GB2312"/>
          <w:b w:val="0"/>
          <w:sz w:val="32"/>
        </w:rPr>
        <w:t>1.公共安全支出(类)司法(款)行政运行(项):支出决算数为476.39万元，比上年决算减少15.20万元，下降3.09%,主要原因是：本年在职人员减少，相应人员经费较上年减少。</w:t>
      </w:r>
    </w:p>
    <w:p w14:paraId="7B65AA5A">
      <w:pPr>
        <w:spacing w:line="580" w:lineRule="exact"/>
        <w:ind w:firstLine="640"/>
        <w:jc w:val="both"/>
      </w:pPr>
      <w:r>
        <w:rPr>
          <w:rFonts w:ascii="仿宋_GB2312" w:hAnsi="仿宋_GB2312" w:eastAsia="仿宋_GB2312"/>
          <w:b w:val="0"/>
          <w:sz w:val="32"/>
        </w:rPr>
        <w:t>2.公共安全支出(类)司法(款)普法宣传(项):支出决算数为7.90万元，比上年决算增加7.90万元，增长100.00%,主要原因是：本年增加普法宣传经费，相关支出增加。</w:t>
      </w:r>
    </w:p>
    <w:p w14:paraId="44A975AF">
      <w:pPr>
        <w:spacing w:line="580" w:lineRule="exact"/>
        <w:ind w:firstLine="640"/>
        <w:jc w:val="both"/>
      </w:pPr>
      <w:r>
        <w:rPr>
          <w:rFonts w:ascii="仿宋_GB2312" w:hAnsi="仿宋_GB2312" w:eastAsia="仿宋_GB2312"/>
          <w:b w:val="0"/>
          <w:sz w:val="32"/>
        </w:rPr>
        <w:t>3.公共安全支出(类)司法(款)公共法律服务(项):支出决算数为2.00万元，比上年决算增加2.00万元，增长100.00%,主要原因是：本年增加法律援助经费，相关支出增加。</w:t>
      </w:r>
    </w:p>
    <w:p w14:paraId="5C7BFCB7">
      <w:pPr>
        <w:spacing w:line="580" w:lineRule="exact"/>
        <w:ind w:firstLine="640"/>
        <w:jc w:val="both"/>
      </w:pPr>
      <w:r>
        <w:rPr>
          <w:rFonts w:ascii="仿宋_GB2312" w:hAnsi="仿宋_GB2312" w:eastAsia="仿宋_GB2312"/>
          <w:b w:val="0"/>
          <w:sz w:val="32"/>
        </w:rPr>
        <w:t>4.公共安全支出(类)司法(款)其他司法支出(项):支出决算数为2,574.32万元，比上年决算增加2,348.05万元，增长1,037.72%,主要原因是：本年增加专项项目资金，相关支出增加。</w:t>
      </w:r>
    </w:p>
    <w:p w14:paraId="22B1C0EB">
      <w:pPr>
        <w:spacing w:line="580" w:lineRule="exact"/>
        <w:ind w:firstLine="640"/>
        <w:jc w:val="both"/>
      </w:pPr>
      <w:r>
        <w:rPr>
          <w:rFonts w:ascii="仿宋_GB2312" w:hAnsi="仿宋_GB2312" w:eastAsia="仿宋_GB2312"/>
          <w:b w:val="0"/>
          <w:sz w:val="32"/>
        </w:rPr>
        <w:t>5.公共安全支出(类)其他公共安全支出(款)其他公共安全支出(项):支出决算数为86.10万元，比上年决算增加86.10万元，增长100.00%,主要原因是：本年增加业务经费，相关支出增加。</w:t>
      </w:r>
    </w:p>
    <w:p w14:paraId="3414ABC8">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6.社会保障和就业支出(类)行政事业单位养老支出(款)行政单位离退休(项):支出决算数为17.23万元，比上年决算增加3.56万元，增长26.04%,主要原因是：本年退休人员增加，退休费支出增加。</w:t>
      </w:r>
    </w:p>
    <w:p w14:paraId="4A669577">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58.67万元，比上年决算增加4.81万元，增长8.93%,主要原因是：本年在职人员工资基数调增，养老缴费基数上涨，相应支出增加。</w:t>
      </w:r>
    </w:p>
    <w:p w14:paraId="15E24069">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8.社会保障和就业支出(类)行政事业单位养老支出(款)机关事业单位职业年金缴费支出(项):支出决算数为18.00万元，比上年决算增加10.50万元，增长140.00%,主要原因是：本年新增退休人员，职业年金缴费支出增加。</w:t>
      </w:r>
    </w:p>
    <w:p w14:paraId="01C1328B">
      <w:pPr>
        <w:spacing w:line="580" w:lineRule="exact"/>
        <w:ind w:firstLine="640"/>
        <w:jc w:val="both"/>
      </w:pPr>
      <w:r>
        <w:rPr>
          <w:rFonts w:ascii="仿宋_GB2312" w:hAnsi="仿宋_GB2312" w:eastAsia="仿宋_GB2312"/>
          <w:b w:val="0"/>
          <w:sz w:val="32"/>
        </w:rPr>
        <w:t>9.卫生健康支出(类)行政事业单位医疗(款)行政单位医疗(项):支出决算数为24.97万元，比上年决算减少3.20万元，下降11.36%,主要原因是：本年在职人员减少，行政单位医疗支出较上年减少。因退休人员医疗保险制度改革，退休人员基本医疗不再由单位缴纳，导致经费较上年减少。</w:t>
      </w:r>
    </w:p>
    <w:p w14:paraId="6749068E">
      <w:pPr>
        <w:spacing w:line="580" w:lineRule="exact"/>
        <w:ind w:firstLine="640"/>
        <w:jc w:val="both"/>
      </w:pPr>
      <w:r>
        <w:rPr>
          <w:rFonts w:ascii="仿宋_GB2312" w:hAnsi="仿宋_GB2312" w:eastAsia="仿宋_GB2312"/>
          <w:b w:val="0"/>
          <w:sz w:val="32"/>
        </w:rPr>
        <w:t>10.卫生健康支出(类)行政事业单位医疗(款)公务员医疗补助(项):支出决算数为5.70万元，比上年决算减少1.05万元，下降15.56%,主要原因是：本年在职人员减少，公务员医疗补助支出较上年减少。因退休人员医疗保险制度改革，退休人员基本医疗不再由单位缴纳，导致经费较上年减少。</w:t>
      </w:r>
    </w:p>
    <w:p w14:paraId="1CE55EF1">
      <w:pPr>
        <w:spacing w:line="580" w:lineRule="exact"/>
        <w:ind w:firstLine="640"/>
        <w:jc w:val="both"/>
      </w:pPr>
      <w:r>
        <w:rPr>
          <w:rFonts w:ascii="仿宋_GB2312" w:hAnsi="仿宋_GB2312" w:eastAsia="仿宋_GB2312"/>
          <w:b w:val="0"/>
          <w:sz w:val="32"/>
        </w:rPr>
        <w:t>11.住房保障支出(类)住房改革支出(款)住房公积金(项):支出决算数为47.83万元，比上年决算增加5.07万元，增长11.86%,主要原因是：本年在职人员工资基数调增，公积金缴费基数上涨，相应支出增加。</w:t>
      </w:r>
    </w:p>
    <w:p w14:paraId="3C752CAC">
      <w:pPr>
        <w:spacing w:line="640" w:lineRule="exact"/>
        <w:ind w:firstLine="640"/>
        <w:jc w:val="both"/>
        <w:outlineLvl w:val="2"/>
      </w:pPr>
      <w:r>
        <w:rPr>
          <w:rFonts w:ascii="黑体" w:hAnsi="黑体" w:eastAsia="黑体"/>
          <w:sz w:val="32"/>
        </w:rPr>
        <w:t>六、一般公共预算财政拨款基本支出决算情况说明</w:t>
      </w:r>
    </w:p>
    <w:p w14:paraId="21F7BF00">
      <w:pPr>
        <w:spacing w:line="580" w:lineRule="exact"/>
        <w:ind w:firstLine="640"/>
        <w:jc w:val="both"/>
      </w:pPr>
      <w:r>
        <w:rPr>
          <w:rFonts w:ascii="仿宋_GB2312" w:hAnsi="仿宋_GB2312" w:eastAsia="仿宋_GB2312"/>
          <w:b w:val="0"/>
          <w:sz w:val="32"/>
        </w:rPr>
        <w:t>2024年度一般公共预算财政拨款基本支出648.79万元，其中：</w:t>
      </w:r>
      <w:r>
        <w:rPr>
          <w:rFonts w:ascii="仿宋_GB2312" w:hAnsi="仿宋_GB2312" w:eastAsia="仿宋_GB2312"/>
          <w:b/>
          <w:sz w:val="32"/>
        </w:rPr>
        <w:t>人员经费616.28万元，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43D9D32F">
      <w:pPr>
        <w:spacing w:line="580" w:lineRule="exact"/>
        <w:ind w:firstLine="640"/>
        <w:jc w:val="both"/>
      </w:pPr>
      <w:r>
        <w:rPr>
          <w:rFonts w:ascii="仿宋_GB2312" w:hAnsi="仿宋_GB2312" w:eastAsia="仿宋_GB2312"/>
          <w:b/>
          <w:sz w:val="32"/>
        </w:rPr>
        <w:t>公用经费32.52万元，</w:t>
      </w:r>
      <w:r>
        <w:rPr>
          <w:rFonts w:ascii="仿宋_GB2312" w:hAnsi="仿宋_GB2312" w:eastAsia="仿宋_GB2312"/>
          <w:b w:val="0"/>
          <w:sz w:val="32"/>
        </w:rPr>
        <w:t>包括：办公费、水费、电费、邮电费、物业管理费、差旅费、维修（护）费、劳务费、公务用车运行维护费。</w:t>
      </w:r>
    </w:p>
    <w:p w14:paraId="266A935F">
      <w:pPr>
        <w:spacing w:line="640" w:lineRule="exact"/>
        <w:ind w:firstLine="640"/>
        <w:jc w:val="both"/>
        <w:outlineLvl w:val="2"/>
      </w:pPr>
      <w:r>
        <w:rPr>
          <w:rFonts w:ascii="黑体" w:hAnsi="黑体" w:eastAsia="黑体"/>
          <w:sz w:val="32"/>
        </w:rPr>
        <w:t>七、政府性基金预算财政拨款收入支出决算情况说明</w:t>
      </w:r>
    </w:p>
    <w:p w14:paraId="1EEF8A65">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2F78E7E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减少4,891.00万元，下降100.00%，主要原因是：本年减少专项业务项目，导致经费较上年减少。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年初预算数0.00万元，决算数0.00万元，预决算差异率0.00%，主要原因是：本年未安排政府性基金预算财政拨款。</w:t>
      </w:r>
    </w:p>
    <w:p w14:paraId="13E5D10D">
      <w:pPr>
        <w:spacing w:line="580" w:lineRule="exact"/>
        <w:ind w:firstLine="640"/>
        <w:jc w:val="both"/>
      </w:pPr>
      <w:r>
        <w:rPr>
          <w:rFonts w:ascii="仿宋_GB2312" w:hAnsi="仿宋_GB2312" w:eastAsia="仿宋_GB2312"/>
          <w:b w:val="0"/>
          <w:sz w:val="32"/>
        </w:rPr>
        <w:t>政府性基金预算财政拨款支出0.00万元。</w:t>
      </w:r>
    </w:p>
    <w:p w14:paraId="591FDF57">
      <w:pPr>
        <w:spacing w:line="580" w:lineRule="exact"/>
        <w:ind w:firstLine="640"/>
        <w:jc w:val="both"/>
      </w:pPr>
      <w:r>
        <w:rPr>
          <w:rFonts w:ascii="仿宋_GB2312" w:hAnsi="仿宋_GB2312" w:eastAsia="仿宋_GB2312"/>
          <w:b w:val="0"/>
          <w:sz w:val="32"/>
        </w:rPr>
        <w:t>1.城乡社区支出(类)国有土地使用权出让收入对应专项债务收入安排的支出(款)其他国有土地使用权出让收入对应专项债务收入安排的支出(项):支出决算数为0.00万元，比上年决算减少4,891.00万元，下降100.00%,主要原因是：本年减少专项业务项目，导致经费较上年减少。</w:t>
      </w:r>
    </w:p>
    <w:p w14:paraId="399C5475">
      <w:pPr>
        <w:spacing w:line="640" w:lineRule="exact"/>
        <w:ind w:firstLine="640"/>
        <w:jc w:val="both"/>
        <w:outlineLvl w:val="2"/>
      </w:pPr>
      <w:r>
        <w:rPr>
          <w:rFonts w:ascii="黑体" w:hAnsi="黑体" w:eastAsia="黑体"/>
          <w:sz w:val="32"/>
        </w:rPr>
        <w:t>八、国有资本经营预算财政拨款收入支出决算情况说明</w:t>
      </w:r>
    </w:p>
    <w:p w14:paraId="6B6C5C7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3C8B60">
      <w:pPr>
        <w:spacing w:line="640" w:lineRule="exact"/>
        <w:ind w:firstLine="640"/>
        <w:jc w:val="both"/>
        <w:outlineLvl w:val="2"/>
      </w:pPr>
      <w:r>
        <w:rPr>
          <w:rFonts w:ascii="黑体" w:hAnsi="黑体" w:eastAsia="黑体"/>
          <w:sz w:val="32"/>
        </w:rPr>
        <w:t>九、财政拨款“三公”经费支出决算情况说明</w:t>
      </w:r>
    </w:p>
    <w:p w14:paraId="59520408">
      <w:pPr>
        <w:spacing w:line="580" w:lineRule="exact"/>
        <w:ind w:firstLine="640"/>
        <w:jc w:val="both"/>
      </w:pPr>
      <w:r>
        <w:rPr>
          <w:rFonts w:ascii="仿宋_GB2312" w:hAnsi="仿宋_GB2312" w:eastAsia="仿宋_GB2312"/>
          <w:b/>
          <w:sz w:val="32"/>
        </w:rPr>
        <w:t>2024年度财政拨款“三公”经费支出46.17万元，</w:t>
      </w:r>
      <w:r>
        <w:rPr>
          <w:rFonts w:ascii="仿宋_GB2312" w:hAnsi="仿宋_GB2312" w:eastAsia="仿宋_GB2312"/>
          <w:b w:val="0"/>
          <w:sz w:val="32"/>
        </w:rPr>
        <w:t>比上年增加34.17万元，增长284.75%，主要原因是：本年新购入公务用车，公务用车购置费较上年增加。其中：因公出国（境）费支出0.00万元，占0.00%，比上年增加0.00万元，增长0.00%，主要原因是：2023年与2024年均未安排因公出国（境）费支出。公务用车购置及运行维护费支出46.17万元，占100.00%，比上年增加34.17万元，增长284.75%，主要原因是：本年新购入公务用车，公务用车购置费较上年增加。公务接待费支出0.00万元，占0.00%，比上年增加0.00万元，增长0.00%，主要原因是：2023年与2024年均未安排公务接待费支出。</w:t>
      </w:r>
    </w:p>
    <w:p w14:paraId="56E6CC53">
      <w:pPr>
        <w:spacing w:line="580" w:lineRule="exact"/>
        <w:ind w:firstLine="640"/>
        <w:jc w:val="both"/>
      </w:pPr>
      <w:r>
        <w:rPr>
          <w:rFonts w:ascii="仿宋_GB2312" w:hAnsi="仿宋_GB2312" w:eastAsia="仿宋_GB2312"/>
          <w:b/>
          <w:sz w:val="32"/>
        </w:rPr>
        <w:t>具体情况如下：</w:t>
      </w:r>
    </w:p>
    <w:p w14:paraId="3C1959E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477DA16">
      <w:pPr>
        <w:spacing w:line="580" w:lineRule="exact"/>
        <w:ind w:firstLine="640"/>
        <w:jc w:val="both"/>
      </w:pPr>
      <w:r>
        <w:rPr>
          <w:rFonts w:ascii="仿宋_GB2312" w:hAnsi="仿宋_GB2312" w:eastAsia="仿宋_GB2312"/>
          <w:b w:val="0"/>
          <w:sz w:val="32"/>
        </w:rPr>
        <w:t>公务用车购置及运行维护费46.17万元，其中：公务用车购置费27.19万元，公务用车运行维护费18.98万元。公务用车运行维护费开支内容包括车辆加油费、维修费、保险费、审车费、过路费等。公务用车购置数1辆，公务用车保有量14辆。国有资产占用情况中固定资产车辆14辆，与公务用车保有量差异原因是：本单位固定资产车辆与公务用车保有量一致无差异。</w:t>
      </w:r>
    </w:p>
    <w:p w14:paraId="2A5BECB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719107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46.17万元，决算数46.17万元，预决算差异率0.00%，主要原因是：严格按照预算执行，预决算无差异。其中：因公出国（境）费全年预算数0.00万元，决算数0.00万元，预决算差异率0.00%，主要原因是：本单位无因公出国（境）费。公务用车购置费全年预算数27.19万元，决算数27.19万元，预决算差异率0.00%，主要原因是：严格按照预算执行，预决算无差异。公务用车运行维护费全年预算数18.98万元，决算数18.98万元，预决算差异率0.00%，主要原因是：严格按照预算执行，预决算无差异。公务接待费全年预算数0.00万元，决算数0.00万元，预决算差异率0.00%，主要原因是：本单位无公务接待费。</w:t>
      </w:r>
    </w:p>
    <w:p w14:paraId="19BDEB25">
      <w:pPr>
        <w:spacing w:line="640" w:lineRule="exact"/>
        <w:ind w:firstLine="640"/>
        <w:jc w:val="both"/>
        <w:outlineLvl w:val="2"/>
      </w:pPr>
      <w:r>
        <w:rPr>
          <w:rFonts w:ascii="黑体" w:hAnsi="黑体" w:eastAsia="黑体"/>
          <w:sz w:val="32"/>
        </w:rPr>
        <w:t>十、其他重要事项的情况说明</w:t>
      </w:r>
    </w:p>
    <w:p w14:paraId="3342E9AF">
      <w:pPr>
        <w:spacing w:line="640" w:lineRule="exact"/>
        <w:ind w:firstLine="640"/>
        <w:jc w:val="both"/>
        <w:outlineLvl w:val="3"/>
      </w:pPr>
      <w:r>
        <w:rPr>
          <w:rFonts w:ascii="楷体_GB2312" w:hAnsi="楷体_GB2312" w:eastAsia="楷体_GB2312"/>
          <w:b/>
          <w:sz w:val="32"/>
        </w:rPr>
        <w:t>（一）机关运行经费及公用经费支出情况</w:t>
      </w:r>
    </w:p>
    <w:p w14:paraId="77FC2493">
      <w:pPr>
        <w:spacing w:line="580" w:lineRule="exact"/>
        <w:ind w:firstLine="640"/>
        <w:jc w:val="both"/>
      </w:pPr>
      <w:r>
        <w:rPr>
          <w:rFonts w:ascii="仿宋_GB2312" w:hAnsi="仿宋_GB2312" w:eastAsia="仿宋_GB2312"/>
          <w:b w:val="0"/>
          <w:sz w:val="32"/>
        </w:rPr>
        <w:t>2024年度岳普湖县司法局（行政单位和参照公务员法管理事业单位）机关运行经费支出32.52万元，比上年增加10.15万元，增长45.37%，主要原因是：本年更新、维护补充办公用品，办公费、公务用车运行维护费等经费增加，导致机关运行经费较上年增加。</w:t>
      </w:r>
    </w:p>
    <w:p w14:paraId="05A25B36">
      <w:pPr>
        <w:spacing w:line="640" w:lineRule="exact"/>
        <w:ind w:firstLine="640"/>
        <w:jc w:val="both"/>
        <w:outlineLvl w:val="3"/>
      </w:pPr>
      <w:r>
        <w:rPr>
          <w:rFonts w:ascii="楷体_GB2312" w:hAnsi="楷体_GB2312" w:eastAsia="楷体_GB2312"/>
          <w:b/>
          <w:sz w:val="32"/>
        </w:rPr>
        <w:t>（二）政府采购情况</w:t>
      </w:r>
    </w:p>
    <w:p w14:paraId="291057F6">
      <w:pPr>
        <w:spacing w:line="580" w:lineRule="exact"/>
        <w:ind w:firstLine="640"/>
        <w:jc w:val="both"/>
      </w:pPr>
      <w:r>
        <w:rPr>
          <w:rFonts w:ascii="仿宋_GB2312" w:hAnsi="仿宋_GB2312" w:eastAsia="仿宋_GB2312"/>
          <w:b w:val="0"/>
          <w:sz w:val="32"/>
        </w:rPr>
        <w:t>2024年度政府采购支出总额39.99万元，其中：政府采购货物支出32.14万元、政府采购工程支出0.00万元、政府采购服务支出7.85万元。</w:t>
      </w:r>
    </w:p>
    <w:p w14:paraId="28C26002">
      <w:pPr>
        <w:spacing w:line="580" w:lineRule="exact"/>
        <w:ind w:firstLine="640"/>
        <w:jc w:val="both"/>
      </w:pPr>
      <w:r>
        <w:rPr>
          <w:rFonts w:ascii="仿宋_GB2312" w:hAnsi="仿宋_GB2312" w:eastAsia="仿宋_GB2312"/>
          <w:b w:val="0"/>
          <w:sz w:val="32"/>
        </w:rPr>
        <w:t>授予中小企业合同金额15.01万元，占政府采购支出总额的37.53%，其中：授予小微企业合同金额15.01万元，占政府采购支出总额的37.53%。</w:t>
      </w:r>
    </w:p>
    <w:p w14:paraId="08BE485B">
      <w:pPr>
        <w:spacing w:line="640" w:lineRule="exact"/>
        <w:ind w:firstLine="640"/>
        <w:jc w:val="both"/>
        <w:outlineLvl w:val="3"/>
      </w:pPr>
      <w:r>
        <w:rPr>
          <w:rFonts w:ascii="楷体_GB2312" w:hAnsi="楷体_GB2312" w:eastAsia="楷体_GB2312"/>
          <w:b/>
          <w:sz w:val="32"/>
        </w:rPr>
        <w:t>（三）国有资产占用情况说明</w:t>
      </w:r>
    </w:p>
    <w:p w14:paraId="1324C40B">
      <w:pPr>
        <w:spacing w:line="580" w:lineRule="exact"/>
        <w:ind w:firstLine="640"/>
        <w:jc w:val="both"/>
      </w:pPr>
      <w:r>
        <w:rPr>
          <w:rFonts w:ascii="仿宋_GB2312" w:hAnsi="仿宋_GB2312" w:eastAsia="仿宋_GB2312"/>
          <w:b w:val="0"/>
          <w:sz w:val="32"/>
        </w:rPr>
        <w:t>截至2024年12月31日，房屋2,501.00平方米，价值373.34万元。车辆14辆，价值172.17万元，其中：副部（省）级及以上领导用车0辆、主要负责人用车0辆、机要通信用车0辆、应急保障用车0辆、执法执勤用车5辆、特种专业技术用车2辆、离退休干部服务用车0辆、其他用车7辆，其他用车主要是：一般公务用车。单价100万元（含）以上设备（不含车辆）0台（套）。</w:t>
      </w:r>
    </w:p>
    <w:p w14:paraId="427BD26C">
      <w:pPr>
        <w:spacing w:line="640" w:lineRule="exact"/>
        <w:ind w:firstLine="640"/>
        <w:jc w:val="both"/>
        <w:outlineLvl w:val="2"/>
      </w:pPr>
      <w:r>
        <w:rPr>
          <w:rFonts w:ascii="黑体" w:hAnsi="黑体" w:eastAsia="黑体"/>
          <w:sz w:val="32"/>
        </w:rPr>
        <w:t>十一、预算绩效的情况说明</w:t>
      </w:r>
    </w:p>
    <w:p w14:paraId="0F5F6EE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根据预算绩效管理要求，本单位2024年度预算绩效管理形成整体支出绩效自评表1个，全年预算总额3,334.12万元，实际执行总额3,319.12万元；预算绩效评价项目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3334.12万元，全年执行数3319.12万元。预算绩效管理取得的成效：本单位预算绩效项目不予公开。发现的问题及原因：本单位预算绩效项目不予公开。下一步改进措施：本单位预算绩效项目不予公开。具体附整体支出绩效自评表。</w:t>
      </w:r>
    </w:p>
    <w:p w14:paraId="607D6D8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F1860B">
        <w:tblPrEx>
          <w:tblCellMar>
            <w:top w:w="0" w:type="dxa"/>
            <w:left w:w="108" w:type="dxa"/>
            <w:bottom w:w="0" w:type="dxa"/>
            <w:right w:w="108" w:type="dxa"/>
          </w:tblCellMar>
        </w:tblPrEx>
        <w:tc>
          <w:tcPr>
            <w:tcW w:w="8847" w:type="dxa"/>
            <w:gridSpan w:val="9"/>
            <w:vAlign w:val="center"/>
          </w:tcPr>
          <w:p w14:paraId="15F8053D">
            <w:pPr>
              <w:jc w:val="center"/>
            </w:pPr>
            <w:r>
              <w:rPr>
                <w:rFonts w:ascii="宋体" w:hAnsi="宋体" w:eastAsia="宋体"/>
                <w:sz w:val="24"/>
              </w:rPr>
              <w:t>单位整体支出绩效自评表</w:t>
            </w:r>
          </w:p>
        </w:tc>
      </w:tr>
      <w:tr w14:paraId="7A46E4DD">
        <w:tblPrEx>
          <w:tblCellMar>
            <w:top w:w="0" w:type="dxa"/>
            <w:left w:w="108" w:type="dxa"/>
            <w:bottom w:w="0" w:type="dxa"/>
            <w:right w:w="108" w:type="dxa"/>
          </w:tblCellMar>
        </w:tblPrEx>
        <w:tc>
          <w:tcPr>
            <w:tcW w:w="8847" w:type="dxa"/>
            <w:gridSpan w:val="9"/>
            <w:vAlign w:val="center"/>
          </w:tcPr>
          <w:p w14:paraId="5C027882">
            <w:pPr>
              <w:jc w:val="center"/>
            </w:pPr>
            <w:r>
              <w:rPr>
                <w:rFonts w:ascii="宋体" w:hAnsi="宋体" w:eastAsia="宋体"/>
                <w:sz w:val="24"/>
              </w:rPr>
              <w:t>（2024年度）</w:t>
            </w:r>
          </w:p>
        </w:tc>
      </w:tr>
      <w:tr w14:paraId="5A69AE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D602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6598BB">
            <w:pPr>
              <w:jc w:val="center"/>
            </w:pPr>
            <w:r>
              <w:rPr>
                <w:rFonts w:ascii="宋体" w:hAnsi="宋体" w:eastAsia="宋体"/>
                <w:sz w:val="16"/>
              </w:rPr>
              <w:t>岳普湖县司法局</w:t>
            </w:r>
          </w:p>
        </w:tc>
      </w:tr>
      <w:tr w14:paraId="0A3FC4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BFD4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5F5F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9EA5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F4EC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7228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23EA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22FF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6C239">
            <w:pPr>
              <w:jc w:val="center"/>
            </w:pPr>
            <w:r>
              <w:rPr>
                <w:rFonts w:ascii="宋体" w:hAnsi="宋体" w:eastAsia="宋体"/>
                <w:sz w:val="16"/>
              </w:rPr>
              <w:t>得分</w:t>
            </w:r>
          </w:p>
        </w:tc>
      </w:tr>
      <w:tr w14:paraId="2C240D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5A6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39E7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3B6E7">
            <w:pPr>
              <w:jc w:val="center"/>
            </w:pPr>
            <w:r>
              <w:rPr>
                <w:rFonts w:ascii="宋体" w:hAnsi="宋体" w:eastAsia="宋体"/>
                <w:sz w:val="16"/>
              </w:rPr>
              <w:t>3,850.62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EA59E">
            <w:pPr>
              <w:jc w:val="center"/>
            </w:pPr>
            <w:r>
              <w:rPr>
                <w:rFonts w:ascii="宋体" w:hAnsi="宋体" w:eastAsia="宋体"/>
                <w:sz w:val="16"/>
              </w:rPr>
              <w:t>3,334.12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9CDB7">
            <w:pPr>
              <w:jc w:val="center"/>
            </w:pPr>
            <w:r>
              <w:rPr>
                <w:rFonts w:ascii="宋体" w:hAnsi="宋体" w:eastAsia="宋体"/>
                <w:sz w:val="16"/>
              </w:rPr>
              <w:t>3,319.12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7A0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79D61">
            <w:pPr>
              <w:jc w:val="center"/>
            </w:pPr>
            <w:r>
              <w:rPr>
                <w:rFonts w:ascii="宋体" w:hAnsi="宋体" w:eastAsia="宋体"/>
                <w:sz w:val="16"/>
              </w:rPr>
              <w:t>99.55%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DCD0B">
            <w:pPr>
              <w:jc w:val="center"/>
            </w:pPr>
            <w:r>
              <w:rPr>
                <w:rFonts w:ascii="宋体" w:hAnsi="宋体" w:eastAsia="宋体"/>
                <w:sz w:val="16"/>
              </w:rPr>
              <w:t>9.96</w:t>
            </w:r>
          </w:p>
        </w:tc>
      </w:tr>
      <w:tr w14:paraId="1533AC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513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8563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A86F0">
            <w:pPr>
              <w:jc w:val="center"/>
            </w:pPr>
            <w:r>
              <w:rPr>
                <w:rFonts w:ascii="宋体" w:hAnsi="宋体" w:eastAsia="宋体"/>
                <w:sz w:val="16"/>
              </w:rPr>
              <w:t>133.14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231BA">
            <w:pPr>
              <w:jc w:val="center"/>
            </w:pPr>
            <w:r>
              <w:rPr>
                <w:rFonts w:ascii="宋体" w:hAnsi="宋体" w:eastAsia="宋体"/>
                <w:sz w:val="16"/>
              </w:rPr>
              <w:t>212.16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A5445">
            <w:pPr>
              <w:jc w:val="center"/>
            </w:pPr>
            <w:r>
              <w:rPr>
                <w:rFonts w:ascii="宋体" w:hAnsi="宋体" w:eastAsia="宋体"/>
                <w:sz w:val="16"/>
              </w:rPr>
              <w:t>197.16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3EF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2879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F605D">
            <w:pPr>
              <w:jc w:val="center"/>
            </w:pPr>
            <w:r>
              <w:rPr>
                <w:rFonts w:ascii="宋体" w:hAnsi="宋体" w:eastAsia="宋体"/>
                <w:sz w:val="16"/>
              </w:rPr>
              <w:t>—</w:t>
            </w:r>
          </w:p>
        </w:tc>
      </w:tr>
      <w:tr w14:paraId="24DC7B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96AA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3C77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99625">
            <w:pPr>
              <w:jc w:val="center"/>
            </w:pPr>
            <w:r>
              <w:rPr>
                <w:rFonts w:ascii="宋体" w:hAnsi="宋体" w:eastAsia="宋体"/>
                <w:sz w:val="16"/>
              </w:rPr>
              <w:t>3,717.48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4CACE">
            <w:pPr>
              <w:jc w:val="center"/>
            </w:pPr>
            <w:r>
              <w:rPr>
                <w:rFonts w:ascii="宋体" w:hAnsi="宋体" w:eastAsia="宋体"/>
                <w:sz w:val="16"/>
              </w:rPr>
              <w:t>3,121.96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C2982">
            <w:pPr>
              <w:jc w:val="center"/>
            </w:pPr>
            <w:r>
              <w:rPr>
                <w:rFonts w:ascii="宋体" w:hAnsi="宋体" w:eastAsia="宋体"/>
                <w:sz w:val="16"/>
              </w:rPr>
              <w:t>3,121.96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F6F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F818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B36A3">
            <w:pPr>
              <w:jc w:val="center"/>
            </w:pPr>
            <w:r>
              <w:rPr>
                <w:rFonts w:ascii="宋体" w:hAnsi="宋体" w:eastAsia="宋体"/>
                <w:sz w:val="16"/>
              </w:rPr>
              <w:t>—</w:t>
            </w:r>
          </w:p>
        </w:tc>
      </w:tr>
      <w:tr w14:paraId="22390B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6952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5A6A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9F3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5D7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F08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985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C5F5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2B3EA">
            <w:pPr>
              <w:jc w:val="center"/>
            </w:pPr>
            <w:r>
              <w:rPr>
                <w:rFonts w:ascii="宋体" w:hAnsi="宋体" w:eastAsia="宋体"/>
                <w:sz w:val="16"/>
              </w:rPr>
              <w:t>—</w:t>
            </w:r>
          </w:p>
        </w:tc>
      </w:tr>
      <w:tr w14:paraId="3E206B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41C4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913B4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7D5C14">
            <w:pPr>
              <w:jc w:val="center"/>
            </w:pPr>
            <w:r>
              <w:rPr>
                <w:rFonts w:ascii="宋体" w:hAnsi="宋体" w:eastAsia="宋体"/>
                <w:sz w:val="16"/>
              </w:rPr>
              <w:t>实际完成情况</w:t>
            </w:r>
          </w:p>
        </w:tc>
      </w:tr>
      <w:tr w14:paraId="3D523D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6BCA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D5ECAF">
            <w:pPr>
              <w:jc w:val="both"/>
            </w:pPr>
            <w:r>
              <w:rPr>
                <w:rFonts w:ascii="宋体" w:hAnsi="宋体" w:eastAsia="宋体"/>
                <w:sz w:val="16"/>
              </w:rPr>
              <w:t>完成组建200人普法宣讲志愿服务队，各级调解组织125个，保障“12348”法律服务专线工作正常运转。推进法治政府建设，指导、监督各部门依法行政工作，保障社会治安综合治理工作正常进行。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51E458">
            <w:pPr>
              <w:jc w:val="both"/>
            </w:pPr>
            <w:r>
              <w:rPr>
                <w:rFonts w:ascii="宋体" w:hAnsi="宋体" w:eastAsia="宋体"/>
                <w:sz w:val="16"/>
              </w:rPr>
              <w:t>已完成组建200人的普法宣讲志愿服务队，指导规范设立125个人民调解委员会，保障“12348”1条法律服务专线工作的正常运转。充分发挥单位履职效能，推进法治政府建设，指导、监督各部门依法行政工作，保障社会治安综合治理工作正常进行。</w:t>
            </w:r>
          </w:p>
        </w:tc>
      </w:tr>
      <w:tr w14:paraId="2F5B8B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EDEF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8A60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A723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B350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08A9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3E21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B8FF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1DFF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F14B6">
            <w:pPr>
              <w:jc w:val="center"/>
            </w:pPr>
            <w:r>
              <w:rPr>
                <w:rFonts w:ascii="宋体" w:hAnsi="宋体" w:eastAsia="宋体"/>
                <w:sz w:val="16"/>
              </w:rPr>
              <w:t>得分</w:t>
            </w:r>
          </w:p>
        </w:tc>
      </w:tr>
      <w:tr w14:paraId="2379F4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411C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9ACF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306CD">
            <w:pPr>
              <w:jc w:val="center"/>
            </w:pPr>
            <w:r>
              <w:rPr>
                <w:rFonts w:ascii="宋体" w:hAnsi="宋体" w:eastAsia="宋体"/>
                <w:sz w:val="16"/>
              </w:rPr>
              <w:t>普法宣讲志愿服务队人数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5A86B">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330B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BAAA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EF92A">
            <w:pPr>
              <w:jc w:val="center"/>
            </w:pPr>
            <w:r>
              <w:rPr>
                <w:rFonts w:ascii="宋体" w:hAnsi="宋体" w:eastAsia="宋体"/>
                <w:sz w:val="16"/>
              </w:rPr>
              <w: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94C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30864">
            <w:pPr>
              <w:jc w:val="center"/>
            </w:pPr>
            <w:r>
              <w:rPr>
                <w:rFonts w:ascii="宋体" w:hAnsi="宋体" w:eastAsia="宋体"/>
                <w:sz w:val="16"/>
              </w:rPr>
              <w:t>18</w:t>
            </w:r>
          </w:p>
        </w:tc>
      </w:tr>
      <w:tr w14:paraId="70C2C2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054D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6E43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4A9CE">
            <w:pPr>
              <w:jc w:val="center"/>
            </w:pPr>
            <w:r>
              <w:rPr>
                <w:rFonts w:ascii="宋体" w:hAnsi="宋体" w:eastAsia="宋体"/>
                <w:sz w:val="16"/>
              </w:rPr>
              <w:t>法律服务咨询专线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7281E">
            <w:pPr>
              <w:jc w:val="center"/>
            </w:pPr>
            <w:r>
              <w:rPr>
                <w:rFonts w:ascii="宋体" w:hAnsi="宋体" w:eastAsia="宋体"/>
                <w:sz w:val="16"/>
              </w:rPr>
              <w:t>&gt;=1条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7927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A556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D7AA6">
            <w:pPr>
              <w:jc w:val="center"/>
            </w:pPr>
            <w:r>
              <w:rPr>
                <w:rFonts w:ascii="宋体" w:hAnsi="宋体" w:eastAsia="宋体"/>
                <w:sz w:val="16"/>
              </w:rPr>
              <w:t>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D8C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D50A5">
            <w:pPr>
              <w:jc w:val="center"/>
            </w:pPr>
            <w:r>
              <w:rPr>
                <w:rFonts w:ascii="宋体" w:hAnsi="宋体" w:eastAsia="宋体"/>
                <w:sz w:val="16"/>
              </w:rPr>
              <w:t>18</w:t>
            </w:r>
          </w:p>
        </w:tc>
      </w:tr>
      <w:tr w14:paraId="561A89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BD9E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E1C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56456">
            <w:pPr>
              <w:jc w:val="center"/>
            </w:pPr>
            <w:r>
              <w:rPr>
                <w:rFonts w:ascii="宋体" w:hAnsi="宋体" w:eastAsia="宋体"/>
                <w:sz w:val="16"/>
              </w:rPr>
              <w:t>各级调解组织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CAECC">
            <w:pPr>
              <w:jc w:val="center"/>
            </w:pPr>
            <w:r>
              <w:rPr>
                <w:rFonts w:ascii="宋体" w:hAnsi="宋体" w:eastAsia="宋体"/>
                <w:sz w:val="16"/>
              </w:rPr>
              <w:t>&gt;=125个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DE23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6BB2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021D0">
            <w:pPr>
              <w:jc w:val="center"/>
            </w:pPr>
            <w:r>
              <w:rPr>
                <w:rFonts w:ascii="宋体" w:hAnsi="宋体" w:eastAsia="宋体"/>
                <w:sz w:val="16"/>
              </w:rPr>
              <w:t>125个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030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37A8A">
            <w:pPr>
              <w:jc w:val="center"/>
            </w:pPr>
            <w:r>
              <w:rPr>
                <w:rFonts w:ascii="宋体" w:hAnsi="宋体" w:eastAsia="宋体"/>
                <w:sz w:val="16"/>
              </w:rPr>
              <w:t>18</w:t>
            </w:r>
          </w:p>
        </w:tc>
      </w:tr>
      <w:tr w14:paraId="69729E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0B5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EEF1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7CABF">
            <w:pPr>
              <w:jc w:val="center"/>
            </w:pPr>
            <w:r>
              <w:rPr>
                <w:rFonts w:ascii="宋体" w:hAnsi="宋体" w:eastAsia="宋体"/>
                <w:sz w:val="16"/>
              </w:rPr>
              <w:t>普法宣传普及率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18E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8D41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DC60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428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4D4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F5C1E">
            <w:pPr>
              <w:jc w:val="center"/>
            </w:pPr>
            <w:r>
              <w:rPr>
                <w:rFonts w:ascii="宋体" w:hAnsi="宋体" w:eastAsia="宋体"/>
                <w:sz w:val="16"/>
              </w:rPr>
              <w:t>18</w:t>
            </w:r>
          </w:p>
        </w:tc>
      </w:tr>
      <w:tr w14:paraId="2C80B2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B959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7605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B0D07">
            <w:pPr>
              <w:jc w:val="center"/>
            </w:pPr>
            <w:r>
              <w:rPr>
                <w:rFonts w:ascii="宋体" w:hAnsi="宋体" w:eastAsia="宋体"/>
                <w:sz w:val="16"/>
              </w:rPr>
              <w:t>普法宣传、咨询完成及时率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307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1EC6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4CE0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9A8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F6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E4BA6">
            <w:pPr>
              <w:jc w:val="center"/>
            </w:pPr>
            <w:r>
              <w:rPr>
                <w:rFonts w:ascii="宋体" w:hAnsi="宋体" w:eastAsia="宋体"/>
                <w:sz w:val="16"/>
              </w:rPr>
              <w:t>18</w:t>
            </w:r>
          </w:p>
        </w:tc>
      </w:tr>
    </w:tbl>
    <w:p w14:paraId="6269FAF0">
      <w:r>
        <w:br w:type="page"/>
      </w:r>
    </w:p>
    <w:p w14:paraId="39C36893">
      <w:pPr>
        <w:spacing w:line="640" w:lineRule="exact"/>
        <w:ind w:firstLine="640"/>
        <w:jc w:val="both"/>
        <w:outlineLvl w:val="2"/>
      </w:pPr>
      <w:r>
        <w:rPr>
          <w:rFonts w:ascii="黑体" w:hAnsi="黑体" w:eastAsia="黑体"/>
          <w:sz w:val="32"/>
        </w:rPr>
        <w:t>十二、其他需说明的事项</w:t>
      </w:r>
    </w:p>
    <w:p w14:paraId="7619B109">
      <w:pPr>
        <w:spacing w:line="580" w:lineRule="exact"/>
        <w:ind w:firstLine="640"/>
        <w:jc w:val="both"/>
      </w:pPr>
      <w:r>
        <w:rPr>
          <w:rFonts w:ascii="仿宋_GB2312" w:hAnsi="仿宋_GB2312" w:eastAsia="仿宋_GB2312"/>
          <w:b w:val="0"/>
          <w:sz w:val="32"/>
        </w:rPr>
        <w:t>本年本单位SM项目1个，全年预算数3334.12元，全年执行数3319.12万元。</w:t>
      </w:r>
    </w:p>
    <w:p w14:paraId="7FBD224E">
      <w:r>
        <w:br w:type="page"/>
      </w:r>
    </w:p>
    <w:p w14:paraId="2D71B02F">
      <w:pPr>
        <w:spacing w:line="240" w:lineRule="auto"/>
        <w:jc w:val="center"/>
        <w:outlineLvl w:val="1"/>
      </w:pPr>
      <w:r>
        <w:rPr>
          <w:rFonts w:ascii="黑体" w:hAnsi="黑体" w:eastAsia="黑体"/>
          <w:sz w:val="32"/>
        </w:rPr>
        <w:t>第三部分 专业名词解释</w:t>
      </w:r>
    </w:p>
    <w:p w14:paraId="2A66AAD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AD477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CD738A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B0BEFC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C566D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F2CFC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94FD7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69E2D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567D7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41EE51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5E711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A777A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D2FAF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4A389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E3A903">
      <w:r>
        <w:br w:type="page"/>
      </w:r>
    </w:p>
    <w:p w14:paraId="2C0BDE87">
      <w:pPr>
        <w:spacing w:line="240" w:lineRule="auto"/>
        <w:jc w:val="center"/>
        <w:outlineLvl w:val="1"/>
      </w:pPr>
      <w:r>
        <w:rPr>
          <w:rFonts w:ascii="黑体" w:hAnsi="黑体" w:eastAsia="黑体"/>
          <w:sz w:val="32"/>
        </w:rPr>
        <w:t>第四部分 部门决算报表（见附表）</w:t>
      </w:r>
    </w:p>
    <w:p w14:paraId="0CD357B2">
      <w:pPr>
        <w:spacing w:line="240" w:lineRule="auto"/>
        <w:ind w:firstLine="640"/>
        <w:jc w:val="both"/>
      </w:pPr>
      <w:r>
        <w:rPr>
          <w:rFonts w:ascii="仿宋_GB2312" w:hAnsi="仿宋_GB2312" w:eastAsia="仿宋_GB2312"/>
          <w:b w:val="0"/>
          <w:sz w:val="32"/>
        </w:rPr>
        <w:t>一、《收入支出决算总表》</w:t>
      </w:r>
    </w:p>
    <w:p w14:paraId="7071647B">
      <w:pPr>
        <w:spacing w:line="240" w:lineRule="auto"/>
        <w:ind w:firstLine="640"/>
        <w:jc w:val="both"/>
      </w:pPr>
      <w:r>
        <w:rPr>
          <w:rFonts w:ascii="仿宋_GB2312" w:hAnsi="仿宋_GB2312" w:eastAsia="仿宋_GB2312"/>
          <w:b w:val="0"/>
          <w:sz w:val="32"/>
        </w:rPr>
        <w:t>二、《收入决算表》</w:t>
      </w:r>
    </w:p>
    <w:p w14:paraId="78ED68BE">
      <w:pPr>
        <w:spacing w:line="240" w:lineRule="auto"/>
        <w:ind w:firstLine="640"/>
        <w:jc w:val="both"/>
      </w:pPr>
      <w:r>
        <w:rPr>
          <w:rFonts w:ascii="仿宋_GB2312" w:hAnsi="仿宋_GB2312" w:eastAsia="仿宋_GB2312"/>
          <w:b w:val="0"/>
          <w:sz w:val="32"/>
        </w:rPr>
        <w:t>三、《支出决算表》</w:t>
      </w:r>
    </w:p>
    <w:p w14:paraId="1A352430">
      <w:pPr>
        <w:spacing w:line="240" w:lineRule="auto"/>
        <w:ind w:firstLine="640"/>
        <w:jc w:val="both"/>
      </w:pPr>
      <w:r>
        <w:rPr>
          <w:rFonts w:ascii="仿宋_GB2312" w:hAnsi="仿宋_GB2312" w:eastAsia="仿宋_GB2312"/>
          <w:b w:val="0"/>
          <w:sz w:val="32"/>
        </w:rPr>
        <w:t>四、《财政拨款收入支出决算总表》</w:t>
      </w:r>
    </w:p>
    <w:p w14:paraId="1B8D093C">
      <w:pPr>
        <w:spacing w:line="240" w:lineRule="auto"/>
        <w:ind w:firstLine="640"/>
        <w:jc w:val="both"/>
      </w:pPr>
      <w:r>
        <w:rPr>
          <w:rFonts w:ascii="仿宋_GB2312" w:hAnsi="仿宋_GB2312" w:eastAsia="仿宋_GB2312"/>
          <w:b w:val="0"/>
          <w:sz w:val="32"/>
        </w:rPr>
        <w:t>五、《一般公共预算财政拨款支出决算表》</w:t>
      </w:r>
    </w:p>
    <w:p w14:paraId="74D4A19A">
      <w:pPr>
        <w:spacing w:line="240" w:lineRule="auto"/>
        <w:ind w:firstLine="640"/>
        <w:jc w:val="both"/>
      </w:pPr>
      <w:r>
        <w:rPr>
          <w:rFonts w:ascii="仿宋_GB2312" w:hAnsi="仿宋_GB2312" w:eastAsia="仿宋_GB2312"/>
          <w:b w:val="0"/>
          <w:sz w:val="32"/>
        </w:rPr>
        <w:t>六、《一般公共预算财政拨款基本支出决算表》</w:t>
      </w:r>
    </w:p>
    <w:p w14:paraId="7A5AECE1">
      <w:pPr>
        <w:spacing w:line="240" w:lineRule="auto"/>
        <w:ind w:firstLine="640"/>
        <w:jc w:val="both"/>
      </w:pPr>
      <w:r>
        <w:rPr>
          <w:rFonts w:ascii="仿宋_GB2312" w:hAnsi="仿宋_GB2312" w:eastAsia="仿宋_GB2312"/>
          <w:b w:val="0"/>
          <w:sz w:val="32"/>
        </w:rPr>
        <w:t>七、《政府性基金预算财政拨款收入支出决算表》</w:t>
      </w:r>
    </w:p>
    <w:p w14:paraId="282781F9">
      <w:pPr>
        <w:spacing w:line="240" w:lineRule="auto"/>
        <w:ind w:firstLine="640"/>
        <w:jc w:val="both"/>
      </w:pPr>
      <w:r>
        <w:rPr>
          <w:rFonts w:ascii="仿宋_GB2312" w:hAnsi="仿宋_GB2312" w:eastAsia="仿宋_GB2312"/>
          <w:b w:val="0"/>
          <w:sz w:val="32"/>
        </w:rPr>
        <w:t>八、《国有资本经营预算财政拨款收入支出决算表》</w:t>
      </w:r>
    </w:p>
    <w:p w14:paraId="02010AE0">
      <w:pPr>
        <w:spacing w:line="240" w:lineRule="auto"/>
        <w:ind w:firstLine="640"/>
        <w:jc w:val="both"/>
      </w:pPr>
      <w:r>
        <w:rPr>
          <w:rFonts w:ascii="仿宋_GB2312" w:hAnsi="仿宋_GB2312" w:eastAsia="仿宋_GB2312"/>
          <w:b w:val="0"/>
          <w:sz w:val="32"/>
        </w:rPr>
        <w:t>九、《财政拨款“三公”经费支出决算表》</w:t>
      </w:r>
    </w:p>
    <w:p w14:paraId="4406785A">
      <w:pPr>
        <w:spacing w:line="240" w:lineRule="auto"/>
        <w:ind w:firstLine="640"/>
        <w:jc w:val="both"/>
      </w:pPr>
    </w:p>
    <w:p w14:paraId="667669B1">
      <w:pPr>
        <w:spacing w:line="240" w:lineRule="auto"/>
        <w:ind w:firstLine="640"/>
        <w:jc w:val="both"/>
      </w:pPr>
    </w:p>
    <w:p w14:paraId="760269A0">
      <w:pPr>
        <w:spacing w:line="240" w:lineRule="auto"/>
        <w:ind w:firstLine="640"/>
        <w:jc w:val="both"/>
      </w:pPr>
    </w:p>
    <w:p w14:paraId="65396397">
      <w:pPr>
        <w:spacing w:line="240" w:lineRule="auto"/>
        <w:ind w:firstLine="640"/>
        <w:jc w:val="both"/>
      </w:pPr>
    </w:p>
    <w:p w14:paraId="1096542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5AD051-F68F-4490-9FDA-E3436B4F65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C957469-C6F8-48C7-98E5-F71D8B788A3D}"/>
  </w:font>
  <w:font w:name="仿宋_GB2312">
    <w:panose1 w:val="02010609030101010101"/>
    <w:charset w:val="86"/>
    <w:family w:val="modern"/>
    <w:pitch w:val="default"/>
    <w:sig w:usb0="00000001" w:usb1="080E0000" w:usb2="00000000" w:usb3="00000000" w:csb0="00040000" w:csb1="00000000"/>
    <w:embedRegular r:id="rId3" w:fontKey="{FFA279F5-05AB-4A8B-B0F5-FB4F73B3E65A}"/>
  </w:font>
  <w:font w:name="楷体_GB2312">
    <w:panose1 w:val="02010609030101010101"/>
    <w:charset w:val="86"/>
    <w:family w:val="auto"/>
    <w:pitch w:val="default"/>
    <w:sig w:usb0="00000001" w:usb1="080E0000" w:usb2="00000000" w:usb3="00000000" w:csb0="00040000" w:csb1="00000000"/>
    <w:embedRegular r:id="rId4" w:fontKey="{86F7C9CB-97CB-45AE-A1D4-2F12E215F8E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BF154F"/>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6539</Words>
  <Characters>7548</Characters>
  <Lines>0</Lines>
  <Paragraphs>0</Paragraphs>
  <TotalTime>0</TotalTime>
  <ScaleCrop>false</ScaleCrop>
  <LinksUpToDate>false</LinksUpToDate>
  <CharactersWithSpaces>7558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2025-09-12T09:45:45Z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