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岳普湖县委机关管理服务中心2024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BF0CF01">
      <w:r>
        <w:br w:type="page"/>
      </w:r>
    </w:p>
    <w:p w14:paraId="78AFB2E8">
      <w:pPr>
        <w:spacing w:line="640" w:lineRule="exact"/>
        <w:jc w:val="center"/>
        <w:outlineLvl w:val="1"/>
      </w:pPr>
      <w:r>
        <w:rPr>
          <w:rFonts w:ascii="黑体" w:hAnsi="黑体" w:eastAsia="黑体"/>
          <w:sz w:val="32"/>
        </w:rPr>
        <w:t>第一部分 单位概况</w:t>
      </w:r>
    </w:p>
    <w:p w14:paraId="46B7551F">
      <w:pPr>
        <w:spacing w:line="640" w:lineRule="exact"/>
        <w:ind w:firstLine="640"/>
        <w:jc w:val="both"/>
        <w:outlineLvl w:val="2"/>
      </w:pPr>
      <w:r>
        <w:rPr>
          <w:rFonts w:ascii="黑体" w:hAnsi="黑体" w:eastAsia="黑体"/>
          <w:sz w:val="32"/>
        </w:rPr>
        <w:t>一、主要职能</w:t>
      </w:r>
    </w:p>
    <w:p w14:paraId="0ED464E4">
      <w:pPr>
        <w:spacing w:line="580" w:lineRule="exact"/>
        <w:ind w:firstLine="640"/>
        <w:jc w:val="both"/>
      </w:pPr>
      <w:r>
        <w:rPr>
          <w:rFonts w:ascii="仿宋_GB2312" w:hAnsi="仿宋_GB2312" w:eastAsia="仿宋_GB2312"/>
          <w:sz w:val="32"/>
        </w:rPr>
        <w:t>在县委、县政府的领导下，研究制定县级机关事务管理工作的具体政策和规章制度，并组织实施；会同有关部门研究制定后勤体制改革的政策和办法，推动县直机关后勤改革；负责机关大院房产的使用、分配和综合管理；负责异地交流领导宿舍、周转房的使用管理及修缮维护，制定并组织实施有关管理规章制度；负责全县大型重要会议和重大活动的有关后勤保障工作以及县委、县政府召开的各类会议的会务、后勤工作；负责县委、县政府重要来宾的接待工作；负责县委、县政府领导外出考察的后勤服务工作。</w:t>
      </w:r>
    </w:p>
    <w:p w14:paraId="1C05E212">
      <w:pPr>
        <w:spacing w:line="640" w:lineRule="exact"/>
        <w:ind w:firstLine="640"/>
        <w:jc w:val="both"/>
        <w:outlineLvl w:val="2"/>
      </w:pPr>
      <w:r>
        <w:rPr>
          <w:rFonts w:ascii="黑体" w:hAnsi="黑体" w:eastAsia="黑体"/>
          <w:sz w:val="32"/>
        </w:rPr>
        <w:t>二、机构设置及人员情况</w:t>
      </w:r>
    </w:p>
    <w:p w14:paraId="6C8C4A65">
      <w:pPr>
        <w:spacing w:line="580" w:lineRule="exact"/>
        <w:ind w:firstLine="640"/>
        <w:jc w:val="both"/>
      </w:pPr>
      <w:r>
        <w:rPr>
          <w:rFonts w:ascii="仿宋_GB2312" w:hAnsi="仿宋_GB2312" w:eastAsia="仿宋_GB2312"/>
          <w:sz w:val="32"/>
        </w:rPr>
        <w:t>岳普湖县委机关管理服务中心2024年度，实有人数15人，其中：在职人员9人，减少1人；离休人员0人，增加0人；退休人员6人,增加1人。</w:t>
      </w:r>
    </w:p>
    <w:p w14:paraId="569BBA33">
      <w:pPr>
        <w:spacing w:line="580" w:lineRule="exact"/>
        <w:ind w:firstLine="640"/>
        <w:jc w:val="both"/>
      </w:pPr>
      <w:r>
        <w:rPr>
          <w:rFonts w:ascii="仿宋_GB2312" w:hAnsi="仿宋_GB2312" w:eastAsia="仿宋_GB2312"/>
          <w:sz w:val="32"/>
        </w:rPr>
        <w:t>岳普湖县委机关管理服务中心无下属预算单位，下设1个科室，分别是：岳普湖县委机关管理服务中心办公室。</w:t>
      </w:r>
    </w:p>
    <w:p w14:paraId="78FAA977">
      <w:r>
        <w:br w:type="page"/>
      </w:r>
    </w:p>
    <w:p w14:paraId="5FA17C26">
      <w:pPr>
        <w:spacing w:line="240" w:lineRule="auto"/>
        <w:jc w:val="center"/>
        <w:outlineLvl w:val="1"/>
      </w:pPr>
      <w:r>
        <w:rPr>
          <w:rFonts w:ascii="黑体" w:hAnsi="黑体" w:eastAsia="黑体"/>
          <w:sz w:val="32"/>
        </w:rPr>
        <w:t>第二部分 部门决算情况说明</w:t>
      </w:r>
    </w:p>
    <w:p w14:paraId="4751E653">
      <w:pPr>
        <w:spacing w:line="640" w:lineRule="exact"/>
        <w:ind w:firstLine="640"/>
        <w:jc w:val="both"/>
        <w:outlineLvl w:val="2"/>
      </w:pPr>
      <w:r>
        <w:rPr>
          <w:rFonts w:ascii="黑体" w:hAnsi="黑体" w:eastAsia="黑体"/>
          <w:sz w:val="32"/>
        </w:rPr>
        <w:t>一、收入支出决算总体情况说明</w:t>
      </w:r>
    </w:p>
    <w:p w14:paraId="0D61E5B9">
      <w:pPr>
        <w:spacing w:line="580" w:lineRule="exact"/>
        <w:ind w:firstLine="640"/>
        <w:jc w:val="both"/>
      </w:pPr>
      <w:r>
        <w:rPr>
          <w:rFonts w:ascii="仿宋_GB2312" w:hAnsi="仿宋_GB2312" w:eastAsia="仿宋_GB2312"/>
          <w:b/>
          <w:sz w:val="32"/>
        </w:rPr>
        <w:t>2024年度收入总计214.53万元，</w:t>
      </w:r>
      <w:r>
        <w:rPr>
          <w:rFonts w:ascii="仿宋_GB2312" w:hAnsi="仿宋_GB2312" w:eastAsia="仿宋_GB2312"/>
          <w:b w:val="0"/>
          <w:sz w:val="32"/>
        </w:rPr>
        <w:t>其中：本年收入合计214.53万元，使用非财政拨款结余（含专用结余）0.00万元，年初结转和结余0.00万元。</w:t>
      </w:r>
    </w:p>
    <w:p w14:paraId="7C3C5471">
      <w:pPr>
        <w:spacing w:line="580" w:lineRule="exact"/>
        <w:ind w:firstLine="640"/>
        <w:jc w:val="both"/>
      </w:pPr>
      <w:r>
        <w:rPr>
          <w:rFonts w:ascii="仿宋_GB2312" w:hAnsi="仿宋_GB2312" w:eastAsia="仿宋_GB2312"/>
          <w:b/>
          <w:sz w:val="32"/>
        </w:rPr>
        <w:t>2024年度支出总计214.53万元，</w:t>
      </w:r>
      <w:r>
        <w:rPr>
          <w:rFonts w:ascii="仿宋_GB2312" w:hAnsi="仿宋_GB2312" w:eastAsia="仿宋_GB2312"/>
          <w:b w:val="0"/>
          <w:sz w:val="32"/>
        </w:rPr>
        <w:t>其中：本年支出合计214.53万元，结余分配0.00万元，年末结转和结余0.00万元。</w:t>
      </w:r>
    </w:p>
    <w:p w14:paraId="2E650F7F">
      <w:pPr>
        <w:spacing w:line="580" w:lineRule="exact"/>
        <w:ind w:firstLine="640"/>
        <w:jc w:val="both"/>
      </w:pPr>
      <w:r>
        <w:rPr>
          <w:rFonts w:ascii="仿宋_GB2312" w:hAnsi="仿宋_GB2312" w:eastAsia="仿宋_GB2312"/>
          <w:b w:val="0"/>
          <w:sz w:val="32"/>
        </w:rPr>
        <w:t>收入支出总体与上年相比，减少353.74万元，下降62.25%，主要原因是：本年减少岳普湖县委宾馆、原城投商住楼劳务服务外包费。</w:t>
      </w:r>
    </w:p>
    <w:p w14:paraId="7A61040E">
      <w:pPr>
        <w:spacing w:line="640" w:lineRule="exact"/>
        <w:ind w:firstLine="640"/>
        <w:jc w:val="both"/>
        <w:outlineLvl w:val="2"/>
      </w:pPr>
      <w:r>
        <w:rPr>
          <w:rFonts w:ascii="黑体" w:hAnsi="黑体" w:eastAsia="黑体"/>
          <w:sz w:val="32"/>
        </w:rPr>
        <w:t>二、收入决算情况说明</w:t>
      </w:r>
    </w:p>
    <w:p w14:paraId="1A470694">
      <w:pPr>
        <w:spacing w:line="580" w:lineRule="exact"/>
        <w:ind w:firstLine="640"/>
        <w:jc w:val="both"/>
      </w:pPr>
      <w:r>
        <w:rPr>
          <w:rFonts w:ascii="仿宋_GB2312" w:hAnsi="仿宋_GB2312" w:eastAsia="仿宋_GB2312"/>
          <w:b/>
          <w:sz w:val="32"/>
        </w:rPr>
        <w:t>本年收入214.53万元，</w:t>
      </w:r>
      <w:r>
        <w:rPr>
          <w:rFonts w:ascii="仿宋_GB2312" w:hAnsi="仿宋_GB2312" w:eastAsia="仿宋_GB2312"/>
          <w:b w:val="0"/>
          <w:sz w:val="32"/>
        </w:rPr>
        <w:t>其中：财政拨款收入214.53万元，占100.00%；上级补助收入0.00万元，占0.00%；事业收入0.00万元，占0.00%；经营收入0.00万元，占0.00%；附属单位上缴收入0.00万元，占0.00%；其他收入0.00万元，占0.00%。</w:t>
      </w:r>
    </w:p>
    <w:p w14:paraId="5F49CD90">
      <w:pPr>
        <w:spacing w:line="640" w:lineRule="exact"/>
        <w:ind w:firstLine="640"/>
        <w:jc w:val="both"/>
        <w:outlineLvl w:val="2"/>
      </w:pPr>
      <w:r>
        <w:rPr>
          <w:rFonts w:ascii="黑体" w:hAnsi="黑体" w:eastAsia="黑体"/>
          <w:sz w:val="32"/>
        </w:rPr>
        <w:t>三、支出决算情况说明</w:t>
      </w:r>
    </w:p>
    <w:p w14:paraId="4B71856B">
      <w:pPr>
        <w:spacing w:line="580" w:lineRule="exact"/>
        <w:ind w:firstLine="640"/>
        <w:jc w:val="both"/>
      </w:pPr>
      <w:r>
        <w:rPr>
          <w:rFonts w:ascii="仿宋_GB2312" w:hAnsi="仿宋_GB2312" w:eastAsia="仿宋_GB2312"/>
          <w:b/>
          <w:sz w:val="32"/>
        </w:rPr>
        <w:t>本年支出214.53万元，</w:t>
      </w:r>
      <w:r>
        <w:rPr>
          <w:rFonts w:ascii="仿宋_GB2312" w:hAnsi="仿宋_GB2312" w:eastAsia="仿宋_GB2312"/>
          <w:b w:val="0"/>
          <w:sz w:val="32"/>
        </w:rPr>
        <w:t>其中：基本支出214.53万元，占100.00%；项目支出0.00万元，占0.00%；上缴上级支出0.00万元，占0.00%；经营支出0.00万元，占0.00%；对附属单位补助支出0.00万元，占0.00%。</w:t>
      </w:r>
    </w:p>
    <w:p w14:paraId="58ABDABF">
      <w:pPr>
        <w:spacing w:line="640" w:lineRule="exact"/>
        <w:ind w:firstLine="640"/>
        <w:jc w:val="both"/>
        <w:outlineLvl w:val="2"/>
      </w:pPr>
      <w:r>
        <w:rPr>
          <w:rFonts w:ascii="黑体" w:hAnsi="黑体" w:eastAsia="黑体"/>
          <w:sz w:val="32"/>
        </w:rPr>
        <w:t>四、财政拨款收入支出决算总体情况说明</w:t>
      </w:r>
    </w:p>
    <w:p w14:paraId="63D0647E">
      <w:pPr>
        <w:spacing w:line="580" w:lineRule="exact"/>
        <w:ind w:firstLine="640"/>
        <w:jc w:val="both"/>
      </w:pPr>
      <w:r>
        <w:rPr>
          <w:rFonts w:ascii="仿宋_GB2312" w:hAnsi="仿宋_GB2312" w:eastAsia="仿宋_GB2312"/>
          <w:b/>
          <w:sz w:val="32"/>
        </w:rPr>
        <w:t>2024年度财政拨款收入总计214.53万元，</w:t>
      </w:r>
      <w:r>
        <w:rPr>
          <w:rFonts w:ascii="仿宋_GB2312" w:hAnsi="仿宋_GB2312" w:eastAsia="仿宋_GB2312"/>
          <w:b w:val="0"/>
          <w:sz w:val="32"/>
        </w:rPr>
        <w:t>其中：年初财政拨款结转和结余0.00万元，本年财政拨款收入214.53万元。</w:t>
      </w:r>
      <w:r>
        <w:rPr>
          <w:rFonts w:ascii="仿宋_GB2312" w:hAnsi="仿宋_GB2312" w:eastAsia="仿宋_GB2312"/>
          <w:b/>
          <w:sz w:val="32"/>
        </w:rPr>
        <w:t>财政拨款支出总计214.53万元，</w:t>
      </w:r>
      <w:r>
        <w:rPr>
          <w:rFonts w:ascii="仿宋_GB2312" w:hAnsi="仿宋_GB2312" w:eastAsia="仿宋_GB2312"/>
          <w:b w:val="0"/>
          <w:sz w:val="32"/>
        </w:rPr>
        <w:t>其中：年末财政拨款结转和结余0.00万元，本年财政拨款支出214.53万元。</w:t>
      </w:r>
    </w:p>
    <w:p w14:paraId="69E943A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减少353.74万元，下降62.25%，主要原因是：本年减少岳普湖县委宾馆、原城投商住楼劳务服务外包费。</w:t>
      </w:r>
      <w:r>
        <w:rPr>
          <w:rFonts w:ascii="仿宋_GB2312" w:hAnsi="仿宋_GB2312" w:eastAsia="仿宋_GB2312"/>
          <w:b/>
          <w:sz w:val="32"/>
        </w:rPr>
        <w:t>与年初预算相比，</w:t>
      </w:r>
      <w:r>
        <w:rPr>
          <w:rFonts w:ascii="仿宋_GB2312" w:hAnsi="仿宋_GB2312" w:eastAsia="仿宋_GB2312"/>
          <w:b w:val="0"/>
          <w:sz w:val="32"/>
        </w:rPr>
        <w:t>年初预算数547.71万元，决算数214.53万元，预决算差异率-60.83%，主要原因是：本年调减岳普湖县委宾馆、原城投商住楼劳务服务外包费。</w:t>
      </w:r>
    </w:p>
    <w:p w14:paraId="53ED2946">
      <w:pPr>
        <w:spacing w:line="640" w:lineRule="exact"/>
        <w:ind w:firstLine="640"/>
        <w:jc w:val="both"/>
        <w:outlineLvl w:val="2"/>
      </w:pPr>
      <w:r>
        <w:rPr>
          <w:rFonts w:ascii="黑体" w:hAnsi="黑体" w:eastAsia="黑体"/>
          <w:sz w:val="32"/>
        </w:rPr>
        <w:t>五、一般公共预算财政拨款支出决算情况说明</w:t>
      </w:r>
    </w:p>
    <w:p w14:paraId="6E25D21C">
      <w:pPr>
        <w:spacing w:line="640" w:lineRule="exact"/>
        <w:ind w:firstLine="640"/>
        <w:jc w:val="both"/>
        <w:outlineLvl w:val="3"/>
      </w:pPr>
      <w:r>
        <w:rPr>
          <w:rFonts w:ascii="楷体_GB2312" w:hAnsi="楷体_GB2312" w:eastAsia="楷体_GB2312"/>
          <w:b/>
          <w:sz w:val="32"/>
        </w:rPr>
        <w:t>（一）一般公共预算财政拨款支出决算总体情况</w:t>
      </w:r>
    </w:p>
    <w:p w14:paraId="07CAE1B4">
      <w:pPr>
        <w:spacing w:line="580" w:lineRule="exact"/>
        <w:ind w:firstLine="640"/>
        <w:jc w:val="both"/>
      </w:pPr>
      <w:r>
        <w:rPr>
          <w:rFonts w:ascii="仿宋_GB2312" w:hAnsi="仿宋_GB2312" w:eastAsia="仿宋_GB2312"/>
          <w:b/>
          <w:sz w:val="32"/>
        </w:rPr>
        <w:t>2024年度一般公共预算财政拨款支出214.53万元，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减少353.74万元，下降62.25%，主要原因是：本年减少岳普湖县委宾馆、原城投商住楼劳务服务外包费。</w:t>
      </w:r>
      <w:r>
        <w:rPr>
          <w:rFonts w:ascii="仿宋_GB2312" w:hAnsi="仿宋_GB2312" w:eastAsia="仿宋_GB2312"/>
          <w:b/>
          <w:sz w:val="32"/>
        </w:rPr>
        <w:t>与年初预算相比,</w:t>
      </w:r>
      <w:r>
        <w:rPr>
          <w:rFonts w:ascii="仿宋_GB2312" w:hAnsi="仿宋_GB2312" w:eastAsia="仿宋_GB2312"/>
          <w:b w:val="0"/>
          <w:sz w:val="32"/>
        </w:rPr>
        <w:t>年初预算数547.71万元，决算数214.53万元，预决算差异率-60.83%，主要原因是：本年调减岳普湖县委宾馆、原城投商住楼劳务服务外包费。</w:t>
      </w:r>
    </w:p>
    <w:p w14:paraId="1A21B873">
      <w:pPr>
        <w:spacing w:line="640" w:lineRule="exact"/>
        <w:ind w:firstLine="640"/>
        <w:jc w:val="both"/>
        <w:outlineLvl w:val="3"/>
      </w:pPr>
      <w:r>
        <w:rPr>
          <w:rFonts w:ascii="楷体_GB2312" w:hAnsi="楷体_GB2312" w:eastAsia="楷体_GB2312"/>
          <w:b/>
          <w:sz w:val="32"/>
        </w:rPr>
        <w:t>（二）一般公共预算财政拨款支出决算结构情况</w:t>
      </w:r>
    </w:p>
    <w:p w14:paraId="6F6FDB69">
      <w:pPr>
        <w:spacing w:line="580" w:lineRule="exact"/>
        <w:ind w:firstLine="640"/>
        <w:jc w:val="both"/>
      </w:pPr>
      <w:r>
        <w:rPr>
          <w:rFonts w:ascii="仿宋_GB2312" w:hAnsi="仿宋_GB2312" w:eastAsia="仿宋_GB2312"/>
          <w:b w:val="0"/>
          <w:sz w:val="32"/>
        </w:rPr>
        <w:t>1.一般公共服务支出(类)170.12万元,占79.30%。</w:t>
      </w:r>
    </w:p>
    <w:p w14:paraId="7F78BBC8">
      <w:pPr>
        <w:spacing w:line="580" w:lineRule="exact"/>
        <w:ind w:firstLine="640"/>
        <w:jc w:val="both"/>
      </w:pPr>
      <w:r>
        <w:rPr>
          <w:rFonts w:ascii="仿宋_GB2312" w:hAnsi="仿宋_GB2312" w:eastAsia="仿宋_GB2312"/>
          <w:b w:val="0"/>
          <w:sz w:val="32"/>
        </w:rPr>
        <w:t>2.社会保障和就业支出(类)26.19万元,占12.21%。</w:t>
      </w:r>
    </w:p>
    <w:p w14:paraId="4A049C3B">
      <w:pPr>
        <w:spacing w:line="580" w:lineRule="exact"/>
        <w:ind w:firstLine="640"/>
        <w:jc w:val="both"/>
      </w:pPr>
      <w:r>
        <w:rPr>
          <w:rFonts w:ascii="仿宋_GB2312" w:hAnsi="仿宋_GB2312" w:eastAsia="仿宋_GB2312"/>
          <w:b w:val="0"/>
          <w:sz w:val="32"/>
        </w:rPr>
        <w:t>3.卫生健康支出(类)6.26万元,占2.92%。</w:t>
      </w:r>
    </w:p>
    <w:p w14:paraId="1E6590E5">
      <w:pPr>
        <w:spacing w:line="580" w:lineRule="exact"/>
        <w:ind w:firstLine="640"/>
        <w:jc w:val="both"/>
      </w:pPr>
      <w:r>
        <w:rPr>
          <w:rFonts w:ascii="仿宋_GB2312" w:hAnsi="仿宋_GB2312" w:eastAsia="仿宋_GB2312"/>
          <w:b w:val="0"/>
          <w:sz w:val="32"/>
        </w:rPr>
        <w:t>4.住房保障支出(类)11.96万元,占5.57%。</w:t>
      </w:r>
    </w:p>
    <w:p w14:paraId="2C2A569C">
      <w:pPr>
        <w:spacing w:line="640" w:lineRule="exact"/>
        <w:ind w:firstLine="640"/>
        <w:jc w:val="both"/>
        <w:outlineLvl w:val="3"/>
      </w:pPr>
      <w:r>
        <w:rPr>
          <w:rFonts w:ascii="楷体_GB2312" w:hAnsi="楷体_GB2312" w:eastAsia="楷体_GB2312"/>
          <w:b/>
          <w:sz w:val="32"/>
        </w:rPr>
        <w:t>（三）一般公共预算财政拨款支出决算具体情况</w:t>
      </w:r>
    </w:p>
    <w:p w14:paraId="71DAF19D">
      <w:pPr>
        <w:spacing w:line="580" w:lineRule="exact"/>
        <w:ind w:firstLine="640"/>
        <w:jc w:val="both"/>
      </w:pPr>
      <w:r>
        <w:rPr>
          <w:rFonts w:ascii="仿宋_GB2312" w:hAnsi="仿宋_GB2312" w:eastAsia="仿宋_GB2312"/>
          <w:b w:val="0"/>
          <w:sz w:val="32"/>
        </w:rPr>
        <w:t>1.一般公共服务支出(类)党委办公厅（室）及相关机构事务(款)事业运行(项):支出决算数为170.12万元，比上年决算减少348.56万元，下降67.20%,主要原因是：本年减少岳普湖县委宾馆、原城投商住楼劳务服务外包费。</w:t>
      </w:r>
    </w:p>
    <w:p w14:paraId="5DA24BB7">
      <w:pPr>
        <w:spacing w:line="580" w:lineRule="exact"/>
        <w:ind w:firstLine="640"/>
        <w:jc w:val="both"/>
      </w:pPr>
      <w:r>
        <w:rPr>
          <w:rFonts w:ascii="仿宋_GB2312" w:hAnsi="仿宋_GB2312" w:eastAsia="仿宋_GB2312"/>
          <w:b w:val="0"/>
          <w:sz w:val="32"/>
        </w:rPr>
        <w:t>2.一般公共服务支出(类)党委办公厅（室）及相关机构事务(款)其他党委办公厅（室）及相关机构事务支出(项):支出决算数为0.00万元，比上年决算减少14.04万元，下降100.00%,主要原因是：本年减少人才公寓维修项目。</w:t>
      </w:r>
    </w:p>
    <w:p w14:paraId="057A4B6B">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3.社会保障和就业支出(类)行政事业单位养老支出(款)事业单位离退休(项):支出决算数为5.59万元，比上年决算增加1.22万元，增长27.92%,主要原因是：本年退休人员增加，退休费支出增加。</w:t>
      </w:r>
    </w:p>
    <w:p w14:paraId="4A4F0AB5">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14.74万元，比上年决算增加1.51万元，增长11.41%,主要原因是：本年在职人员工资基数调增，养老缴费基数上涨，相应支出增加。</w:t>
      </w:r>
    </w:p>
    <w:p w14:paraId="105EAD89">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5.社会保障和就业支出(类)行政事业单位养老支出(款)机关事业单位职业年金缴费支出(项):支出决算数为5.86万元，比上年决算增加5.86万元，增长100.00%,主要原因是：本年新增退休人员，职业年金缴费支出增加。</w:t>
      </w:r>
    </w:p>
    <w:p w14:paraId="41982F59">
      <w:pPr>
        <w:spacing w:line="580" w:lineRule="exact"/>
        <w:ind w:firstLine="640"/>
        <w:jc w:val="both"/>
      </w:pPr>
      <w:r>
        <w:rPr>
          <w:rFonts w:ascii="仿宋_GB2312" w:hAnsi="仿宋_GB2312" w:eastAsia="仿宋_GB2312"/>
          <w:b w:val="0"/>
          <w:sz w:val="32"/>
        </w:rPr>
        <w:t>6.卫生健康支出(类)行政事业单位医疗(款)事业单位医疗(项):支出决算数为6.26万元，比上年决算减少1.10万元，下降14.95%,主要原因是：本年在职人员减少，事业单位医疗支出较上年减少。</w:t>
      </w:r>
    </w:p>
    <w:p w14:paraId="2436CB7F">
      <w:pPr>
        <w:spacing w:line="580" w:lineRule="exact"/>
        <w:ind w:firstLine="640"/>
        <w:jc w:val="both"/>
      </w:pPr>
      <w:r>
        <w:rPr>
          <w:rFonts w:ascii="仿宋_GB2312" w:hAnsi="仿宋_GB2312" w:eastAsia="仿宋_GB2312"/>
          <w:b w:val="0"/>
          <w:sz w:val="32"/>
        </w:rPr>
        <w:t>7.住房保障支出(类)住房改革支出(款)住房公积金(项):支出决算数为11.96万元，比上年决算增加1.37万元，增长12.94%,主要原因是：本年在职人员工资基数调增，公积金缴费基数上涨，相应支出增加。</w:t>
      </w:r>
    </w:p>
    <w:p w14:paraId="31DAB977">
      <w:pPr>
        <w:spacing w:line="640" w:lineRule="exact"/>
        <w:ind w:firstLine="640"/>
        <w:jc w:val="both"/>
        <w:outlineLvl w:val="2"/>
      </w:pPr>
      <w:r>
        <w:rPr>
          <w:rFonts w:ascii="黑体" w:hAnsi="黑体" w:eastAsia="黑体"/>
          <w:sz w:val="32"/>
        </w:rPr>
        <w:t>六、一般公共预算财政拨款基本支出决算情况说明</w:t>
      </w:r>
    </w:p>
    <w:p w14:paraId="3FE84675">
      <w:pPr>
        <w:spacing w:line="580" w:lineRule="exact"/>
        <w:ind w:firstLine="640"/>
        <w:jc w:val="both"/>
      </w:pPr>
      <w:r>
        <w:rPr>
          <w:rFonts w:ascii="仿宋_GB2312" w:hAnsi="仿宋_GB2312" w:eastAsia="仿宋_GB2312"/>
          <w:b w:val="0"/>
          <w:sz w:val="32"/>
        </w:rPr>
        <w:t>2024年度一般公共预算财政拨款基本支出214.53万元，其中：</w:t>
      </w:r>
      <w:r>
        <w:rPr>
          <w:rFonts w:ascii="仿宋_GB2312" w:hAnsi="仿宋_GB2312" w:eastAsia="仿宋_GB2312"/>
          <w:b/>
          <w:sz w:val="32"/>
        </w:rPr>
        <w:t>人员经费156.90万元，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4E70C52F">
      <w:pPr>
        <w:spacing w:line="580" w:lineRule="exact"/>
        <w:ind w:firstLine="640"/>
        <w:jc w:val="both"/>
      </w:pPr>
      <w:r>
        <w:rPr>
          <w:rFonts w:ascii="仿宋_GB2312" w:hAnsi="仿宋_GB2312" w:eastAsia="仿宋_GB2312"/>
          <w:b/>
          <w:sz w:val="32"/>
        </w:rPr>
        <w:t>公用经费57.63万元，</w:t>
      </w:r>
      <w:r>
        <w:rPr>
          <w:rFonts w:ascii="仿宋_GB2312" w:hAnsi="仿宋_GB2312" w:eastAsia="仿宋_GB2312"/>
          <w:b w:val="0"/>
          <w:sz w:val="32"/>
        </w:rPr>
        <w:t>包括：办公费、邮电费、取暖费、物业管理费、差旅费、委托业务费、公务用车运行维护费、其他商品和服务支出。</w:t>
      </w:r>
    </w:p>
    <w:p w14:paraId="570D7610">
      <w:pPr>
        <w:spacing w:line="640" w:lineRule="exact"/>
        <w:ind w:firstLine="640"/>
        <w:jc w:val="both"/>
        <w:outlineLvl w:val="2"/>
      </w:pPr>
      <w:r>
        <w:rPr>
          <w:rFonts w:ascii="黑体" w:hAnsi="黑体" w:eastAsia="黑体"/>
          <w:sz w:val="32"/>
        </w:rPr>
        <w:t>七、政府性基金预算财政拨款收入支出决算情况说明</w:t>
      </w:r>
    </w:p>
    <w:p w14:paraId="1989172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CF8FC3E">
      <w:pPr>
        <w:spacing w:line="640" w:lineRule="exact"/>
        <w:ind w:firstLine="640"/>
        <w:jc w:val="both"/>
        <w:outlineLvl w:val="2"/>
      </w:pPr>
      <w:r>
        <w:rPr>
          <w:rFonts w:ascii="黑体" w:hAnsi="黑体" w:eastAsia="黑体"/>
          <w:sz w:val="32"/>
        </w:rPr>
        <w:t>八、国有资本经营预算财政拨款收入支出决算情况说明</w:t>
      </w:r>
    </w:p>
    <w:p w14:paraId="51A75E9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631E787">
      <w:pPr>
        <w:spacing w:line="640" w:lineRule="exact"/>
        <w:ind w:firstLine="640"/>
        <w:jc w:val="both"/>
        <w:outlineLvl w:val="2"/>
      </w:pPr>
      <w:r>
        <w:rPr>
          <w:rFonts w:ascii="黑体" w:hAnsi="黑体" w:eastAsia="黑体"/>
          <w:sz w:val="32"/>
        </w:rPr>
        <w:t>九、财政拨款“三公”经费支出决算情况说明</w:t>
      </w:r>
    </w:p>
    <w:p w14:paraId="1228FFCD">
      <w:pPr>
        <w:spacing w:line="580" w:lineRule="exact"/>
        <w:ind w:firstLine="640"/>
        <w:jc w:val="both"/>
      </w:pPr>
      <w:r>
        <w:rPr>
          <w:rFonts w:ascii="仿宋_GB2312" w:hAnsi="仿宋_GB2312" w:eastAsia="仿宋_GB2312"/>
          <w:b/>
          <w:sz w:val="32"/>
        </w:rPr>
        <w:t>2024年度财政拨款“三公”经费支出3.56万元，</w:t>
      </w:r>
      <w:r>
        <w:rPr>
          <w:rFonts w:ascii="仿宋_GB2312" w:hAnsi="仿宋_GB2312" w:eastAsia="仿宋_GB2312"/>
          <w:b w:val="0"/>
          <w:sz w:val="32"/>
        </w:rPr>
        <w:t>比上年减少17.10万元，下降82.77%，主要原因是：本年公务用车报废，划转，导致公务用车运行维护费减少。其中：因公出国（境）费支出0.00万元，占0.00%，比上年增加0.00万元，增长0.00%，主要原因是：2023年与2024年均未安排因公出国（境）费支出。公务用车购置及运行维护费支出3.56万元，占100.00%，比上年减少17.10万元，下降82.77%，主要原因是：本年公务用车报废，划转，导致公务用车运行维护费减少。公务接待费支出0.00万元，占0.00%，比上年增加0.00万元，增长0.00%，主要原因是：2023年与2024年均未安排公务接待费支出。</w:t>
      </w:r>
    </w:p>
    <w:p w14:paraId="6C19F889">
      <w:pPr>
        <w:spacing w:line="580" w:lineRule="exact"/>
        <w:ind w:firstLine="640"/>
        <w:jc w:val="both"/>
      </w:pPr>
      <w:r>
        <w:rPr>
          <w:rFonts w:ascii="仿宋_GB2312" w:hAnsi="仿宋_GB2312" w:eastAsia="仿宋_GB2312"/>
          <w:b/>
          <w:sz w:val="32"/>
        </w:rPr>
        <w:t>具体情况如下：</w:t>
      </w:r>
    </w:p>
    <w:p w14:paraId="1DD082E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AF3499B">
      <w:pPr>
        <w:spacing w:line="580" w:lineRule="exact"/>
        <w:ind w:firstLine="640"/>
        <w:jc w:val="both"/>
      </w:pPr>
      <w:r>
        <w:rPr>
          <w:rFonts w:ascii="仿宋_GB2312" w:hAnsi="仿宋_GB2312" w:eastAsia="仿宋_GB2312"/>
          <w:b w:val="0"/>
          <w:sz w:val="32"/>
        </w:rPr>
        <w:t>公务用车购置及运行维护费3.56万元，其中：公务用车购置费0.00万元，公务用车运行维护费3.56万元。公务用车运行维护费开支内容包括车辆加油费、维修费、保险费、审车费、过路费。公务用车购置数0辆，公务用车保有量9辆。国有资产占用情况中固定资产车辆0辆，与公务用车保有量差异原因是：借用其他单位车辆，车辆费用由本单位支付。</w:t>
      </w:r>
    </w:p>
    <w:p w14:paraId="1CAA6D7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7694DC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3.56万元，决算数3.56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3.56万元，决算数3.56万元，预决算差异率0.00%，主要原因是：严格按照预算执行，预决算无差异。公务接待费全年预算数0.00万元，决算数0.00万元，预决算差异率0.00%，主要原因是：本单位无公务接待费。</w:t>
      </w:r>
    </w:p>
    <w:p w14:paraId="693AC9B2">
      <w:pPr>
        <w:spacing w:line="640" w:lineRule="exact"/>
        <w:ind w:firstLine="640"/>
        <w:jc w:val="both"/>
        <w:outlineLvl w:val="2"/>
      </w:pPr>
      <w:r>
        <w:rPr>
          <w:rFonts w:ascii="黑体" w:hAnsi="黑体" w:eastAsia="黑体"/>
          <w:sz w:val="32"/>
        </w:rPr>
        <w:t>十、其他重要事项的情况说明</w:t>
      </w:r>
    </w:p>
    <w:p w14:paraId="2781E3C6">
      <w:pPr>
        <w:spacing w:line="640" w:lineRule="exact"/>
        <w:ind w:firstLine="640"/>
        <w:jc w:val="both"/>
        <w:outlineLvl w:val="3"/>
      </w:pPr>
      <w:r>
        <w:rPr>
          <w:rFonts w:ascii="楷体_GB2312" w:hAnsi="楷体_GB2312" w:eastAsia="楷体_GB2312"/>
          <w:b/>
          <w:sz w:val="32"/>
        </w:rPr>
        <w:t>（一）机关运行经费及公用经费支出情况</w:t>
      </w:r>
    </w:p>
    <w:p w14:paraId="6AD1398E">
      <w:pPr>
        <w:spacing w:line="580" w:lineRule="exact"/>
        <w:ind w:firstLine="640"/>
        <w:jc w:val="both"/>
      </w:pPr>
      <w:r>
        <w:rPr>
          <w:rFonts w:ascii="仿宋_GB2312" w:hAnsi="仿宋_GB2312" w:eastAsia="仿宋_GB2312"/>
          <w:b w:val="0"/>
          <w:sz w:val="32"/>
        </w:rPr>
        <w:t>2024年度岳普湖县委机关管理服务中心（事业单位）公用经费支出57.63万元，比上年减少348.27万元，下降85.80%，主要原因是：本年减少岳普湖县委宾馆、原城投商住楼劳务费。</w:t>
      </w:r>
    </w:p>
    <w:p w14:paraId="0DF26BA8">
      <w:pPr>
        <w:spacing w:line="640" w:lineRule="exact"/>
        <w:ind w:firstLine="640"/>
        <w:jc w:val="both"/>
        <w:outlineLvl w:val="3"/>
      </w:pPr>
      <w:r>
        <w:rPr>
          <w:rFonts w:ascii="楷体_GB2312" w:hAnsi="楷体_GB2312" w:eastAsia="楷体_GB2312"/>
          <w:b/>
          <w:sz w:val="32"/>
        </w:rPr>
        <w:t>（二）政府采购情况</w:t>
      </w:r>
    </w:p>
    <w:p w14:paraId="2A2C07B7">
      <w:pPr>
        <w:spacing w:line="580" w:lineRule="exact"/>
        <w:ind w:firstLine="640"/>
        <w:jc w:val="both"/>
      </w:pPr>
      <w:r>
        <w:rPr>
          <w:rFonts w:ascii="仿宋_GB2312" w:hAnsi="仿宋_GB2312" w:eastAsia="仿宋_GB2312"/>
          <w:b w:val="0"/>
          <w:sz w:val="32"/>
        </w:rPr>
        <w:t>2024年度政府采购支出总额3.82万元，其中：政府采购货物支出0.40万元、政府采购工程支出0.00万元、政府采购服务支出3.42万元。</w:t>
      </w:r>
    </w:p>
    <w:p w14:paraId="6D9C5E61">
      <w:pPr>
        <w:spacing w:line="580" w:lineRule="exact"/>
        <w:ind w:firstLine="640"/>
        <w:jc w:val="both"/>
      </w:pPr>
      <w:r>
        <w:rPr>
          <w:rFonts w:ascii="仿宋_GB2312" w:hAnsi="仿宋_GB2312" w:eastAsia="仿宋_GB2312"/>
          <w:b w:val="0"/>
          <w:sz w:val="32"/>
        </w:rPr>
        <w:t>授予中小企业合同金额3.82万元，占政府采购支出总额的100.00%，其中：授予小微企业合同金额3.82万元，占政府采购支出总额的100.00%。</w:t>
      </w:r>
    </w:p>
    <w:p w14:paraId="483362E0">
      <w:pPr>
        <w:spacing w:line="640" w:lineRule="exact"/>
        <w:ind w:firstLine="640"/>
        <w:jc w:val="both"/>
        <w:outlineLvl w:val="3"/>
      </w:pPr>
      <w:r>
        <w:rPr>
          <w:rFonts w:ascii="楷体_GB2312" w:hAnsi="楷体_GB2312" w:eastAsia="楷体_GB2312"/>
          <w:b/>
          <w:sz w:val="32"/>
        </w:rPr>
        <w:t>（三）国有资产占用情况说明</w:t>
      </w:r>
    </w:p>
    <w:p w14:paraId="2BC1024D">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77B1D44">
      <w:pPr>
        <w:spacing w:line="640" w:lineRule="exact"/>
        <w:ind w:firstLine="640"/>
        <w:jc w:val="both"/>
        <w:outlineLvl w:val="2"/>
      </w:pPr>
      <w:r>
        <w:rPr>
          <w:rFonts w:ascii="黑体" w:hAnsi="黑体" w:eastAsia="黑体"/>
          <w:sz w:val="32"/>
        </w:rPr>
        <w:t>十一、预算绩效的情况说明</w:t>
      </w:r>
    </w:p>
    <w:p w14:paraId="0054182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214.53万元，实际执行总额214.53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无项目绩效自评表。具体附整体支出绩效自评表。</w:t>
      </w:r>
      <w:bookmarkStart w:id="0" w:name="_GoBack"/>
      <w:bookmarkEnd w:id="0"/>
    </w:p>
    <w:p w14:paraId="0BFEACE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F6FF1AB">
        <w:tblPrEx>
          <w:tblCellMar>
            <w:top w:w="0" w:type="dxa"/>
            <w:left w:w="108" w:type="dxa"/>
            <w:bottom w:w="0" w:type="dxa"/>
            <w:right w:w="108" w:type="dxa"/>
          </w:tblCellMar>
        </w:tblPrEx>
        <w:tc>
          <w:tcPr>
            <w:tcW w:w="8847" w:type="dxa"/>
            <w:gridSpan w:val="9"/>
            <w:vAlign w:val="center"/>
          </w:tcPr>
          <w:p w14:paraId="3D0A02D4">
            <w:pPr>
              <w:jc w:val="center"/>
            </w:pPr>
            <w:r>
              <w:rPr>
                <w:rFonts w:ascii="宋体" w:hAnsi="宋体" w:eastAsia="宋体"/>
                <w:sz w:val="24"/>
              </w:rPr>
              <w:t>单位整体支出绩效自评表</w:t>
            </w:r>
          </w:p>
        </w:tc>
      </w:tr>
      <w:tr w14:paraId="6DE52D0F">
        <w:tblPrEx>
          <w:tblCellMar>
            <w:top w:w="0" w:type="dxa"/>
            <w:left w:w="108" w:type="dxa"/>
            <w:bottom w:w="0" w:type="dxa"/>
            <w:right w:w="108" w:type="dxa"/>
          </w:tblCellMar>
        </w:tblPrEx>
        <w:tc>
          <w:tcPr>
            <w:tcW w:w="8847" w:type="dxa"/>
            <w:gridSpan w:val="9"/>
            <w:vAlign w:val="center"/>
          </w:tcPr>
          <w:p w14:paraId="0BC6FF24">
            <w:pPr>
              <w:jc w:val="center"/>
            </w:pPr>
            <w:r>
              <w:rPr>
                <w:rFonts w:ascii="宋体" w:hAnsi="宋体" w:eastAsia="宋体"/>
                <w:sz w:val="24"/>
              </w:rPr>
              <w:t>（2024年度）</w:t>
            </w:r>
          </w:p>
        </w:tc>
      </w:tr>
      <w:tr w14:paraId="6E600B3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8C8D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FD94CB3">
            <w:pPr>
              <w:jc w:val="center"/>
            </w:pPr>
            <w:r>
              <w:rPr>
                <w:rFonts w:ascii="宋体" w:hAnsi="宋体" w:eastAsia="宋体"/>
                <w:sz w:val="16"/>
              </w:rPr>
              <w:t>岳普湖县委机关管理服务中心</w:t>
            </w:r>
          </w:p>
        </w:tc>
      </w:tr>
      <w:tr w14:paraId="3B29899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300D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0427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31AE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8670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74A3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B7A6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6BAF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54A94">
            <w:pPr>
              <w:jc w:val="center"/>
            </w:pPr>
            <w:r>
              <w:rPr>
                <w:rFonts w:ascii="宋体" w:hAnsi="宋体" w:eastAsia="宋体"/>
                <w:sz w:val="16"/>
              </w:rPr>
              <w:t>得分</w:t>
            </w:r>
          </w:p>
        </w:tc>
      </w:tr>
      <w:tr w14:paraId="0E50D4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5092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74EB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4B674">
            <w:pPr>
              <w:jc w:val="center"/>
            </w:pPr>
            <w:r>
              <w:rPr>
                <w:rFonts w:ascii="宋体" w:hAnsi="宋体" w:eastAsia="宋体"/>
                <w:sz w:val="16"/>
              </w:rPr>
              <w:t>547.71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44DD7">
            <w:pPr>
              <w:jc w:val="center"/>
            </w:pPr>
            <w:r>
              <w:rPr>
                <w:rFonts w:ascii="宋体" w:hAnsi="宋体" w:eastAsia="宋体"/>
                <w:sz w:val="16"/>
              </w:rPr>
              <w:t>214.53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82107">
            <w:pPr>
              <w:jc w:val="center"/>
            </w:pPr>
            <w:r>
              <w:rPr>
                <w:rFonts w:ascii="宋体" w:hAnsi="宋体" w:eastAsia="宋体"/>
                <w:sz w:val="16"/>
              </w:rPr>
              <w:t>214.53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34B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E5C49">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61771">
            <w:pPr>
              <w:jc w:val="center"/>
            </w:pPr>
            <w:r>
              <w:rPr>
                <w:rFonts w:ascii="宋体" w:hAnsi="宋体" w:eastAsia="宋体"/>
                <w:sz w:val="16"/>
              </w:rPr>
              <w:t>10</w:t>
            </w:r>
          </w:p>
        </w:tc>
      </w:tr>
      <w:tr w14:paraId="198D84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4224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58A3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925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51AE8">
            <w:pPr>
              <w:jc w:val="center"/>
            </w:pPr>
            <w:r>
              <w:rPr>
                <w:rFonts w:ascii="宋体" w:hAnsi="宋体" w:eastAsia="宋体"/>
                <w:sz w:val="16"/>
              </w:rPr>
              <w:t>7.45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3F319">
            <w:pPr>
              <w:jc w:val="center"/>
            </w:pPr>
            <w:r>
              <w:rPr>
                <w:rFonts w:ascii="宋体" w:hAnsi="宋体" w:eastAsia="宋体"/>
                <w:sz w:val="16"/>
              </w:rPr>
              <w:t>7.45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4C9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080F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E84AA">
            <w:pPr>
              <w:jc w:val="center"/>
            </w:pPr>
            <w:r>
              <w:rPr>
                <w:rFonts w:ascii="宋体" w:hAnsi="宋体" w:eastAsia="宋体"/>
                <w:sz w:val="16"/>
              </w:rPr>
              <w:t>—</w:t>
            </w:r>
          </w:p>
        </w:tc>
      </w:tr>
      <w:tr w14:paraId="7F02E1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5271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BC0CD">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8E13F">
            <w:pPr>
              <w:jc w:val="center"/>
            </w:pPr>
            <w:r>
              <w:rPr>
                <w:rFonts w:ascii="宋体" w:hAnsi="宋体" w:eastAsia="宋体"/>
                <w:sz w:val="16"/>
              </w:rPr>
              <w:t>547.71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D254C">
            <w:pPr>
              <w:jc w:val="center"/>
            </w:pPr>
            <w:r>
              <w:rPr>
                <w:rFonts w:ascii="宋体" w:hAnsi="宋体" w:eastAsia="宋体"/>
                <w:sz w:val="16"/>
              </w:rPr>
              <w:t>207.08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3FC7E">
            <w:pPr>
              <w:jc w:val="center"/>
            </w:pPr>
            <w:r>
              <w:rPr>
                <w:rFonts w:ascii="宋体" w:hAnsi="宋体" w:eastAsia="宋体"/>
                <w:sz w:val="16"/>
              </w:rPr>
              <w:t>207.08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DF0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C266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AD3A8">
            <w:pPr>
              <w:jc w:val="center"/>
            </w:pPr>
            <w:r>
              <w:rPr>
                <w:rFonts w:ascii="宋体" w:hAnsi="宋体" w:eastAsia="宋体"/>
                <w:sz w:val="16"/>
              </w:rPr>
              <w:t>—</w:t>
            </w:r>
          </w:p>
        </w:tc>
      </w:tr>
      <w:tr w14:paraId="50E420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DC6E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8430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319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359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0AA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5F3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6F8A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F91EA">
            <w:pPr>
              <w:jc w:val="center"/>
            </w:pPr>
            <w:r>
              <w:rPr>
                <w:rFonts w:ascii="宋体" w:hAnsi="宋体" w:eastAsia="宋体"/>
                <w:sz w:val="16"/>
              </w:rPr>
              <w:t>—</w:t>
            </w:r>
          </w:p>
        </w:tc>
      </w:tr>
      <w:tr w14:paraId="3D3629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3C83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C2EF5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68D3C4">
            <w:pPr>
              <w:jc w:val="center"/>
            </w:pPr>
            <w:r>
              <w:rPr>
                <w:rFonts w:ascii="宋体" w:hAnsi="宋体" w:eastAsia="宋体"/>
                <w:sz w:val="16"/>
              </w:rPr>
              <w:t>实际完成情况</w:t>
            </w:r>
          </w:p>
        </w:tc>
      </w:tr>
      <w:tr w14:paraId="0520CF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1BE0A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60F760">
            <w:pPr>
              <w:jc w:val="both"/>
            </w:pPr>
            <w:r>
              <w:rPr>
                <w:rFonts w:ascii="宋体" w:hAnsi="宋体" w:eastAsia="宋体"/>
                <w:sz w:val="16"/>
              </w:rPr>
              <w:t>完成全县52家县直单位和9个乡镇办公用房管理工作，保障全县486辆公务用车管理工作，按期完成公务接待工作和后勤保障工作，建立健全机关管理制度。按期完成公共机构节能宣传和教育工作，推进节能型机关创建和复验，提升了机关事务管理服务质量和水平，保障政府机关协调运转和高效运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48F840">
            <w:pPr>
              <w:jc w:val="both"/>
            </w:pPr>
            <w:r>
              <w:rPr>
                <w:rFonts w:ascii="宋体" w:hAnsi="宋体" w:eastAsia="宋体"/>
                <w:sz w:val="16"/>
              </w:rPr>
              <w:t>岳普湖县委机关管理服务中心本年度已完成全县52家县直单位和9个乡镇办公用房管理工作，盘活用好存量房源，着力解决部分单位办公用房紧张问题。已完成保障全县491辆公务用车管理工作，逐车分析车辆配备使用情况，确保数据统计准确、全面，数据分析精准、可靠，为推进高效管理、创新发展提供科学依据。已完成本年度公务接待工作和后勤保障工作，建立健全机关管理制度，全面加强对公务接待的过程管理和细节管控，稳步推进机关后勤服务市场化、社会化，助力服务质量不断提升。按期完成公共机构节能宣传和教育工作，推进节能型机关创建和复验，提升了机关事务管理服务质量和水平，保障政府机关协调运转和高效运作。</w:t>
            </w:r>
          </w:p>
        </w:tc>
      </w:tr>
      <w:tr w14:paraId="29680E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5832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8BB3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5014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E44B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A007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214B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303F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9396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652D6">
            <w:pPr>
              <w:jc w:val="center"/>
            </w:pPr>
            <w:r>
              <w:rPr>
                <w:rFonts w:ascii="宋体" w:hAnsi="宋体" w:eastAsia="宋体"/>
                <w:sz w:val="16"/>
              </w:rPr>
              <w:t>得分</w:t>
            </w:r>
          </w:p>
        </w:tc>
      </w:tr>
      <w:tr w14:paraId="4F71A43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9DBE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72CC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D7B76">
            <w:pPr>
              <w:jc w:val="center"/>
            </w:pPr>
            <w:r>
              <w:rPr>
                <w:rFonts w:ascii="宋体" w:hAnsi="宋体" w:eastAsia="宋体"/>
                <w:sz w:val="16"/>
              </w:rPr>
              <w:t>办公用房管理县直单位数量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8AC6F">
            <w:pPr>
              <w:jc w:val="center"/>
            </w:pPr>
            <w:r>
              <w:rPr>
                <w:rFonts w:ascii="宋体" w:hAnsi="宋体" w:eastAsia="宋体"/>
                <w:sz w:val="16"/>
              </w:rPr>
              <w:t>&gt;=52家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AEB2B">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41EC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0D69E">
            <w:pPr>
              <w:jc w:val="center"/>
            </w:pPr>
            <w:r>
              <w:rPr>
                <w:rFonts w:ascii="宋体" w:hAnsi="宋体" w:eastAsia="宋体"/>
                <w:sz w:val="16"/>
              </w:rPr>
              <w:t>52家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BF7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082F2">
            <w:pPr>
              <w:jc w:val="center"/>
            </w:pPr>
            <w:r>
              <w:rPr>
                <w:rFonts w:ascii="宋体" w:hAnsi="宋体" w:eastAsia="宋体"/>
                <w:sz w:val="16"/>
              </w:rPr>
              <w:t>18</w:t>
            </w:r>
          </w:p>
        </w:tc>
      </w:tr>
      <w:tr w14:paraId="0F7BF4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F0E6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B18B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86346">
            <w:pPr>
              <w:jc w:val="center"/>
            </w:pPr>
            <w:r>
              <w:rPr>
                <w:rFonts w:ascii="宋体" w:hAnsi="宋体" w:eastAsia="宋体"/>
                <w:sz w:val="16"/>
              </w:rPr>
              <w:t>全县公务用车管理数量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1CC55">
            <w:pPr>
              <w:jc w:val="center"/>
            </w:pPr>
            <w:r>
              <w:rPr>
                <w:rFonts w:ascii="宋体" w:hAnsi="宋体" w:eastAsia="宋体"/>
                <w:sz w:val="16"/>
              </w:rPr>
              <w:t>&gt;=486辆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FC987">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0D43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C8C1F">
            <w:pPr>
              <w:jc w:val="center"/>
            </w:pPr>
            <w:r>
              <w:rPr>
                <w:rFonts w:ascii="宋体" w:hAnsi="宋体" w:eastAsia="宋体"/>
                <w:sz w:val="16"/>
              </w:rPr>
              <w:t>491辆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96C23">
            <w:pPr>
              <w:jc w:val="center"/>
            </w:pPr>
            <w:r>
              <w:rPr>
                <w:rFonts w:ascii="宋体" w:hAnsi="宋体" w:eastAsia="宋体"/>
                <w:sz w:val="16"/>
              </w:rPr>
              <w:t>101.03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35AFA">
            <w:pPr>
              <w:jc w:val="center"/>
            </w:pPr>
            <w:r>
              <w:rPr>
                <w:rFonts w:ascii="宋体" w:hAnsi="宋体" w:eastAsia="宋体"/>
                <w:sz w:val="16"/>
              </w:rPr>
              <w:t>18</w:t>
            </w:r>
          </w:p>
        </w:tc>
      </w:tr>
      <w:tr w14:paraId="450BA8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21C1E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2266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6CEDD">
            <w:pPr>
              <w:jc w:val="center"/>
            </w:pPr>
            <w:r>
              <w:rPr>
                <w:rFonts w:ascii="宋体" w:hAnsi="宋体" w:eastAsia="宋体"/>
                <w:sz w:val="16"/>
              </w:rPr>
              <w:t>公务接待工作完成率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56A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69554">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77A8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A4A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0DC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AAB10">
            <w:pPr>
              <w:jc w:val="center"/>
            </w:pPr>
            <w:r>
              <w:rPr>
                <w:rFonts w:ascii="宋体" w:hAnsi="宋体" w:eastAsia="宋体"/>
                <w:sz w:val="16"/>
              </w:rPr>
              <w:t>18</w:t>
            </w:r>
          </w:p>
        </w:tc>
      </w:tr>
      <w:tr w14:paraId="5C7636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662F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907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67CF1">
            <w:pPr>
              <w:jc w:val="center"/>
            </w:pPr>
            <w:r>
              <w:rPr>
                <w:rFonts w:ascii="宋体" w:hAnsi="宋体" w:eastAsia="宋体"/>
                <w:sz w:val="16"/>
              </w:rPr>
              <w:t>后勤保障工作覆盖率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83C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F3D41">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A14B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05B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7B6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39E40">
            <w:pPr>
              <w:jc w:val="center"/>
            </w:pPr>
            <w:r>
              <w:rPr>
                <w:rFonts w:ascii="宋体" w:hAnsi="宋体" w:eastAsia="宋体"/>
                <w:sz w:val="16"/>
              </w:rPr>
              <w:t>18</w:t>
            </w:r>
          </w:p>
        </w:tc>
      </w:tr>
      <w:tr w14:paraId="315CEB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3F40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E3E0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F1DDE">
            <w:pPr>
              <w:jc w:val="center"/>
            </w:pPr>
            <w:r>
              <w:rPr>
                <w:rFonts w:ascii="宋体" w:hAnsi="宋体" w:eastAsia="宋体"/>
                <w:sz w:val="16"/>
              </w:rPr>
              <w:t>公共机构节能宣传工作及时率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ADE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89F3D">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3646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C7F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8D3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FF080">
            <w:pPr>
              <w:jc w:val="center"/>
            </w:pPr>
            <w:r>
              <w:rPr>
                <w:rFonts w:ascii="宋体" w:hAnsi="宋体" w:eastAsia="宋体"/>
                <w:sz w:val="16"/>
              </w:rPr>
              <w:t>18</w:t>
            </w:r>
          </w:p>
        </w:tc>
      </w:tr>
    </w:tbl>
    <w:p w14:paraId="7CC3DFC3">
      <w:r>
        <w:br w:type="page"/>
      </w:r>
    </w:p>
    <w:p w14:paraId="009651AD">
      <w:pPr>
        <w:spacing w:line="640" w:lineRule="exact"/>
        <w:ind w:firstLine="640"/>
        <w:jc w:val="both"/>
        <w:outlineLvl w:val="2"/>
      </w:pPr>
      <w:r>
        <w:rPr>
          <w:rFonts w:ascii="黑体" w:hAnsi="黑体" w:eastAsia="黑体"/>
          <w:sz w:val="32"/>
        </w:rPr>
        <w:t>十二、其他需说明的事项</w:t>
      </w:r>
    </w:p>
    <w:p w14:paraId="7A6C388E">
      <w:pPr>
        <w:spacing w:line="580" w:lineRule="exact"/>
        <w:ind w:firstLine="640"/>
        <w:jc w:val="both"/>
      </w:pPr>
      <w:r>
        <w:rPr>
          <w:rFonts w:ascii="仿宋_GB2312" w:hAnsi="仿宋_GB2312" w:eastAsia="仿宋_GB2312"/>
          <w:b w:val="0"/>
          <w:sz w:val="32"/>
        </w:rPr>
        <w:t>本单位无其他需说明的事项。</w:t>
      </w:r>
    </w:p>
    <w:p w14:paraId="794C6E37">
      <w:r>
        <w:br w:type="page"/>
      </w:r>
    </w:p>
    <w:p w14:paraId="20623AE7">
      <w:pPr>
        <w:spacing w:line="240" w:lineRule="auto"/>
        <w:jc w:val="center"/>
        <w:outlineLvl w:val="1"/>
      </w:pPr>
      <w:r>
        <w:rPr>
          <w:rFonts w:ascii="黑体" w:hAnsi="黑体" w:eastAsia="黑体"/>
          <w:sz w:val="32"/>
        </w:rPr>
        <w:t>第三部分 专业名词解释</w:t>
      </w:r>
    </w:p>
    <w:p w14:paraId="440F9A9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17CEA0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0C3337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EA6820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40D0D6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F67CB9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DC76F7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4508FA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A7895B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D98BAE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EA3EE2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0CAF11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F0751D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3370B9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BB394AD">
      <w:r>
        <w:br w:type="page"/>
      </w:r>
    </w:p>
    <w:p w14:paraId="3256244F">
      <w:pPr>
        <w:spacing w:line="240" w:lineRule="auto"/>
        <w:jc w:val="center"/>
        <w:outlineLvl w:val="1"/>
      </w:pPr>
      <w:r>
        <w:rPr>
          <w:rFonts w:ascii="黑体" w:hAnsi="黑体" w:eastAsia="黑体"/>
          <w:sz w:val="32"/>
        </w:rPr>
        <w:t>第四部分 部门决算报表（见附表）</w:t>
      </w:r>
    </w:p>
    <w:p w14:paraId="3376BAF5">
      <w:pPr>
        <w:spacing w:line="240" w:lineRule="auto"/>
        <w:ind w:firstLine="640"/>
        <w:jc w:val="both"/>
      </w:pPr>
      <w:r>
        <w:rPr>
          <w:rFonts w:ascii="仿宋_GB2312" w:hAnsi="仿宋_GB2312" w:eastAsia="仿宋_GB2312"/>
          <w:b w:val="0"/>
          <w:sz w:val="32"/>
        </w:rPr>
        <w:t>一、《收入支出决算总表》</w:t>
      </w:r>
    </w:p>
    <w:p w14:paraId="62AD5664">
      <w:pPr>
        <w:spacing w:line="240" w:lineRule="auto"/>
        <w:ind w:firstLine="640"/>
        <w:jc w:val="both"/>
      </w:pPr>
      <w:r>
        <w:rPr>
          <w:rFonts w:ascii="仿宋_GB2312" w:hAnsi="仿宋_GB2312" w:eastAsia="仿宋_GB2312"/>
          <w:b w:val="0"/>
          <w:sz w:val="32"/>
        </w:rPr>
        <w:t>二、《收入决算表》</w:t>
      </w:r>
    </w:p>
    <w:p w14:paraId="6FDC6335">
      <w:pPr>
        <w:spacing w:line="240" w:lineRule="auto"/>
        <w:ind w:firstLine="640"/>
        <w:jc w:val="both"/>
      </w:pPr>
      <w:r>
        <w:rPr>
          <w:rFonts w:ascii="仿宋_GB2312" w:hAnsi="仿宋_GB2312" w:eastAsia="仿宋_GB2312"/>
          <w:b w:val="0"/>
          <w:sz w:val="32"/>
        </w:rPr>
        <w:t>三、《支出决算表》</w:t>
      </w:r>
    </w:p>
    <w:p w14:paraId="58BA8C49">
      <w:pPr>
        <w:spacing w:line="240" w:lineRule="auto"/>
        <w:ind w:firstLine="640"/>
        <w:jc w:val="both"/>
      </w:pPr>
      <w:r>
        <w:rPr>
          <w:rFonts w:ascii="仿宋_GB2312" w:hAnsi="仿宋_GB2312" w:eastAsia="仿宋_GB2312"/>
          <w:b w:val="0"/>
          <w:sz w:val="32"/>
        </w:rPr>
        <w:t>四、《财政拨款收入支出决算总表》</w:t>
      </w:r>
    </w:p>
    <w:p w14:paraId="25FDE180">
      <w:pPr>
        <w:spacing w:line="240" w:lineRule="auto"/>
        <w:ind w:firstLine="640"/>
        <w:jc w:val="both"/>
      </w:pPr>
      <w:r>
        <w:rPr>
          <w:rFonts w:ascii="仿宋_GB2312" w:hAnsi="仿宋_GB2312" w:eastAsia="仿宋_GB2312"/>
          <w:b w:val="0"/>
          <w:sz w:val="32"/>
        </w:rPr>
        <w:t>五、《一般公共预算财政拨款支出决算表》</w:t>
      </w:r>
    </w:p>
    <w:p w14:paraId="2614DA37">
      <w:pPr>
        <w:spacing w:line="240" w:lineRule="auto"/>
        <w:ind w:firstLine="640"/>
        <w:jc w:val="both"/>
      </w:pPr>
      <w:r>
        <w:rPr>
          <w:rFonts w:ascii="仿宋_GB2312" w:hAnsi="仿宋_GB2312" w:eastAsia="仿宋_GB2312"/>
          <w:b w:val="0"/>
          <w:sz w:val="32"/>
        </w:rPr>
        <w:t>六、《一般公共预算财政拨款基本支出决算表》</w:t>
      </w:r>
    </w:p>
    <w:p w14:paraId="286D70C5">
      <w:pPr>
        <w:spacing w:line="240" w:lineRule="auto"/>
        <w:ind w:firstLine="640"/>
        <w:jc w:val="both"/>
      </w:pPr>
      <w:r>
        <w:rPr>
          <w:rFonts w:ascii="仿宋_GB2312" w:hAnsi="仿宋_GB2312" w:eastAsia="仿宋_GB2312"/>
          <w:b w:val="0"/>
          <w:sz w:val="32"/>
        </w:rPr>
        <w:t>七、《政府性基金预算财政拨款收入支出决算表》</w:t>
      </w:r>
    </w:p>
    <w:p w14:paraId="685F1E28">
      <w:pPr>
        <w:spacing w:line="240" w:lineRule="auto"/>
        <w:ind w:firstLine="640"/>
        <w:jc w:val="both"/>
      </w:pPr>
      <w:r>
        <w:rPr>
          <w:rFonts w:ascii="仿宋_GB2312" w:hAnsi="仿宋_GB2312" w:eastAsia="仿宋_GB2312"/>
          <w:b w:val="0"/>
          <w:sz w:val="32"/>
        </w:rPr>
        <w:t>八、《国有资本经营预算财政拨款收入支出决算表》</w:t>
      </w:r>
    </w:p>
    <w:p w14:paraId="34556304">
      <w:pPr>
        <w:spacing w:line="240" w:lineRule="auto"/>
        <w:ind w:firstLine="640"/>
        <w:jc w:val="both"/>
      </w:pPr>
      <w:r>
        <w:rPr>
          <w:rFonts w:ascii="仿宋_GB2312" w:hAnsi="仿宋_GB2312" w:eastAsia="仿宋_GB2312"/>
          <w:b w:val="0"/>
          <w:sz w:val="32"/>
        </w:rPr>
        <w:t>九、《财政拨款“三公”经费支出决算表》</w:t>
      </w:r>
    </w:p>
    <w:p w14:paraId="1F86252D">
      <w:pPr>
        <w:spacing w:line="240" w:lineRule="auto"/>
        <w:ind w:firstLine="640"/>
        <w:jc w:val="both"/>
      </w:pPr>
    </w:p>
    <w:p w14:paraId="642B2972">
      <w:pPr>
        <w:spacing w:line="240" w:lineRule="auto"/>
        <w:ind w:firstLine="640"/>
        <w:jc w:val="both"/>
      </w:pPr>
    </w:p>
    <w:p w14:paraId="2F9D10E9">
      <w:pPr>
        <w:spacing w:line="240" w:lineRule="auto"/>
        <w:ind w:firstLine="640"/>
        <w:jc w:val="both"/>
      </w:pPr>
    </w:p>
    <w:p w14:paraId="46EAB55C">
      <w:pPr>
        <w:spacing w:line="240" w:lineRule="auto"/>
        <w:ind w:firstLine="640"/>
        <w:jc w:val="both"/>
      </w:pPr>
    </w:p>
    <w:p w14:paraId="3A5D491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C540FC"/>
    <w:rsid w:val="543D17CB"/>
    <w:rsid w:val="55DA564E"/>
    <w:rsid w:val="56E07045"/>
    <w:rsid w:val="583059FA"/>
    <w:rsid w:val="587E6212"/>
    <w:rsid w:val="5AFC6609"/>
    <w:rsid w:val="5FA17648"/>
    <w:rsid w:val="5FD320BD"/>
    <w:rsid w:val="60DE4D57"/>
    <w:rsid w:val="613409CB"/>
    <w:rsid w:val="61A46A97"/>
    <w:rsid w:val="62DD7D21"/>
    <w:rsid w:val="65D97752"/>
    <w:rsid w:val="664C500C"/>
    <w:rsid w:val="66B16E24"/>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4138</Words>
  <Characters>4775</Characters>
  <Lines>0</Lines>
  <Paragraphs>0</Paragraphs>
  <TotalTime>4</TotalTime>
  <ScaleCrop>false</ScaleCrop>
  <LinksUpToDate>false</LinksUpToDate>
  <CharactersWithSpaces>4783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2025-09-12T11:13:51Z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eyJoZGlkIjoiZjE5ZjY4MTZmMjdlZTdiNDk2YjE2YjM5MDdjZDkwNjQiLCJ1c2VySWQiOiI0OTMxMTE3MjUifQ==</vt:lpwstr>
  </property>
</Properties>
</file>