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801CAC">
      <w:r>
        <w:br w:type="page"/>
      </w:r>
    </w:p>
    <w:p w14:paraId="199209CD">
      <w:pPr>
        <w:spacing w:line="640" w:lineRule="exact"/>
        <w:jc w:val="center"/>
        <w:outlineLvl w:val="1"/>
      </w:pPr>
      <w:r>
        <w:rPr>
          <w:rFonts w:ascii="黑体" w:hAnsi="黑体" w:eastAsia="黑体"/>
          <w:sz w:val="32"/>
        </w:rPr>
        <w:t>第一部分 单位概况</w:t>
      </w:r>
    </w:p>
    <w:p w14:paraId="5B1FF914">
      <w:pPr>
        <w:spacing w:line="640" w:lineRule="exact"/>
        <w:ind w:firstLine="640"/>
        <w:jc w:val="both"/>
        <w:outlineLvl w:val="2"/>
      </w:pPr>
      <w:r>
        <w:rPr>
          <w:rFonts w:ascii="黑体" w:hAnsi="黑体" w:eastAsia="黑体"/>
          <w:sz w:val="32"/>
        </w:rPr>
        <w:t>一、主要职能</w:t>
      </w:r>
    </w:p>
    <w:p w14:paraId="719093F7">
      <w:pPr>
        <w:spacing w:line="580" w:lineRule="exact"/>
        <w:ind w:firstLine="640"/>
        <w:jc w:val="both"/>
      </w:pPr>
      <w:r>
        <w:rPr>
          <w:rFonts w:ascii="仿宋_GB2312" w:hAnsi="仿宋_GB2312" w:eastAsia="仿宋_GB2312"/>
          <w:sz w:val="32"/>
        </w:rPr>
        <w:t>（一）负责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48A1DC6E">
      <w:pPr>
        <w:spacing w:line="580" w:lineRule="exact"/>
        <w:ind w:firstLine="640"/>
        <w:jc w:val="both"/>
      </w:pPr>
      <w:r>
        <w:rPr>
          <w:rFonts w:ascii="仿宋_GB2312" w:hAnsi="仿宋_GB2312" w:eastAsia="仿宋_GB2312"/>
          <w:sz w:val="32"/>
        </w:rPr>
        <w:t>（二）贯彻执行审计法律法规规章、国际审计准则和指南并监督执行。制定并组织实施专业领域审计工作规划。对直接审计、调查和核查的事项依法进行审计评价。做出审计决定或提出审计建议。</w:t>
      </w:r>
    </w:p>
    <w:p w14:paraId="42C626CD">
      <w:pPr>
        <w:spacing w:line="580" w:lineRule="exact"/>
        <w:ind w:firstLine="640"/>
        <w:jc w:val="both"/>
      </w:pPr>
      <w:r>
        <w:rPr>
          <w:rFonts w:ascii="仿宋_GB2312" w:hAnsi="仿宋_GB2312" w:eastAsia="仿宋_GB2312"/>
          <w:sz w:val="32"/>
        </w:rPr>
        <w:t>（三）向县委审计委员会提出年度全县预算执行和其他财政支出情况审计报告。向县人民政府提出年度全县预算执行和其他财政收支情况的审计结果报告。受县人民政府委托向县人大提出县本级预算执行和其他财政收支情况的审计工作报告、审计查出问题整改情况报告。向县委、县政府报告对其他事项的审计和专项审计调查情况及结果。依法向社会公布审计结果。向县直有关部门、乡</w:t>
      </w:r>
      <w:r>
        <w:rPr>
          <w:rFonts w:hint="eastAsia" w:ascii="仿宋_GB2312" w:hAnsi="仿宋_GB2312" w:eastAsia="仿宋_GB2312"/>
          <w:sz w:val="32"/>
          <w:lang w:eastAsia="zh-CN"/>
        </w:rPr>
        <w:t>镇党委、镇政府</w:t>
      </w:r>
      <w:r>
        <w:rPr>
          <w:rFonts w:ascii="仿宋_GB2312" w:hAnsi="仿宋_GB2312" w:eastAsia="仿宋_GB2312"/>
          <w:sz w:val="32"/>
        </w:rPr>
        <w:t>通报审计情况和审计结果。</w:t>
      </w:r>
    </w:p>
    <w:p w14:paraId="6771CF43">
      <w:pPr>
        <w:spacing w:line="580" w:lineRule="exact"/>
        <w:ind w:firstLine="640"/>
        <w:jc w:val="both"/>
      </w:pPr>
      <w:r>
        <w:rPr>
          <w:rFonts w:ascii="仿宋_GB2312" w:hAnsi="仿宋_GB2312" w:eastAsia="仿宋_GB2312"/>
          <w:sz w:val="32"/>
        </w:rPr>
        <w:t>（四）直接审计下列事项，出具审计报告，在法定职权范围内做出审计决定，包括国家有关重大政策措施贯彻落实情况；县级预算执行情况和其他财政收支，县级各部门单位预算执行情况、决算草案和其他财政收支，县级财政转移支付资金。使用县级财政资金的事业单位和社会团体的财务收支；国家投资和以国家投资为主的建设项目的预算执行情况和决算；国家重大公共工程项目的资金管理使用和建设运营情况；自然资源管理、污染防治和生态保护与修复情况；国有企业和金融机构、县政府规定的国有资本占控股或占主导地位的企业和金融机构境内外资产、负债和损益；有关社会保障基金、社会捐赠资金及其他基金、资金的财务收支；国际组织和外国政府援助、贷款项目；法律法规规定的其他事项。</w:t>
      </w:r>
    </w:p>
    <w:p w14:paraId="66B1B8DF">
      <w:pPr>
        <w:spacing w:line="580" w:lineRule="exact"/>
        <w:ind w:firstLine="640"/>
        <w:jc w:val="both"/>
      </w:pPr>
      <w:r>
        <w:rPr>
          <w:rFonts w:ascii="仿宋_GB2312" w:hAnsi="仿宋_GB2312" w:eastAsia="仿宋_GB2312"/>
          <w:sz w:val="32"/>
        </w:rPr>
        <w:t>（五）按规定对属于</w:t>
      </w:r>
      <w:r>
        <w:rPr>
          <w:rFonts w:hint="eastAsia" w:ascii="仿宋_GB2312" w:hAnsi="仿宋_GB2312" w:eastAsia="仿宋_GB2312"/>
          <w:sz w:val="32"/>
          <w:lang w:eastAsia="zh-CN"/>
        </w:rPr>
        <w:t>本级</w:t>
      </w:r>
      <w:r>
        <w:rPr>
          <w:rFonts w:ascii="仿宋_GB2312" w:hAnsi="仿宋_GB2312" w:eastAsia="仿宋_GB2312"/>
          <w:sz w:val="32"/>
        </w:rPr>
        <w:t>审计机关审计监督对象的党政主要领导干部及其他单位主要负责人实施经济责任审计和自然资源资产离任审计。</w:t>
      </w:r>
    </w:p>
    <w:p w14:paraId="4D50B9A9">
      <w:pPr>
        <w:spacing w:line="580" w:lineRule="exact"/>
        <w:ind w:firstLine="640"/>
        <w:jc w:val="both"/>
      </w:pPr>
      <w:r>
        <w:rPr>
          <w:rFonts w:ascii="仿宋_GB2312" w:hAnsi="仿宋_GB2312" w:eastAsia="仿宋_GB2312"/>
          <w:sz w:val="32"/>
        </w:rPr>
        <w:t>（六）组织实施对国家财政法律法规、规章、政策和宏观调控措施执行情况、财政预算管理及国有资产管理使用等与国家财政收支有关的事项进行专项审计调查。</w:t>
      </w:r>
    </w:p>
    <w:p w14:paraId="4E286289">
      <w:pPr>
        <w:spacing w:line="580" w:lineRule="exact"/>
        <w:ind w:firstLine="640"/>
        <w:jc w:val="both"/>
      </w:pPr>
      <w:r>
        <w:rPr>
          <w:rFonts w:ascii="仿宋_GB2312" w:hAnsi="仿宋_GB2312" w:eastAsia="仿宋_GB2312"/>
          <w:sz w:val="32"/>
        </w:rPr>
        <w:t>（七）依法检查审计决定执行情况，督促整改审计查出的问题，依法办理被审计单位对审计决定提请行政复议、行政诉讼或政府裁决中的有关事项，协助配合有关部门查处相关重大案件。</w:t>
      </w:r>
    </w:p>
    <w:p w14:paraId="5E84AF45">
      <w:pPr>
        <w:spacing w:line="580" w:lineRule="exact"/>
        <w:ind w:firstLine="640"/>
        <w:jc w:val="both"/>
      </w:pPr>
      <w:r>
        <w:rPr>
          <w:rFonts w:ascii="仿宋_GB2312" w:hAnsi="仿宋_GB2312" w:eastAsia="仿宋_GB2312"/>
          <w:sz w:val="32"/>
        </w:rPr>
        <w:t>（八）指导和监督内部审计工作，核查社会审计机构对依法属于审计监督对象的单位出具的相关审计报告。</w:t>
      </w:r>
    </w:p>
    <w:p w14:paraId="36AD5947">
      <w:pPr>
        <w:spacing w:line="580" w:lineRule="exact"/>
        <w:ind w:firstLine="640"/>
        <w:jc w:val="both"/>
      </w:pPr>
      <w:r>
        <w:rPr>
          <w:rFonts w:ascii="仿宋_GB2312" w:hAnsi="仿宋_GB2312" w:eastAsia="仿宋_GB2312"/>
          <w:sz w:val="32"/>
        </w:rPr>
        <w:t>（九）指导和推广信息技术在审计领域的应用。</w:t>
      </w:r>
    </w:p>
    <w:p w14:paraId="4590A99C">
      <w:pPr>
        <w:spacing w:line="580" w:lineRule="exact"/>
        <w:ind w:firstLine="640"/>
        <w:jc w:val="both"/>
      </w:pPr>
      <w:r>
        <w:rPr>
          <w:rFonts w:ascii="仿宋_GB2312" w:hAnsi="仿宋_GB2312" w:eastAsia="仿宋_GB2312"/>
          <w:sz w:val="32"/>
        </w:rPr>
        <w:t>（十）完成县委、县人民政府交办的其他事项。</w:t>
      </w:r>
    </w:p>
    <w:p w14:paraId="34603E4F">
      <w:pPr>
        <w:spacing w:line="640" w:lineRule="exact"/>
        <w:ind w:firstLine="640"/>
        <w:jc w:val="both"/>
        <w:outlineLvl w:val="2"/>
      </w:pPr>
      <w:r>
        <w:rPr>
          <w:rFonts w:ascii="黑体" w:hAnsi="黑体" w:eastAsia="黑体"/>
          <w:sz w:val="32"/>
        </w:rPr>
        <w:t>二、机构设置及人员情况</w:t>
      </w:r>
    </w:p>
    <w:p w14:paraId="1DE808D2">
      <w:pPr>
        <w:spacing w:line="580" w:lineRule="exact"/>
        <w:ind w:firstLine="640"/>
        <w:jc w:val="both"/>
      </w:pPr>
      <w:r>
        <w:rPr>
          <w:rFonts w:ascii="仿宋_GB2312" w:hAnsi="仿宋_GB2312" w:eastAsia="仿宋_GB2312"/>
          <w:sz w:val="32"/>
        </w:rPr>
        <w:t>岳普湖县审计局2024年度，实有人数17人，其中：在职人员13人，增加2人；离休人员0人，增加0人；退休人员4人,增加0人。</w:t>
      </w:r>
    </w:p>
    <w:p w14:paraId="6E7DD664">
      <w:pPr>
        <w:spacing w:line="580" w:lineRule="exact"/>
        <w:ind w:firstLine="640"/>
        <w:jc w:val="both"/>
      </w:pPr>
      <w:r>
        <w:rPr>
          <w:rFonts w:ascii="仿宋_GB2312" w:hAnsi="仿宋_GB2312" w:eastAsia="仿宋_GB2312"/>
          <w:sz w:val="32"/>
        </w:rPr>
        <w:t>岳普湖县审计局无下属预算单位，下设3个科室，分别是：行政办公室、审计股、政策法规股。</w:t>
      </w:r>
    </w:p>
    <w:p w14:paraId="56EEA63B">
      <w:r>
        <w:br w:type="page"/>
      </w:r>
    </w:p>
    <w:p w14:paraId="69B784FF">
      <w:pPr>
        <w:spacing w:line="240" w:lineRule="auto"/>
        <w:jc w:val="center"/>
        <w:outlineLvl w:val="1"/>
      </w:pPr>
      <w:r>
        <w:rPr>
          <w:rFonts w:ascii="黑体" w:hAnsi="黑体" w:eastAsia="黑体"/>
          <w:sz w:val="32"/>
        </w:rPr>
        <w:t>第二部分 部门决算情况说明</w:t>
      </w:r>
    </w:p>
    <w:p w14:paraId="6025D678">
      <w:pPr>
        <w:spacing w:line="640" w:lineRule="exact"/>
        <w:ind w:firstLine="640"/>
        <w:jc w:val="both"/>
        <w:outlineLvl w:val="2"/>
      </w:pPr>
      <w:r>
        <w:rPr>
          <w:rFonts w:ascii="黑体" w:hAnsi="黑体" w:eastAsia="黑体"/>
          <w:sz w:val="32"/>
        </w:rPr>
        <w:t>一、收入支出决算总体情况说明</w:t>
      </w:r>
    </w:p>
    <w:p w14:paraId="4BD94548">
      <w:pPr>
        <w:spacing w:line="580" w:lineRule="exact"/>
        <w:ind w:firstLine="640"/>
        <w:jc w:val="both"/>
      </w:pPr>
      <w:r>
        <w:rPr>
          <w:rFonts w:ascii="仿宋_GB2312" w:hAnsi="仿宋_GB2312" w:eastAsia="仿宋_GB2312"/>
          <w:b/>
          <w:sz w:val="32"/>
        </w:rPr>
        <w:t>2024年度收入总计305.92万元，</w:t>
      </w:r>
      <w:r>
        <w:rPr>
          <w:rFonts w:ascii="仿宋_GB2312" w:hAnsi="仿宋_GB2312" w:eastAsia="仿宋_GB2312"/>
          <w:b w:val="0"/>
          <w:sz w:val="32"/>
        </w:rPr>
        <w:t>其中：本年收入合计295.04万元，使用非财政拨款结余（含专用结余）0.00万元，年初结转和结余10.88万元。</w:t>
      </w:r>
    </w:p>
    <w:p w14:paraId="436F9443">
      <w:pPr>
        <w:spacing w:line="580" w:lineRule="exact"/>
        <w:ind w:firstLine="640"/>
        <w:jc w:val="both"/>
      </w:pPr>
      <w:r>
        <w:rPr>
          <w:rFonts w:ascii="仿宋_GB2312" w:hAnsi="仿宋_GB2312" w:eastAsia="仿宋_GB2312"/>
          <w:b/>
          <w:sz w:val="32"/>
        </w:rPr>
        <w:t>2024年度支出总计305.92万元，</w:t>
      </w:r>
      <w:r>
        <w:rPr>
          <w:rFonts w:ascii="仿宋_GB2312" w:hAnsi="仿宋_GB2312" w:eastAsia="仿宋_GB2312"/>
          <w:b w:val="0"/>
          <w:sz w:val="32"/>
        </w:rPr>
        <w:t>其中：本年支出合计298.62万元，结余分配0.00万元，年末结转和结余7.30万元。</w:t>
      </w:r>
    </w:p>
    <w:p w14:paraId="43B3E637">
      <w:pPr>
        <w:spacing w:line="580" w:lineRule="exact"/>
        <w:ind w:firstLine="640"/>
        <w:jc w:val="both"/>
      </w:pPr>
      <w:r>
        <w:rPr>
          <w:rFonts w:ascii="仿宋_GB2312" w:hAnsi="仿宋_GB2312" w:eastAsia="仿宋_GB2312"/>
          <w:b w:val="0"/>
          <w:sz w:val="32"/>
        </w:rPr>
        <w:t>收入支出总体与上年相比，增加50.46万元，增长19.75%，主要原因是：本年增加审计咨询业务费、2024年自治区乡村振兴审计专项经费、自然资源经济责任审计经费等项目。</w:t>
      </w:r>
    </w:p>
    <w:p w14:paraId="0BD4FDED">
      <w:pPr>
        <w:spacing w:line="640" w:lineRule="exact"/>
        <w:ind w:firstLine="640"/>
        <w:jc w:val="both"/>
        <w:outlineLvl w:val="2"/>
      </w:pPr>
      <w:r>
        <w:rPr>
          <w:rFonts w:ascii="黑体" w:hAnsi="黑体" w:eastAsia="黑体"/>
          <w:sz w:val="32"/>
        </w:rPr>
        <w:t>二、收入决算情况说明</w:t>
      </w:r>
    </w:p>
    <w:p w14:paraId="4B64572A">
      <w:pPr>
        <w:spacing w:line="580" w:lineRule="exact"/>
        <w:ind w:firstLine="640"/>
        <w:jc w:val="both"/>
      </w:pPr>
      <w:r>
        <w:rPr>
          <w:rFonts w:ascii="仿宋_GB2312" w:hAnsi="仿宋_GB2312" w:eastAsia="仿宋_GB2312"/>
          <w:b/>
          <w:sz w:val="32"/>
        </w:rPr>
        <w:t>本年收入295.04万元，</w:t>
      </w:r>
      <w:r>
        <w:rPr>
          <w:rFonts w:ascii="仿宋_GB2312" w:hAnsi="仿宋_GB2312" w:eastAsia="仿宋_GB2312"/>
          <w:b w:val="0"/>
          <w:sz w:val="32"/>
        </w:rPr>
        <w:t>其中：财政拨款收入289.04万元，占97.97%；上级补助收入0.00万元，占0.00%；事业收入0.00万元，占0.00%；经营收入0.00万元，占0.00%；附属单位上缴收入0.00万元，占0.00%；其他收入6.00万元，占2.03%。</w:t>
      </w:r>
    </w:p>
    <w:p w14:paraId="4EA72E50">
      <w:pPr>
        <w:spacing w:line="640" w:lineRule="exact"/>
        <w:ind w:firstLine="640"/>
        <w:jc w:val="both"/>
        <w:outlineLvl w:val="2"/>
      </w:pPr>
      <w:r>
        <w:rPr>
          <w:rFonts w:ascii="黑体" w:hAnsi="黑体" w:eastAsia="黑体"/>
          <w:sz w:val="32"/>
        </w:rPr>
        <w:t>三、支出决算情况说明</w:t>
      </w:r>
    </w:p>
    <w:p w14:paraId="054CD179">
      <w:pPr>
        <w:spacing w:line="580" w:lineRule="exact"/>
        <w:ind w:firstLine="640"/>
        <w:jc w:val="both"/>
      </w:pPr>
      <w:r>
        <w:rPr>
          <w:rFonts w:ascii="仿宋_GB2312" w:hAnsi="仿宋_GB2312" w:eastAsia="仿宋_GB2312"/>
          <w:b/>
          <w:sz w:val="32"/>
        </w:rPr>
        <w:t>本年支出298.62万元，</w:t>
      </w:r>
      <w:r>
        <w:rPr>
          <w:rFonts w:ascii="仿宋_GB2312" w:hAnsi="仿宋_GB2312" w:eastAsia="仿宋_GB2312"/>
          <w:b w:val="0"/>
          <w:sz w:val="32"/>
        </w:rPr>
        <w:t>其中：基本支出230.14万元，占77.07%；项目支出68.48万元，占22.93%；上缴上级支出0.00万元，占0.00%；经营支出0.00万元，占0.00%；对附属单位补助支出0.00万元，占0.00%。</w:t>
      </w:r>
    </w:p>
    <w:p w14:paraId="2AF06A36">
      <w:pPr>
        <w:spacing w:line="640" w:lineRule="exact"/>
        <w:ind w:firstLine="640"/>
        <w:jc w:val="both"/>
        <w:outlineLvl w:val="2"/>
      </w:pPr>
      <w:r>
        <w:rPr>
          <w:rFonts w:ascii="黑体" w:hAnsi="黑体" w:eastAsia="黑体"/>
          <w:sz w:val="32"/>
        </w:rPr>
        <w:t>四、财政拨款收入支出决算总体情况说明</w:t>
      </w:r>
    </w:p>
    <w:p w14:paraId="24B5AB08">
      <w:pPr>
        <w:spacing w:line="580" w:lineRule="exact"/>
        <w:ind w:firstLine="640"/>
        <w:jc w:val="both"/>
      </w:pPr>
      <w:r>
        <w:rPr>
          <w:rFonts w:ascii="仿宋_GB2312" w:hAnsi="仿宋_GB2312" w:eastAsia="仿宋_GB2312"/>
          <w:b/>
          <w:sz w:val="32"/>
        </w:rPr>
        <w:t>2024年度财政拨款收入总计289.04万元，</w:t>
      </w:r>
      <w:r>
        <w:rPr>
          <w:rFonts w:ascii="仿宋_GB2312" w:hAnsi="仿宋_GB2312" w:eastAsia="仿宋_GB2312"/>
          <w:b w:val="0"/>
          <w:sz w:val="32"/>
        </w:rPr>
        <w:t>其中：年初财政拨款结转和结余0.00万元，本年财政拨款收入289.04万元。</w:t>
      </w:r>
      <w:r>
        <w:rPr>
          <w:rFonts w:ascii="仿宋_GB2312" w:hAnsi="仿宋_GB2312" w:eastAsia="仿宋_GB2312"/>
          <w:b/>
          <w:sz w:val="32"/>
        </w:rPr>
        <w:t>财政拨款支出总计289.04万元，</w:t>
      </w:r>
      <w:r>
        <w:rPr>
          <w:rFonts w:ascii="仿宋_GB2312" w:hAnsi="仿宋_GB2312" w:eastAsia="仿宋_GB2312"/>
          <w:b w:val="0"/>
          <w:sz w:val="32"/>
        </w:rPr>
        <w:t>其中：年末财政拨款结转和结余0.00万元，本年财政拨款支出289.04万元。</w:t>
      </w:r>
    </w:p>
    <w:p w14:paraId="74A44F9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增加63.20万元，增长27.98%，主要原因是：本年增加审计咨询业务费、2024年自治区乡村振兴审计专项经费、自然资源经济责任审计经费等项目。</w:t>
      </w:r>
      <w:r>
        <w:rPr>
          <w:rFonts w:ascii="仿宋_GB2312" w:hAnsi="仿宋_GB2312" w:eastAsia="仿宋_GB2312"/>
          <w:b/>
          <w:sz w:val="32"/>
        </w:rPr>
        <w:t>与年初预算相比，</w:t>
      </w:r>
      <w:r>
        <w:rPr>
          <w:rFonts w:ascii="仿宋_GB2312" w:hAnsi="仿宋_GB2312" w:eastAsia="仿宋_GB2312"/>
          <w:b w:val="0"/>
          <w:sz w:val="32"/>
        </w:rPr>
        <w:t>年初预算数242.03万元，决算数289.04万元，预决算差异率19.42%，主要原因是：年中追加审计咨询业务费、2024年自治区乡村振兴审计专项经费、自然资源经济责任审计经费等项目；年中追加人员工资、社保、公积金基数调增部分资金，导致预决算存在差异。</w:t>
      </w:r>
    </w:p>
    <w:p w14:paraId="662C48B4">
      <w:pPr>
        <w:spacing w:line="640" w:lineRule="exact"/>
        <w:ind w:firstLine="640"/>
        <w:jc w:val="both"/>
        <w:outlineLvl w:val="2"/>
      </w:pPr>
      <w:r>
        <w:rPr>
          <w:rFonts w:ascii="黑体" w:hAnsi="黑体" w:eastAsia="黑体"/>
          <w:sz w:val="32"/>
        </w:rPr>
        <w:t>五、一般公共预算财政拨款支出决算情况说明</w:t>
      </w:r>
    </w:p>
    <w:p w14:paraId="2C075867">
      <w:pPr>
        <w:spacing w:line="640" w:lineRule="exact"/>
        <w:ind w:firstLine="640"/>
        <w:jc w:val="both"/>
        <w:outlineLvl w:val="3"/>
      </w:pPr>
      <w:r>
        <w:rPr>
          <w:rFonts w:ascii="楷体_GB2312" w:hAnsi="楷体_GB2312" w:eastAsia="楷体_GB2312"/>
          <w:b/>
          <w:sz w:val="32"/>
        </w:rPr>
        <w:t>（一）一般公共预算财政拨款支出决算总体情况</w:t>
      </w:r>
    </w:p>
    <w:p w14:paraId="3AA80FDC">
      <w:pPr>
        <w:spacing w:line="580" w:lineRule="exact"/>
        <w:ind w:firstLine="640"/>
        <w:jc w:val="both"/>
      </w:pPr>
      <w:r>
        <w:rPr>
          <w:rFonts w:ascii="仿宋_GB2312" w:hAnsi="仿宋_GB2312" w:eastAsia="仿宋_GB2312"/>
          <w:b/>
          <w:sz w:val="32"/>
        </w:rPr>
        <w:t>2024年度一般公共预算财政拨款支出289.04万元，</w:t>
      </w:r>
      <w:r>
        <w:rPr>
          <w:rFonts w:ascii="仿宋_GB2312" w:hAnsi="仿宋_GB2312" w:eastAsia="仿宋_GB2312"/>
          <w:b w:val="0"/>
          <w:sz w:val="32"/>
        </w:rPr>
        <w:t>占本年支出合计的96.79%。</w:t>
      </w:r>
      <w:r>
        <w:rPr>
          <w:rFonts w:ascii="仿宋_GB2312" w:hAnsi="仿宋_GB2312" w:eastAsia="仿宋_GB2312"/>
          <w:b/>
          <w:sz w:val="32"/>
        </w:rPr>
        <w:t>与上年相比，</w:t>
      </w:r>
      <w:r>
        <w:rPr>
          <w:rFonts w:ascii="仿宋_GB2312" w:hAnsi="仿宋_GB2312" w:eastAsia="仿宋_GB2312"/>
          <w:b w:val="0"/>
          <w:sz w:val="32"/>
        </w:rPr>
        <w:t>增加63.20万元，增长27.98%，主要原因是：本年增加审计咨询业务费、2024年自治区乡村振兴审计专项经费、自然资源经济责任审计经费等项目。</w:t>
      </w:r>
      <w:r>
        <w:rPr>
          <w:rFonts w:ascii="仿宋_GB2312" w:hAnsi="仿宋_GB2312" w:eastAsia="仿宋_GB2312"/>
          <w:b/>
          <w:sz w:val="32"/>
        </w:rPr>
        <w:t>与年初预算相比,</w:t>
      </w:r>
      <w:r>
        <w:rPr>
          <w:rFonts w:ascii="仿宋_GB2312" w:hAnsi="仿宋_GB2312" w:eastAsia="仿宋_GB2312"/>
          <w:b w:val="0"/>
          <w:sz w:val="32"/>
        </w:rPr>
        <w:t>年初预算数242.03万元，决算数289.04万元，预决算差异率19.42%，主要原因是：年中追加审计咨询业务费、2024年自治区乡村振兴审计专项经费、自然资源经济责任审计经费等项目，导致预决算存在差异；年中追加人员工资、社保、公积金基数调增部分资金，导致预决算存在差异。</w:t>
      </w:r>
    </w:p>
    <w:p w14:paraId="71CBAAA5">
      <w:pPr>
        <w:spacing w:line="640" w:lineRule="exact"/>
        <w:ind w:firstLine="640"/>
        <w:jc w:val="both"/>
        <w:outlineLvl w:val="3"/>
      </w:pPr>
      <w:r>
        <w:rPr>
          <w:rFonts w:ascii="楷体_GB2312" w:hAnsi="楷体_GB2312" w:eastAsia="楷体_GB2312"/>
          <w:b/>
          <w:sz w:val="32"/>
        </w:rPr>
        <w:t>（二）一般公共预算财政拨款支出决算结构情况</w:t>
      </w:r>
    </w:p>
    <w:p w14:paraId="73439BDB">
      <w:pPr>
        <w:spacing w:line="580" w:lineRule="exact"/>
        <w:ind w:firstLine="640"/>
        <w:jc w:val="both"/>
      </w:pPr>
      <w:r>
        <w:rPr>
          <w:rFonts w:ascii="仿宋_GB2312" w:hAnsi="仿宋_GB2312" w:eastAsia="仿宋_GB2312"/>
          <w:b w:val="0"/>
          <w:sz w:val="32"/>
        </w:rPr>
        <w:t>1.一般公共服务支出(类)235.45万元,占81.46%。</w:t>
      </w:r>
    </w:p>
    <w:p w14:paraId="6A3A76E7">
      <w:pPr>
        <w:spacing w:line="580" w:lineRule="exact"/>
        <w:ind w:firstLine="640"/>
        <w:jc w:val="both"/>
      </w:pPr>
      <w:r>
        <w:rPr>
          <w:rFonts w:ascii="仿宋_GB2312" w:hAnsi="仿宋_GB2312" w:eastAsia="仿宋_GB2312"/>
          <w:b w:val="0"/>
          <w:sz w:val="32"/>
        </w:rPr>
        <w:t>2.社会保障和就业支出(类)26.45万元,占9.15%。</w:t>
      </w:r>
    </w:p>
    <w:p w14:paraId="0C918FB3">
      <w:pPr>
        <w:spacing w:line="580" w:lineRule="exact"/>
        <w:ind w:firstLine="640"/>
        <w:jc w:val="both"/>
      </w:pPr>
      <w:r>
        <w:rPr>
          <w:rFonts w:ascii="仿宋_GB2312" w:hAnsi="仿宋_GB2312" w:eastAsia="仿宋_GB2312"/>
          <w:b w:val="0"/>
          <w:sz w:val="32"/>
        </w:rPr>
        <w:t>3.卫生健康支出(类)10.37万元,占3.59%。</w:t>
      </w:r>
    </w:p>
    <w:p w14:paraId="57D66307">
      <w:pPr>
        <w:spacing w:line="580" w:lineRule="exact"/>
        <w:ind w:firstLine="640"/>
        <w:jc w:val="both"/>
      </w:pPr>
      <w:r>
        <w:rPr>
          <w:rFonts w:ascii="仿宋_GB2312" w:hAnsi="仿宋_GB2312" w:eastAsia="仿宋_GB2312"/>
          <w:b w:val="0"/>
          <w:sz w:val="32"/>
        </w:rPr>
        <w:t>4.住房保障支出(类)16.77万元,占5.80%。</w:t>
      </w:r>
    </w:p>
    <w:p w14:paraId="066E6069">
      <w:pPr>
        <w:spacing w:line="640" w:lineRule="exact"/>
        <w:ind w:firstLine="640"/>
        <w:jc w:val="both"/>
        <w:outlineLvl w:val="3"/>
      </w:pPr>
      <w:r>
        <w:rPr>
          <w:rFonts w:ascii="楷体_GB2312" w:hAnsi="楷体_GB2312" w:eastAsia="楷体_GB2312"/>
          <w:b/>
          <w:sz w:val="32"/>
        </w:rPr>
        <w:t>（三）一般公共预算财政拨款支出决算具体情况</w:t>
      </w:r>
    </w:p>
    <w:p w14:paraId="6E1DA45D">
      <w:pPr>
        <w:spacing w:line="580" w:lineRule="exact"/>
        <w:ind w:firstLine="640"/>
        <w:jc w:val="both"/>
      </w:pPr>
      <w:r>
        <w:rPr>
          <w:rFonts w:ascii="仿宋_GB2312" w:hAnsi="仿宋_GB2312" w:eastAsia="仿宋_GB2312"/>
          <w:b w:val="0"/>
          <w:sz w:val="32"/>
        </w:rPr>
        <w:t>1.一般公共服务支出(类)审计事务(款)行政运行(项):支出决算数为166.98万元，比上年决算减少1.41万元，下降0.84%,主要原因是：本年在职人员调入调出，人员职级不同，工资基数不同，导致人员经费较上年减少。</w:t>
      </w:r>
    </w:p>
    <w:p w14:paraId="175B2297">
      <w:pPr>
        <w:spacing w:line="580" w:lineRule="exact"/>
        <w:ind w:firstLine="640"/>
        <w:jc w:val="both"/>
      </w:pPr>
      <w:r>
        <w:rPr>
          <w:rFonts w:ascii="仿宋_GB2312" w:hAnsi="仿宋_GB2312" w:eastAsia="仿宋_GB2312"/>
          <w:b w:val="0"/>
          <w:sz w:val="32"/>
        </w:rPr>
        <w:t>2.一般公共服务支出(类)审计事务(款)审计业务(项):支出决算数为68.48万元，比上年决算增加68.48万元，增长100.00%,主要原因是：本年增加审计咨询业务费、2024年自治区乡村振兴审计专项经费、自然资源经济责任审计经费等项目。</w:t>
      </w:r>
    </w:p>
    <w:p w14:paraId="668F5574">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3.社会保障和就业支出(类)行政事业单位养老支出(款)行政单位离退休(项):支出决算数为5.66万元，比上年决算增加1.62万元，增长40.10%,主要原因是：本年增加退休人员基础绩效奖，退休费支出增加。</w:t>
      </w:r>
    </w:p>
    <w:p w14:paraId="2BFA736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20.79万元，比上年决算增加1.69万元，增长8.85%,主要原因是：本年在职人员工资基数调增，养老缴费基数上涨，相应支出增加。</w:t>
      </w:r>
    </w:p>
    <w:p w14:paraId="42B0DD7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5.社会保障和就业支出(类)行政事业单位养老支出(款)机关事业单位职业年金缴费支出(项):支出决算数为0.00万元，比上年决算减少8.37万元，下降100.00%,主要原因是：本年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新增退休人员，职业年金缴费较上年减少。</w:t>
      </w:r>
    </w:p>
    <w:p w14:paraId="6D405F4C">
      <w:pPr>
        <w:spacing w:line="580" w:lineRule="exact"/>
        <w:ind w:firstLine="640"/>
        <w:jc w:val="both"/>
      </w:pPr>
      <w:r>
        <w:rPr>
          <w:rFonts w:ascii="仿宋_GB2312" w:hAnsi="仿宋_GB2312" w:eastAsia="仿宋_GB2312"/>
          <w:b w:val="0"/>
          <w:sz w:val="32"/>
        </w:rPr>
        <w:t>6.卫生健康支出(类)行政事业单位医疗(款)行政单位医疗(项):支出决算数为8.84万元，比上年决算增加0.45万元，增长5.36%,主要原因是：本年在职人员工资基数调增，医疗缴费基数上涨，相应支出增加。</w:t>
      </w:r>
    </w:p>
    <w:p w14:paraId="02551E79">
      <w:pPr>
        <w:spacing w:line="580" w:lineRule="exact"/>
        <w:ind w:firstLine="640"/>
        <w:jc w:val="both"/>
      </w:pPr>
      <w:r>
        <w:rPr>
          <w:rFonts w:ascii="仿宋_GB2312" w:hAnsi="仿宋_GB2312" w:eastAsia="仿宋_GB2312"/>
          <w:b w:val="0"/>
          <w:sz w:val="32"/>
        </w:rPr>
        <w:t>7.卫生健康支出(类)行政事业单位医疗(款)公务员医疗补助(项):支出决算数为1.53万元，比上年决算减少0.53万元，下降25.73%,主要原因是：因退休人员医疗保险制度改革，退休人员基本医疗不再由单位缴纳，导致经费较上年减少。</w:t>
      </w:r>
    </w:p>
    <w:p w14:paraId="3154E6DA">
      <w:pPr>
        <w:spacing w:line="580" w:lineRule="exact"/>
        <w:ind w:firstLine="640"/>
        <w:jc w:val="both"/>
      </w:pPr>
      <w:r>
        <w:rPr>
          <w:rFonts w:ascii="仿宋_GB2312" w:hAnsi="仿宋_GB2312" w:eastAsia="仿宋_GB2312"/>
          <w:b w:val="0"/>
          <w:sz w:val="32"/>
        </w:rPr>
        <w:t>8.住房保障支出(类)住房改革支出(款)住房公积金(项):支出决算数为16.77万元，比上年决算增加1.28万元，增长8.26%,主要原因是：本年在职人员工资基数调增，公积金缴费基数上涨，相应支出增加。</w:t>
      </w:r>
    </w:p>
    <w:p w14:paraId="5F52BAE6">
      <w:pPr>
        <w:spacing w:line="640" w:lineRule="exact"/>
        <w:ind w:firstLine="640"/>
        <w:jc w:val="both"/>
        <w:outlineLvl w:val="2"/>
      </w:pPr>
      <w:r>
        <w:rPr>
          <w:rFonts w:ascii="黑体" w:hAnsi="黑体" w:eastAsia="黑体"/>
          <w:sz w:val="32"/>
        </w:rPr>
        <w:t>六、一般公共预算财政拨款基本支出决算情况说明</w:t>
      </w:r>
    </w:p>
    <w:p w14:paraId="2159FAAB">
      <w:pPr>
        <w:spacing w:line="580" w:lineRule="exact"/>
        <w:ind w:firstLine="640"/>
        <w:jc w:val="both"/>
      </w:pPr>
      <w:r>
        <w:rPr>
          <w:rFonts w:ascii="仿宋_GB2312" w:hAnsi="仿宋_GB2312" w:eastAsia="仿宋_GB2312"/>
          <w:b w:val="0"/>
          <w:sz w:val="32"/>
        </w:rPr>
        <w:t>2024年度一般公共预算财政拨款基本支出220.57万元，其中：</w:t>
      </w:r>
      <w:r>
        <w:rPr>
          <w:rFonts w:ascii="仿宋_GB2312" w:hAnsi="仿宋_GB2312" w:eastAsia="仿宋_GB2312"/>
          <w:b/>
          <w:sz w:val="32"/>
        </w:rPr>
        <w:t>人员经费214.47万元，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w:t>
      </w:r>
    </w:p>
    <w:p w14:paraId="14CA05B4">
      <w:pPr>
        <w:spacing w:line="580" w:lineRule="exact"/>
        <w:ind w:firstLine="640"/>
        <w:jc w:val="both"/>
      </w:pPr>
      <w:r>
        <w:rPr>
          <w:rFonts w:ascii="仿宋_GB2312" w:hAnsi="仿宋_GB2312" w:eastAsia="仿宋_GB2312"/>
          <w:b/>
          <w:sz w:val="32"/>
        </w:rPr>
        <w:t>公用经费6.09万元，</w:t>
      </w:r>
      <w:r>
        <w:rPr>
          <w:rFonts w:ascii="仿宋_GB2312" w:hAnsi="仿宋_GB2312" w:eastAsia="仿宋_GB2312"/>
          <w:b w:val="0"/>
          <w:sz w:val="32"/>
        </w:rPr>
        <w:t>包括：办公费、电费、取暖费、物业管理费、租赁费、公务用车运行维护费。</w:t>
      </w:r>
    </w:p>
    <w:p w14:paraId="4F62921E">
      <w:pPr>
        <w:spacing w:line="640" w:lineRule="exact"/>
        <w:ind w:firstLine="640"/>
        <w:jc w:val="both"/>
        <w:outlineLvl w:val="2"/>
      </w:pPr>
      <w:r>
        <w:rPr>
          <w:rFonts w:ascii="黑体" w:hAnsi="黑体" w:eastAsia="黑体"/>
          <w:sz w:val="32"/>
        </w:rPr>
        <w:t>七、政府性基金预算财政拨款收入支出决算情况说明</w:t>
      </w:r>
    </w:p>
    <w:p w14:paraId="4C590D9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70AB7EB">
      <w:pPr>
        <w:spacing w:line="640" w:lineRule="exact"/>
        <w:ind w:firstLine="640"/>
        <w:jc w:val="both"/>
        <w:outlineLvl w:val="2"/>
      </w:pPr>
      <w:r>
        <w:rPr>
          <w:rFonts w:ascii="黑体" w:hAnsi="黑体" w:eastAsia="黑体"/>
          <w:sz w:val="32"/>
        </w:rPr>
        <w:t>八、国有资本经营预算财政拨款收入支出决算情况说明</w:t>
      </w:r>
    </w:p>
    <w:p w14:paraId="71637C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B4BE91">
      <w:pPr>
        <w:spacing w:line="640" w:lineRule="exact"/>
        <w:ind w:firstLine="640"/>
        <w:jc w:val="both"/>
        <w:outlineLvl w:val="2"/>
      </w:pPr>
      <w:r>
        <w:rPr>
          <w:rFonts w:ascii="黑体" w:hAnsi="黑体" w:eastAsia="黑体"/>
          <w:sz w:val="32"/>
        </w:rPr>
        <w:t>九、财政拨款“三公”经费支出决算情况说明</w:t>
      </w:r>
    </w:p>
    <w:p w14:paraId="028F127F">
      <w:pPr>
        <w:spacing w:line="580" w:lineRule="exact"/>
        <w:ind w:firstLine="640"/>
        <w:jc w:val="both"/>
      </w:pPr>
      <w:r>
        <w:rPr>
          <w:rFonts w:ascii="仿宋_GB2312" w:hAnsi="仿宋_GB2312" w:eastAsia="仿宋_GB2312"/>
          <w:b/>
          <w:sz w:val="32"/>
        </w:rPr>
        <w:t>2024年度财政拨款“三公”经费支出2.71万元，</w:t>
      </w:r>
      <w:r>
        <w:rPr>
          <w:rFonts w:ascii="仿宋_GB2312" w:hAnsi="仿宋_GB2312" w:eastAsia="仿宋_GB2312"/>
          <w:b w:val="0"/>
          <w:sz w:val="32"/>
        </w:rPr>
        <w:t>比上年增加0.15万元，增长5.86%，主要原因是：本单位公务用车日渐老化，维修维护成本增加，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2.71万元，占100.00%，比上年增加0.15万元，增长5.86%，主要原因是：本单位公务用车日渐老化，维修维护成本增加，因业务需求，用车次数增加，燃油费增加，导致公务用车运行维护费较上年增加。公务接待费支出0.00万元，占0.00%，比上年增加0.00万元，增长0.00%，主要原因是：2023年与2024年均未安排公务接待费支出。</w:t>
      </w:r>
    </w:p>
    <w:p w14:paraId="7DA8378F">
      <w:pPr>
        <w:spacing w:line="580" w:lineRule="exact"/>
        <w:ind w:firstLine="640"/>
        <w:jc w:val="both"/>
      </w:pPr>
      <w:r>
        <w:rPr>
          <w:rFonts w:ascii="仿宋_GB2312" w:hAnsi="仿宋_GB2312" w:eastAsia="仿宋_GB2312"/>
          <w:b/>
          <w:sz w:val="32"/>
        </w:rPr>
        <w:t>具体情况如下：</w:t>
      </w:r>
    </w:p>
    <w:p w14:paraId="2128C53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33E923">
      <w:pPr>
        <w:spacing w:line="580" w:lineRule="exact"/>
        <w:ind w:firstLine="640"/>
        <w:jc w:val="both"/>
      </w:pPr>
      <w:r>
        <w:rPr>
          <w:rFonts w:ascii="仿宋_GB2312" w:hAnsi="仿宋_GB2312" w:eastAsia="仿宋_GB2312"/>
          <w:b w:val="0"/>
          <w:sz w:val="32"/>
        </w:rPr>
        <w:t>公务用车购置及运行维护费2.71万元，其中：公务用车购置费0.00万元，公务用车运行维护费2.71万元。公务用车运行维护费开支内容包括车辆燃油费、保险费、维修维护费。公务用车购置数0辆，公务用车保有量1辆。国有资产占用情况中固定资产车辆1辆，与公务用车保有量差异原因是：本单位固定资产车辆与公务用车保有量一致无差异。</w:t>
      </w:r>
    </w:p>
    <w:p w14:paraId="25CDC0E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CBDB1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2.71万元，决算数2.71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2.71万元，决算数2.71万元，预决算差异率0.00%，主要原因是：严格按照预算执行，预决算无差异。公务接待费全年预算数0.00万元，决算数0.00万元，预决算差异率0.00%，主要原因是：本单位无公务接待费。</w:t>
      </w:r>
    </w:p>
    <w:p w14:paraId="0278D08E">
      <w:pPr>
        <w:spacing w:line="640" w:lineRule="exact"/>
        <w:ind w:firstLine="640"/>
        <w:jc w:val="both"/>
        <w:outlineLvl w:val="2"/>
      </w:pPr>
      <w:r>
        <w:rPr>
          <w:rFonts w:ascii="黑体" w:hAnsi="黑体" w:eastAsia="黑体"/>
          <w:sz w:val="32"/>
        </w:rPr>
        <w:t>十、其他重要事项的情况说明</w:t>
      </w:r>
    </w:p>
    <w:p w14:paraId="5CCF5961">
      <w:pPr>
        <w:spacing w:line="640" w:lineRule="exact"/>
        <w:ind w:firstLine="640"/>
        <w:jc w:val="both"/>
        <w:outlineLvl w:val="3"/>
      </w:pPr>
      <w:r>
        <w:rPr>
          <w:rFonts w:ascii="楷体_GB2312" w:hAnsi="楷体_GB2312" w:eastAsia="楷体_GB2312"/>
          <w:b/>
          <w:sz w:val="32"/>
        </w:rPr>
        <w:t>（一）机关运行经费及公用经费支出情况</w:t>
      </w:r>
    </w:p>
    <w:p w14:paraId="51D19F5F">
      <w:pPr>
        <w:spacing w:line="580" w:lineRule="exact"/>
        <w:ind w:firstLine="640"/>
        <w:jc w:val="both"/>
      </w:pPr>
      <w:r>
        <w:rPr>
          <w:rFonts w:ascii="仿宋_GB2312" w:hAnsi="仿宋_GB2312" w:eastAsia="仿宋_GB2312"/>
          <w:b w:val="0"/>
          <w:sz w:val="32"/>
        </w:rPr>
        <w:t>2024年度岳普湖县审计局（行政单位和参照公务员法管理事业单位）机关运行经费支出6.09万元，比上年减少0.06万元，下降0.98%，主要原因是：严格控制公用经费，合理节约办公用品，减少不必要开支。</w:t>
      </w:r>
    </w:p>
    <w:p w14:paraId="21DE1813">
      <w:pPr>
        <w:spacing w:line="640" w:lineRule="exact"/>
        <w:ind w:firstLine="640"/>
        <w:jc w:val="both"/>
        <w:outlineLvl w:val="3"/>
      </w:pPr>
      <w:r>
        <w:rPr>
          <w:rFonts w:ascii="楷体_GB2312" w:hAnsi="楷体_GB2312" w:eastAsia="楷体_GB2312"/>
          <w:b/>
          <w:sz w:val="32"/>
        </w:rPr>
        <w:t>（二）政府采购情况</w:t>
      </w:r>
    </w:p>
    <w:p w14:paraId="48901188">
      <w:pPr>
        <w:spacing w:line="580" w:lineRule="exact"/>
        <w:ind w:firstLine="640"/>
        <w:jc w:val="both"/>
      </w:pPr>
      <w:r>
        <w:rPr>
          <w:rFonts w:ascii="仿宋_GB2312" w:hAnsi="仿宋_GB2312" w:eastAsia="仿宋_GB2312"/>
          <w:b w:val="0"/>
          <w:sz w:val="32"/>
        </w:rPr>
        <w:t>2024年度政府采购支出总额1.95万元，其中：政府采购货物支出0.70万元、政府采购工程支出0.00万元、政府采购服务支出1.25万元。</w:t>
      </w:r>
    </w:p>
    <w:p w14:paraId="2F8E1447">
      <w:pPr>
        <w:spacing w:line="580" w:lineRule="exact"/>
        <w:ind w:firstLine="640"/>
        <w:jc w:val="both"/>
      </w:pPr>
      <w:r>
        <w:rPr>
          <w:rFonts w:ascii="仿宋_GB2312" w:hAnsi="仿宋_GB2312" w:eastAsia="仿宋_GB2312"/>
          <w:b w:val="0"/>
          <w:sz w:val="32"/>
        </w:rPr>
        <w:t>授予中小企业合同金额1.95万元，占政府采购支出总额的100.00%，其中：授予小微企业合同金额1.95万元，占政府采购支出总额的100.00%。</w:t>
      </w:r>
    </w:p>
    <w:p w14:paraId="4CE527B2">
      <w:pPr>
        <w:spacing w:line="640" w:lineRule="exact"/>
        <w:ind w:firstLine="640"/>
        <w:jc w:val="both"/>
        <w:outlineLvl w:val="3"/>
      </w:pPr>
      <w:r>
        <w:rPr>
          <w:rFonts w:ascii="楷体_GB2312" w:hAnsi="楷体_GB2312" w:eastAsia="楷体_GB2312"/>
          <w:b/>
          <w:sz w:val="32"/>
        </w:rPr>
        <w:t>（三）国有资产占用情况说明</w:t>
      </w:r>
    </w:p>
    <w:p w14:paraId="62CA1035">
      <w:pPr>
        <w:spacing w:line="580" w:lineRule="exact"/>
        <w:ind w:firstLine="640"/>
        <w:jc w:val="both"/>
      </w:pPr>
      <w:r>
        <w:rPr>
          <w:rFonts w:ascii="仿宋_GB2312" w:hAnsi="仿宋_GB2312" w:eastAsia="仿宋_GB2312"/>
          <w:b w:val="0"/>
          <w:sz w:val="32"/>
        </w:rPr>
        <w:t>截至2024年12月31日，房屋0.00平方米，价值0.00万元。车辆1辆，价值18.42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5248FDC">
      <w:pPr>
        <w:spacing w:line="640" w:lineRule="exact"/>
        <w:ind w:firstLine="640"/>
        <w:jc w:val="both"/>
        <w:outlineLvl w:val="2"/>
      </w:pPr>
      <w:r>
        <w:rPr>
          <w:rFonts w:ascii="黑体" w:hAnsi="黑体" w:eastAsia="黑体"/>
          <w:sz w:val="32"/>
        </w:rPr>
        <w:t>十一、预算绩效的情况说明</w:t>
      </w:r>
    </w:p>
    <w:p w14:paraId="0F1A823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305.93万元，实际执行总额298.62万元；预算绩效评价项目4个，全年预算数79.07万元，全年执行数75.67万元。预算绩效管理取得的成效：一是理念与意识提升通过强化审计监督；二是资源配置更加合理；三是预算编制与执行更加规范；四是全过程管理强化；五是人才培养与技术提升。发现的问题及原因：一是自身建设还需</w:t>
      </w:r>
      <w:bookmarkStart w:id="0" w:name="_GoBack"/>
      <w:bookmarkEnd w:id="0"/>
      <w:r>
        <w:rPr>
          <w:rFonts w:ascii="仿宋_GB2312" w:hAnsi="仿宋_GB2312" w:eastAsia="仿宋_GB2312"/>
          <w:b w:val="0"/>
          <w:sz w:val="32"/>
        </w:rPr>
        <w:t>加强；二是思想觉悟还需加强。下一步改进措施：一是加强</w:t>
      </w:r>
      <w:r>
        <w:rPr>
          <w:rFonts w:hint="eastAsia" w:ascii="仿宋_GB2312" w:hAnsi="仿宋_GB2312" w:eastAsia="仿宋_GB2312"/>
          <w:b w:val="0"/>
          <w:sz w:val="32"/>
          <w:lang w:val="en-US" w:eastAsia="zh-CN"/>
        </w:rPr>
        <w:t>绩效监督</w:t>
      </w:r>
      <w:r>
        <w:rPr>
          <w:rFonts w:ascii="仿宋_GB2312" w:hAnsi="仿宋_GB2312" w:eastAsia="仿宋_GB2312"/>
          <w:b w:val="0"/>
          <w:sz w:val="32"/>
        </w:rPr>
        <w:t>；</w:t>
      </w:r>
      <w:r>
        <w:rPr>
          <w:rFonts w:hint="eastAsia" w:ascii="仿宋_GB2312" w:hAnsi="仿宋_GB2312" w:eastAsia="仿宋_GB2312"/>
          <w:b w:val="0"/>
          <w:sz w:val="32"/>
          <w:lang w:eastAsia="zh-CN"/>
        </w:rPr>
        <w:t>二是</w:t>
      </w:r>
      <w:r>
        <w:rPr>
          <w:rFonts w:hint="eastAsia" w:ascii="仿宋_GB2312" w:hAnsi="仿宋_GB2312" w:eastAsia="仿宋_GB2312"/>
          <w:b w:val="0"/>
          <w:sz w:val="32"/>
          <w:lang w:val="en-US" w:eastAsia="zh-CN"/>
        </w:rPr>
        <w:t>对预算编制进行培训，达到更规范的编制</w:t>
      </w:r>
      <w:r>
        <w:rPr>
          <w:rFonts w:ascii="仿宋_GB2312" w:hAnsi="仿宋_GB2312" w:eastAsia="仿宋_GB2312"/>
          <w:b w:val="0"/>
          <w:sz w:val="32"/>
        </w:rPr>
        <w:t>。具体附整体支出绩效自评表，项目支出绩效自评表和评价报告。</w:t>
      </w:r>
    </w:p>
    <w:p w14:paraId="337C781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59DA98A">
        <w:tblPrEx>
          <w:tblCellMar>
            <w:top w:w="0" w:type="dxa"/>
            <w:left w:w="108" w:type="dxa"/>
            <w:bottom w:w="0" w:type="dxa"/>
            <w:right w:w="108" w:type="dxa"/>
          </w:tblCellMar>
        </w:tblPrEx>
        <w:tc>
          <w:tcPr>
            <w:tcW w:w="8847" w:type="dxa"/>
            <w:gridSpan w:val="9"/>
            <w:vAlign w:val="center"/>
          </w:tcPr>
          <w:p w14:paraId="78468E31">
            <w:pPr>
              <w:jc w:val="center"/>
            </w:pPr>
            <w:r>
              <w:rPr>
                <w:rFonts w:ascii="宋体" w:hAnsi="宋体" w:eastAsia="宋体"/>
                <w:sz w:val="24"/>
              </w:rPr>
              <w:t>单位整体支出绩效自评表</w:t>
            </w:r>
          </w:p>
        </w:tc>
      </w:tr>
      <w:tr w14:paraId="1E303B56">
        <w:tblPrEx>
          <w:tblCellMar>
            <w:top w:w="0" w:type="dxa"/>
            <w:left w:w="108" w:type="dxa"/>
            <w:bottom w:w="0" w:type="dxa"/>
            <w:right w:w="108" w:type="dxa"/>
          </w:tblCellMar>
        </w:tblPrEx>
        <w:tc>
          <w:tcPr>
            <w:tcW w:w="8847" w:type="dxa"/>
            <w:gridSpan w:val="9"/>
            <w:vAlign w:val="center"/>
          </w:tcPr>
          <w:p w14:paraId="3D90058E">
            <w:pPr>
              <w:jc w:val="center"/>
            </w:pPr>
            <w:r>
              <w:rPr>
                <w:rFonts w:ascii="宋体" w:hAnsi="宋体" w:eastAsia="宋体"/>
                <w:sz w:val="24"/>
              </w:rPr>
              <w:t>（2024年度）</w:t>
            </w:r>
          </w:p>
        </w:tc>
      </w:tr>
      <w:tr w14:paraId="28ECDE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0067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DE3125D">
            <w:pPr>
              <w:jc w:val="center"/>
            </w:pPr>
            <w:r>
              <w:rPr>
                <w:rFonts w:ascii="宋体" w:hAnsi="宋体" w:eastAsia="宋体"/>
                <w:sz w:val="16"/>
              </w:rPr>
              <w:t>岳普湖县审计局</w:t>
            </w:r>
          </w:p>
        </w:tc>
      </w:tr>
      <w:tr w14:paraId="341352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5E94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E25E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FB35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E4EC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3FDA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0AB5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BD8B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969F">
            <w:pPr>
              <w:jc w:val="center"/>
            </w:pPr>
            <w:r>
              <w:rPr>
                <w:rFonts w:ascii="宋体" w:hAnsi="宋体" w:eastAsia="宋体"/>
                <w:sz w:val="16"/>
              </w:rPr>
              <w:t>得分</w:t>
            </w:r>
          </w:p>
        </w:tc>
      </w:tr>
      <w:tr w14:paraId="6CB296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027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AF38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64613">
            <w:pPr>
              <w:jc w:val="center"/>
            </w:pPr>
            <w:r>
              <w:rPr>
                <w:rFonts w:ascii="宋体" w:hAnsi="宋体" w:eastAsia="宋体"/>
                <w:sz w:val="16"/>
              </w:rPr>
              <w:t>242.03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ABB57">
            <w:pPr>
              <w:jc w:val="center"/>
            </w:pPr>
            <w:r>
              <w:rPr>
                <w:rFonts w:ascii="宋体" w:hAnsi="宋体" w:eastAsia="宋体"/>
                <w:sz w:val="16"/>
              </w:rPr>
              <w:t>305.93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F6ACD">
            <w:pPr>
              <w:jc w:val="center"/>
            </w:pPr>
            <w:r>
              <w:rPr>
                <w:rFonts w:ascii="宋体" w:hAnsi="宋体" w:eastAsia="宋体"/>
                <w:sz w:val="16"/>
              </w:rPr>
              <w:t>298.62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05C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F6152">
            <w:pPr>
              <w:jc w:val="center"/>
            </w:pPr>
            <w:r>
              <w:rPr>
                <w:rFonts w:ascii="宋体" w:hAnsi="宋体" w:eastAsia="宋体"/>
                <w:sz w:val="16"/>
              </w:rPr>
              <w:t>97.61%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C45C">
            <w:pPr>
              <w:jc w:val="center"/>
            </w:pPr>
            <w:r>
              <w:rPr>
                <w:rFonts w:ascii="宋体" w:hAnsi="宋体" w:eastAsia="宋体"/>
                <w:sz w:val="16"/>
              </w:rPr>
              <w:t>9.76</w:t>
            </w:r>
          </w:p>
        </w:tc>
      </w:tr>
      <w:tr w14:paraId="0D61C9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BD64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6B5E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3BB3A">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885FB">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9CCD8">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D37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4E0F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D9F8F">
            <w:pPr>
              <w:jc w:val="center"/>
            </w:pPr>
            <w:r>
              <w:rPr>
                <w:rFonts w:ascii="宋体" w:hAnsi="宋体" w:eastAsia="宋体"/>
                <w:sz w:val="16"/>
              </w:rPr>
              <w:t>—</w:t>
            </w:r>
          </w:p>
        </w:tc>
      </w:tr>
      <w:tr w14:paraId="45ACD6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757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78FE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7EEDA">
            <w:pPr>
              <w:jc w:val="center"/>
            </w:pPr>
            <w:r>
              <w:rPr>
                <w:rFonts w:ascii="宋体" w:hAnsi="宋体" w:eastAsia="宋体"/>
                <w:sz w:val="16"/>
              </w:rPr>
              <w:t>232.03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69963">
            <w:pPr>
              <w:jc w:val="center"/>
            </w:pPr>
            <w:r>
              <w:rPr>
                <w:rFonts w:ascii="宋体" w:hAnsi="宋体" w:eastAsia="宋体"/>
                <w:sz w:val="16"/>
              </w:rPr>
              <w:t>279.01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917C2">
            <w:pPr>
              <w:jc w:val="center"/>
            </w:pPr>
            <w:r>
              <w:rPr>
                <w:rFonts w:ascii="宋体" w:hAnsi="宋体" w:eastAsia="宋体"/>
                <w:sz w:val="16"/>
              </w:rPr>
              <w:t>279.01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AC4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9B8C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349F1">
            <w:pPr>
              <w:jc w:val="center"/>
            </w:pPr>
            <w:r>
              <w:rPr>
                <w:rFonts w:ascii="宋体" w:hAnsi="宋体" w:eastAsia="宋体"/>
                <w:sz w:val="16"/>
              </w:rPr>
              <w:t>—</w:t>
            </w:r>
          </w:p>
        </w:tc>
      </w:tr>
      <w:tr w14:paraId="73731C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83E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638B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B3B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078F4">
            <w:pPr>
              <w:jc w:val="center"/>
            </w:pPr>
            <w:r>
              <w:rPr>
                <w:rFonts w:ascii="宋体" w:hAnsi="宋体" w:eastAsia="宋体"/>
                <w:sz w:val="16"/>
              </w:rPr>
              <w:t>16.89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8B246">
            <w:pPr>
              <w:jc w:val="center"/>
            </w:pPr>
            <w:r>
              <w:rPr>
                <w:rFonts w:ascii="宋体" w:hAnsi="宋体" w:eastAsia="宋体"/>
                <w:sz w:val="16"/>
              </w:rPr>
              <w:t>9.58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A1C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F9B5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2566A">
            <w:pPr>
              <w:jc w:val="center"/>
            </w:pPr>
            <w:r>
              <w:rPr>
                <w:rFonts w:ascii="宋体" w:hAnsi="宋体" w:eastAsia="宋体"/>
                <w:sz w:val="16"/>
              </w:rPr>
              <w:t>—</w:t>
            </w:r>
          </w:p>
        </w:tc>
      </w:tr>
      <w:tr w14:paraId="2C2709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71E7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27DFD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128F0F">
            <w:pPr>
              <w:jc w:val="center"/>
            </w:pPr>
            <w:r>
              <w:rPr>
                <w:rFonts w:ascii="宋体" w:hAnsi="宋体" w:eastAsia="宋体"/>
                <w:sz w:val="16"/>
              </w:rPr>
              <w:t>实际完成情况</w:t>
            </w:r>
          </w:p>
        </w:tc>
      </w:tr>
      <w:tr w14:paraId="42061032">
        <w:tblPrEx>
          <w:tblCellMar>
            <w:top w:w="0" w:type="dxa"/>
            <w:left w:w="108" w:type="dxa"/>
            <w:bottom w:w="0" w:type="dxa"/>
            <w:right w:w="108" w:type="dxa"/>
          </w:tblCellMar>
        </w:tblPrEx>
        <w:trPr>
          <w:trHeight w:val="4394"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918D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3684D6">
            <w:pPr>
              <w:jc w:val="both"/>
            </w:pPr>
            <w:r>
              <w:rPr>
                <w:rFonts w:ascii="宋体" w:hAnsi="宋体" w:eastAsia="宋体"/>
                <w:sz w:val="16"/>
              </w:rPr>
              <w:t>按期完成对全县8个单位审计监督指导工作，一体推进揭示问题、规范管理，履行审计监督职责。按期完成重大资金跟踪审计项目13个，促进财政资金精准使用、安全高效、合法合规。及时完成审计问题推送工作，督促问题整改，规范权力运行。加强“纪审”、“审巡”联动工作机制，优势互补、相互借力，形成合力监督。不断加强审计队伍建设，提高审计工作质量和水平，为全县经济建设发展做出积极贡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89AE43">
            <w:pPr>
              <w:jc w:val="both"/>
            </w:pPr>
            <w:r>
              <w:rPr>
                <w:rFonts w:ascii="宋体" w:hAnsi="宋体" w:eastAsia="宋体"/>
                <w:sz w:val="16"/>
              </w:rPr>
              <w:t>岳普湖县审计局本年度已完成对8个单位审计监督指导工作，一体推进揭示问题、规范管理，履行审计监督职责。已完成重大资金跟踪审计项目13个，促进财政资金精准使用、安全高效、合法合规，盯紧财政资金，全面提升成本绩效审计监督效能。本年度完成审计问题及时推送工作，并督促发现问题单位进行整改，规范权力运行，紧扣中心工作，持续做好常态化“经济体检”，提高审计工作质量和水平，为全县经济建设发展做出积极贡献。完成加强“纪审”、“审巡”联动工作机制，坚持常态化配合纪检和巡察工作，优势互补、相互借力，形成合力监督，深化合作贯通，全力做好纪、巡、审联动。本年度完成加强审计队伍建设工作，持续做实研究型、对策型审计，科学谋划年度审计项目，深入开展立项调研和论证，推动完整准确全面贯彻落实党对审计工作的决策部署。</w:t>
            </w:r>
          </w:p>
        </w:tc>
      </w:tr>
      <w:tr w14:paraId="4B602A57">
        <w:tblPrEx>
          <w:tblCellMar>
            <w:top w:w="0" w:type="dxa"/>
            <w:left w:w="108" w:type="dxa"/>
            <w:bottom w:w="0" w:type="dxa"/>
            <w:right w:w="108" w:type="dxa"/>
          </w:tblCellMar>
        </w:tblPrEx>
        <w:trPr>
          <w:trHeight w:val="899" w:hRule="atLeast"/>
        </w:trPr>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A2E4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039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2D86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0744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93DA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5E72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B1B0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52C4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91D5A">
            <w:pPr>
              <w:jc w:val="center"/>
            </w:pPr>
            <w:r>
              <w:rPr>
                <w:rFonts w:ascii="宋体" w:hAnsi="宋体" w:eastAsia="宋体"/>
                <w:sz w:val="16"/>
              </w:rPr>
              <w:t>得分</w:t>
            </w:r>
          </w:p>
        </w:tc>
      </w:tr>
      <w:tr w14:paraId="60FFA9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0BC0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5951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3217B">
            <w:pPr>
              <w:jc w:val="center"/>
            </w:pPr>
            <w:r>
              <w:rPr>
                <w:rFonts w:ascii="宋体" w:hAnsi="宋体" w:eastAsia="宋体"/>
                <w:sz w:val="16"/>
              </w:rPr>
              <w:t>审计监督指导覆盖单位数量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78E9D">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ADE80">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2F09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0159B">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1F5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1534B">
            <w:pPr>
              <w:jc w:val="center"/>
            </w:pPr>
            <w:r>
              <w:rPr>
                <w:rFonts w:ascii="宋体" w:hAnsi="宋体" w:eastAsia="宋体"/>
                <w:sz w:val="16"/>
              </w:rPr>
              <w:t>18</w:t>
            </w:r>
          </w:p>
        </w:tc>
      </w:tr>
      <w:tr w14:paraId="7F6B329E">
        <w:tblPrEx>
          <w:tblCellMar>
            <w:top w:w="0" w:type="dxa"/>
            <w:left w:w="108" w:type="dxa"/>
            <w:bottom w:w="0" w:type="dxa"/>
            <w:right w:w="108" w:type="dxa"/>
          </w:tblCellMar>
        </w:tblPrEx>
        <w:trPr>
          <w:trHeight w:val="1436"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050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441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02910">
            <w:pPr>
              <w:jc w:val="center"/>
            </w:pPr>
            <w:r>
              <w:rPr>
                <w:rFonts w:ascii="宋体" w:hAnsi="宋体" w:eastAsia="宋体"/>
                <w:sz w:val="16"/>
              </w:rPr>
              <w:t>重大资金跟踪审计项目数量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45E94">
            <w:pPr>
              <w:jc w:val="center"/>
            </w:pPr>
            <w:r>
              <w:rPr>
                <w:rFonts w:ascii="宋体" w:hAnsi="宋体" w:eastAsia="宋体"/>
                <w:sz w:val="16"/>
              </w:rPr>
              <w:t>&gt;=13个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3D87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C442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A749B">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381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AB912">
            <w:pPr>
              <w:jc w:val="center"/>
            </w:pPr>
            <w:r>
              <w:rPr>
                <w:rFonts w:ascii="宋体" w:hAnsi="宋体" w:eastAsia="宋体"/>
                <w:sz w:val="16"/>
              </w:rPr>
              <w:t>18</w:t>
            </w:r>
          </w:p>
        </w:tc>
      </w:tr>
      <w:tr w14:paraId="637C6C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CF7D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73DA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6F4FF">
            <w:pPr>
              <w:jc w:val="center"/>
            </w:pPr>
            <w:r>
              <w:rPr>
                <w:rFonts w:ascii="宋体" w:hAnsi="宋体" w:eastAsia="宋体"/>
                <w:sz w:val="16"/>
              </w:rPr>
              <w:t>加强审计队伍建设工作完成率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866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FB0F1">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B89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4C7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E0C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9F6A5">
            <w:pPr>
              <w:jc w:val="center"/>
            </w:pPr>
            <w:r>
              <w:rPr>
                <w:rFonts w:ascii="宋体" w:hAnsi="宋体" w:eastAsia="宋体"/>
                <w:sz w:val="16"/>
              </w:rPr>
              <w:t>18</w:t>
            </w:r>
          </w:p>
        </w:tc>
      </w:tr>
      <w:tr w14:paraId="5F45B8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0B9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4B6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164D3">
            <w:pPr>
              <w:jc w:val="center"/>
            </w:pPr>
            <w:r>
              <w:rPr>
                <w:rFonts w:ascii="宋体" w:hAnsi="宋体" w:eastAsia="宋体"/>
                <w:sz w:val="16"/>
              </w:rPr>
              <w:t>“纪审、审巡”联动监督覆盖率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498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CB21A">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B12C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B89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49F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B4C9F">
            <w:pPr>
              <w:jc w:val="center"/>
            </w:pPr>
            <w:r>
              <w:rPr>
                <w:rFonts w:ascii="宋体" w:hAnsi="宋体" w:eastAsia="宋体"/>
                <w:sz w:val="16"/>
              </w:rPr>
              <w:t>18</w:t>
            </w:r>
          </w:p>
        </w:tc>
      </w:tr>
      <w:tr w14:paraId="2FC805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231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4F00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E47FE">
            <w:pPr>
              <w:jc w:val="center"/>
            </w:pPr>
            <w:r>
              <w:rPr>
                <w:rFonts w:ascii="宋体" w:hAnsi="宋体" w:eastAsia="宋体"/>
                <w:sz w:val="16"/>
              </w:rPr>
              <w:t>审计问题推送及时率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2A6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6D7E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D9B3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875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1BE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7FB0B">
            <w:pPr>
              <w:jc w:val="center"/>
            </w:pPr>
            <w:r>
              <w:rPr>
                <w:rFonts w:ascii="宋体" w:hAnsi="宋体" w:eastAsia="宋体"/>
                <w:sz w:val="16"/>
              </w:rPr>
              <w:t>18</w:t>
            </w:r>
          </w:p>
        </w:tc>
      </w:tr>
    </w:tbl>
    <w:p w14:paraId="722B16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51CD592">
        <w:tblPrEx>
          <w:tblCellMar>
            <w:top w:w="0" w:type="dxa"/>
            <w:left w:w="108" w:type="dxa"/>
            <w:bottom w:w="0" w:type="dxa"/>
            <w:right w:w="108" w:type="dxa"/>
          </w:tblCellMar>
        </w:tblPrEx>
        <w:tc>
          <w:tcPr>
            <w:tcW w:w="8848" w:type="dxa"/>
            <w:gridSpan w:val="14"/>
            <w:vAlign w:val="center"/>
          </w:tcPr>
          <w:p w14:paraId="769BE01B">
            <w:pPr>
              <w:jc w:val="center"/>
            </w:pPr>
            <w:r>
              <w:rPr>
                <w:rFonts w:ascii="宋体" w:hAnsi="宋体" w:eastAsia="宋体"/>
                <w:sz w:val="24"/>
              </w:rPr>
              <w:t>项目支出绩效自评表</w:t>
            </w:r>
          </w:p>
        </w:tc>
      </w:tr>
      <w:tr w14:paraId="3CA5726E">
        <w:tblPrEx>
          <w:tblCellMar>
            <w:top w:w="0" w:type="dxa"/>
            <w:left w:w="108" w:type="dxa"/>
            <w:bottom w:w="0" w:type="dxa"/>
            <w:right w:w="108" w:type="dxa"/>
          </w:tblCellMar>
        </w:tblPrEx>
        <w:tc>
          <w:tcPr>
            <w:tcW w:w="8848" w:type="dxa"/>
            <w:gridSpan w:val="14"/>
            <w:vAlign w:val="center"/>
          </w:tcPr>
          <w:p w14:paraId="6B3BADE8">
            <w:pPr>
              <w:jc w:val="center"/>
            </w:pPr>
            <w:r>
              <w:rPr>
                <w:rFonts w:ascii="宋体" w:hAnsi="宋体" w:eastAsia="宋体"/>
                <w:sz w:val="24"/>
              </w:rPr>
              <w:t>(2024年度)</w:t>
            </w:r>
          </w:p>
        </w:tc>
      </w:tr>
      <w:tr w14:paraId="6FEF93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5B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9DCFCC">
            <w:pPr>
              <w:jc w:val="center"/>
            </w:pPr>
            <w:r>
              <w:rPr>
                <w:rFonts w:ascii="宋体" w:hAnsi="宋体" w:eastAsia="宋体"/>
                <w:sz w:val="16"/>
              </w:rPr>
              <w:t>上级补助审计业务经费项目</w:t>
            </w:r>
          </w:p>
        </w:tc>
      </w:tr>
      <w:tr w14:paraId="4AFD45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7E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71256">
            <w:pPr>
              <w:jc w:val="center"/>
            </w:pPr>
            <w:r>
              <w:rPr>
                <w:rFonts w:ascii="宋体" w:hAnsi="宋体" w:eastAsia="宋体"/>
                <w:sz w:val="16"/>
              </w:rPr>
              <w:t>岳普湖县审计局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73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2E1351">
            <w:pPr>
              <w:jc w:val="center"/>
            </w:pPr>
            <w:r>
              <w:rPr>
                <w:rFonts w:ascii="宋体" w:hAnsi="宋体" w:eastAsia="宋体"/>
                <w:sz w:val="16"/>
              </w:rPr>
              <w:t>岳普湖县审计局</w:t>
            </w:r>
          </w:p>
        </w:tc>
      </w:tr>
      <w:tr w14:paraId="5DB7C5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C09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743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DC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B9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CAB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39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C6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2A31">
            <w:pPr>
              <w:jc w:val="center"/>
            </w:pPr>
            <w:r>
              <w:rPr>
                <w:rFonts w:ascii="宋体" w:hAnsi="宋体" w:eastAsia="宋体"/>
                <w:sz w:val="16"/>
              </w:rPr>
              <w:t>得分</w:t>
            </w:r>
          </w:p>
        </w:tc>
      </w:tr>
      <w:tr w14:paraId="752C4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ACC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123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75BA7">
            <w:pPr>
              <w:jc w:val="center"/>
            </w:pPr>
            <w:r>
              <w:rPr>
                <w:rFonts w:ascii="宋体" w:hAnsi="宋体" w:eastAsia="宋体"/>
                <w:sz w:val="16"/>
              </w:rPr>
              <w:t>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7D965">
            <w:pPr>
              <w:jc w:val="center"/>
            </w:pPr>
            <w:r>
              <w:rPr>
                <w:rFonts w:ascii="宋体" w:hAnsi="宋体" w:eastAsia="宋体"/>
                <w:sz w:val="16"/>
              </w:rPr>
              <w:t>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C3652">
            <w:pPr>
              <w:jc w:val="center"/>
            </w:pPr>
            <w:r>
              <w:rPr>
                <w:rFonts w:ascii="宋体" w:hAnsi="宋体" w:eastAsia="宋体"/>
                <w:sz w:val="16"/>
              </w:rPr>
              <w:t>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E0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C8F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7F7D">
            <w:pPr>
              <w:jc w:val="center"/>
            </w:pPr>
            <w:r>
              <w:rPr>
                <w:rFonts w:ascii="宋体" w:hAnsi="宋体" w:eastAsia="宋体"/>
                <w:sz w:val="16"/>
              </w:rPr>
              <w:t>10.00分</w:t>
            </w:r>
          </w:p>
        </w:tc>
      </w:tr>
      <w:tr w14:paraId="2C44E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922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912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88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AD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FCF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AAD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7FD4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AB6D">
            <w:pPr>
              <w:jc w:val="center"/>
            </w:pPr>
            <w:r>
              <w:rPr>
                <w:rFonts w:ascii="宋体" w:hAnsi="宋体" w:eastAsia="宋体"/>
                <w:sz w:val="16"/>
              </w:rPr>
              <w:t>—</w:t>
            </w:r>
          </w:p>
        </w:tc>
      </w:tr>
      <w:tr w14:paraId="77544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624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DE5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F9D2A">
            <w:pPr>
              <w:jc w:val="center"/>
            </w:pPr>
            <w:r>
              <w:rPr>
                <w:rFonts w:ascii="宋体" w:hAnsi="宋体" w:eastAsia="宋体"/>
                <w:sz w:val="16"/>
              </w:rPr>
              <w:t>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7F62">
            <w:pPr>
              <w:jc w:val="center"/>
            </w:pPr>
            <w:r>
              <w:rPr>
                <w:rFonts w:ascii="宋体" w:hAnsi="宋体" w:eastAsia="宋体"/>
                <w:sz w:val="16"/>
              </w:rPr>
              <w:t>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B049D">
            <w:pPr>
              <w:jc w:val="center"/>
            </w:pPr>
            <w:r>
              <w:rPr>
                <w:rFonts w:ascii="宋体" w:hAnsi="宋体" w:eastAsia="宋体"/>
                <w:sz w:val="16"/>
              </w:rPr>
              <w:t>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7C0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9A3D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38CE">
            <w:pPr>
              <w:jc w:val="center"/>
            </w:pPr>
            <w:r>
              <w:rPr>
                <w:rFonts w:ascii="宋体" w:hAnsi="宋体" w:eastAsia="宋体"/>
                <w:sz w:val="16"/>
              </w:rPr>
              <w:t>—</w:t>
            </w:r>
          </w:p>
        </w:tc>
      </w:tr>
      <w:tr w14:paraId="07CAE5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773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90D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4C0BD2">
            <w:pPr>
              <w:jc w:val="center"/>
            </w:pPr>
            <w:r>
              <w:rPr>
                <w:rFonts w:ascii="宋体" w:hAnsi="宋体" w:eastAsia="宋体"/>
                <w:sz w:val="16"/>
              </w:rPr>
              <w:t>实际完成情况</w:t>
            </w:r>
          </w:p>
        </w:tc>
      </w:tr>
      <w:tr w14:paraId="1048E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854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9CCC2">
            <w:pPr>
              <w:jc w:val="both"/>
            </w:pPr>
            <w:r>
              <w:rPr>
                <w:rFonts w:ascii="宋体" w:hAnsi="宋体" w:eastAsia="宋体"/>
                <w:sz w:val="16"/>
              </w:rPr>
              <w:t>根据岳普湖县实际情况，为更好发挥审计职能，覆盖重大政策跟踪、财政管理、国有企业、民生资金、资源环境、政府投资、领导干部经济责任、审计整改跟踪等方面，为岳普湖县审计局提供上级补助审计业务经费保障。经费保障单位数量1个。通过项目的实施推进全面从严治党，依法履行“经济体检”主责，发挥了审计在党和国家监督体系中的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9E3081">
            <w:pPr>
              <w:jc w:val="both"/>
            </w:pPr>
            <w:r>
              <w:rPr>
                <w:rFonts w:ascii="宋体" w:hAnsi="宋体" w:eastAsia="宋体"/>
                <w:sz w:val="16"/>
              </w:rPr>
              <w:t>项目已完成岳普湖县审计局上级补助审计业务经费保障任务。经费保障单位数量1个。预算执行率100%。通过项目的实施推进全面从严治党，依法履行“经济体检”主责，有效发挥了审计在党和国家监督体系中的重要作用。</w:t>
            </w:r>
          </w:p>
        </w:tc>
      </w:tr>
      <w:tr w14:paraId="1E90F4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E19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AE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D6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78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41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2A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1F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0D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03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4C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42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92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9E3B4">
            <w:pPr>
              <w:jc w:val="center"/>
            </w:pPr>
            <w:r>
              <w:rPr>
                <w:rFonts w:ascii="宋体" w:hAnsi="宋体" w:eastAsia="宋体"/>
                <w:sz w:val="16"/>
              </w:rPr>
              <w:t>偏差原因分析及改进措施</w:t>
            </w:r>
          </w:p>
        </w:tc>
      </w:tr>
      <w:tr w14:paraId="2C938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286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73A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79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B9FA">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EC1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8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25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29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51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FD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9E1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7E4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F6E8E">
            <w:pPr>
              <w:jc w:val="center"/>
            </w:pPr>
          </w:p>
        </w:tc>
      </w:tr>
      <w:tr w14:paraId="283F0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7D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1CF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F42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0B02">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D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8A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BA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77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8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20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3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85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AF48A">
            <w:pPr>
              <w:jc w:val="center"/>
            </w:pPr>
          </w:p>
        </w:tc>
      </w:tr>
      <w:tr w14:paraId="7A0EB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A7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51F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EC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A86E">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D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6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BB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7B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6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75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2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D7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FD01A">
            <w:pPr>
              <w:jc w:val="center"/>
            </w:pPr>
          </w:p>
        </w:tc>
      </w:tr>
      <w:tr w14:paraId="52D76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87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9F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FB1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79A2">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8F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D6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5B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05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A1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0A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9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85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59332">
            <w:pPr>
              <w:jc w:val="center"/>
            </w:pPr>
          </w:p>
        </w:tc>
      </w:tr>
      <w:tr w14:paraId="7AF64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0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D9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C3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660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E90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7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8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33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D1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C1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F885">
            <w:pPr>
              <w:jc w:val="center"/>
            </w:pPr>
            <w:r>
              <w:rPr>
                <w:rFonts w:ascii="宋体" w:hAnsi="宋体" w:eastAsia="宋体"/>
                <w:sz w:val="16"/>
              </w:rPr>
              <w:t>=2024年9月11日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CB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C9AC">
            <w:pPr>
              <w:jc w:val="center"/>
            </w:pPr>
          </w:p>
        </w:tc>
      </w:tr>
      <w:tr w14:paraId="62038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D3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53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E4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0716">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E13D">
            <w:pPr>
              <w:jc w:val="center"/>
            </w:pPr>
            <w:r>
              <w:rPr>
                <w:rFonts w:ascii="宋体" w:hAnsi="宋体" w:eastAsia="宋体"/>
                <w:sz w:val="16"/>
              </w:rPr>
              <w:t>&lt;=7.19万元/个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5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33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A7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3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1D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8E71">
            <w:pPr>
              <w:jc w:val="center"/>
            </w:pPr>
            <w:r>
              <w:rPr>
                <w:rFonts w:ascii="宋体" w:hAnsi="宋体" w:eastAsia="宋体"/>
                <w:sz w:val="16"/>
              </w:rPr>
              <w:t>=7.19万元/个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15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85990">
            <w:pPr>
              <w:jc w:val="center"/>
            </w:pPr>
          </w:p>
        </w:tc>
      </w:tr>
      <w:tr w14:paraId="3A9B9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17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3C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8F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4F04">
            <w:pPr>
              <w:jc w:val="center"/>
            </w:pPr>
            <w:r>
              <w:rPr>
                <w:rFonts w:ascii="宋体" w:hAnsi="宋体" w:eastAsia="宋体"/>
                <w:sz w:val="16"/>
              </w:rPr>
              <w:t>发挥了审计在党和国家监督体系中的重要作用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EBED">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0D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76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695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BA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2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CB8E">
            <w:pPr>
              <w:jc w:val="center"/>
            </w:pPr>
            <w:r>
              <w:rPr>
                <w:rFonts w:ascii="宋体" w:hAnsi="宋体" w:eastAsia="宋体"/>
                <w:sz w:val="16"/>
              </w:rPr>
              <w:t>有效发挥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8D6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4443">
            <w:pPr>
              <w:jc w:val="center"/>
            </w:pPr>
          </w:p>
        </w:tc>
      </w:tr>
      <w:tr w14:paraId="5D2625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92C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5F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6436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2B3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C935E9"/>
        </w:tc>
      </w:tr>
    </w:tbl>
    <w:p w14:paraId="20BB1D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E73FF51">
        <w:tblPrEx>
          <w:tblCellMar>
            <w:top w:w="0" w:type="dxa"/>
            <w:left w:w="108" w:type="dxa"/>
            <w:bottom w:w="0" w:type="dxa"/>
            <w:right w:w="108" w:type="dxa"/>
          </w:tblCellMar>
        </w:tblPrEx>
        <w:tc>
          <w:tcPr>
            <w:tcW w:w="8848" w:type="dxa"/>
            <w:gridSpan w:val="14"/>
            <w:vAlign w:val="center"/>
          </w:tcPr>
          <w:p w14:paraId="396E3D43">
            <w:pPr>
              <w:jc w:val="center"/>
            </w:pPr>
            <w:r>
              <w:rPr>
                <w:rFonts w:ascii="宋体" w:hAnsi="宋体" w:eastAsia="宋体"/>
                <w:sz w:val="24"/>
              </w:rPr>
              <w:t>项目支出绩效自评表</w:t>
            </w:r>
          </w:p>
        </w:tc>
      </w:tr>
      <w:tr w14:paraId="206F0956">
        <w:tblPrEx>
          <w:tblCellMar>
            <w:top w:w="0" w:type="dxa"/>
            <w:left w:w="108" w:type="dxa"/>
            <w:bottom w:w="0" w:type="dxa"/>
            <w:right w:w="108" w:type="dxa"/>
          </w:tblCellMar>
        </w:tblPrEx>
        <w:tc>
          <w:tcPr>
            <w:tcW w:w="8848" w:type="dxa"/>
            <w:gridSpan w:val="14"/>
            <w:vAlign w:val="center"/>
          </w:tcPr>
          <w:p w14:paraId="6557023E">
            <w:pPr>
              <w:jc w:val="center"/>
            </w:pPr>
            <w:r>
              <w:rPr>
                <w:rFonts w:ascii="宋体" w:hAnsi="宋体" w:eastAsia="宋体"/>
                <w:sz w:val="24"/>
              </w:rPr>
              <w:t>(2024年度)</w:t>
            </w:r>
          </w:p>
        </w:tc>
      </w:tr>
      <w:tr w14:paraId="7C9B20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5B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809C9A">
            <w:pPr>
              <w:jc w:val="center"/>
            </w:pPr>
            <w:r>
              <w:rPr>
                <w:rFonts w:ascii="宋体" w:hAnsi="宋体" w:eastAsia="宋体"/>
                <w:sz w:val="16"/>
              </w:rPr>
              <w:t>审计咨询服务费项目</w:t>
            </w:r>
          </w:p>
        </w:tc>
      </w:tr>
      <w:tr w14:paraId="796A67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E7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F9814">
            <w:pPr>
              <w:jc w:val="center"/>
            </w:pPr>
            <w:r>
              <w:rPr>
                <w:rFonts w:ascii="宋体" w:hAnsi="宋体" w:eastAsia="宋体"/>
                <w:sz w:val="16"/>
              </w:rPr>
              <w:t>岳普湖县审计局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8E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1AEA10">
            <w:pPr>
              <w:jc w:val="center"/>
            </w:pPr>
            <w:r>
              <w:rPr>
                <w:rFonts w:ascii="宋体" w:hAnsi="宋体" w:eastAsia="宋体"/>
                <w:sz w:val="16"/>
              </w:rPr>
              <w:t>岳普湖县审计局</w:t>
            </w:r>
          </w:p>
        </w:tc>
      </w:tr>
      <w:tr w14:paraId="613FF7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11E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49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3EA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0C1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B85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297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92B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564B">
            <w:pPr>
              <w:jc w:val="center"/>
            </w:pPr>
            <w:r>
              <w:rPr>
                <w:rFonts w:ascii="宋体" w:hAnsi="宋体" w:eastAsia="宋体"/>
                <w:sz w:val="16"/>
              </w:rPr>
              <w:t>得分</w:t>
            </w:r>
          </w:p>
        </w:tc>
      </w:tr>
      <w:tr w14:paraId="51DEF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D82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650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F7F1">
            <w:pPr>
              <w:jc w:val="center"/>
            </w:pPr>
            <w:r>
              <w:rPr>
                <w:rFonts w:ascii="宋体" w:hAnsi="宋体" w:eastAsia="宋体"/>
                <w:sz w:val="16"/>
              </w:rPr>
              <w:t>30.84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D2940">
            <w:pPr>
              <w:jc w:val="center"/>
            </w:pPr>
            <w:r>
              <w:rPr>
                <w:rFonts w:ascii="宋体" w:hAnsi="宋体" w:eastAsia="宋体"/>
                <w:sz w:val="16"/>
              </w:rPr>
              <w:t>61.88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0F867">
            <w:pPr>
              <w:jc w:val="center"/>
            </w:pPr>
            <w:r>
              <w:rPr>
                <w:rFonts w:ascii="宋体" w:hAnsi="宋体" w:eastAsia="宋体"/>
                <w:sz w:val="16"/>
              </w:rPr>
              <w:t>61.88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F1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828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0984">
            <w:pPr>
              <w:jc w:val="center"/>
            </w:pPr>
            <w:r>
              <w:rPr>
                <w:rFonts w:ascii="宋体" w:hAnsi="宋体" w:eastAsia="宋体"/>
                <w:sz w:val="16"/>
              </w:rPr>
              <w:t>10.00分</w:t>
            </w:r>
          </w:p>
        </w:tc>
      </w:tr>
      <w:tr w14:paraId="6A9B0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FEA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F3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C6A67">
            <w:pPr>
              <w:jc w:val="center"/>
            </w:pPr>
            <w:r>
              <w:rPr>
                <w:rFonts w:ascii="宋体" w:hAnsi="宋体" w:eastAsia="宋体"/>
                <w:sz w:val="16"/>
              </w:rPr>
              <w:t>30.84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FDAC5">
            <w:pPr>
              <w:jc w:val="center"/>
            </w:pPr>
            <w:r>
              <w:rPr>
                <w:rFonts w:ascii="宋体" w:hAnsi="宋体" w:eastAsia="宋体"/>
                <w:sz w:val="16"/>
              </w:rPr>
              <w:t>61.88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7799D">
            <w:pPr>
              <w:jc w:val="center"/>
            </w:pPr>
            <w:r>
              <w:rPr>
                <w:rFonts w:ascii="宋体" w:hAnsi="宋体" w:eastAsia="宋体"/>
                <w:sz w:val="16"/>
              </w:rPr>
              <w:t>61.88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C76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ADB1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C7D3">
            <w:pPr>
              <w:jc w:val="center"/>
            </w:pPr>
            <w:r>
              <w:rPr>
                <w:rFonts w:ascii="宋体" w:hAnsi="宋体" w:eastAsia="宋体"/>
                <w:sz w:val="16"/>
              </w:rPr>
              <w:t>—</w:t>
            </w:r>
          </w:p>
        </w:tc>
      </w:tr>
      <w:tr w14:paraId="087FB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6A2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728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F2E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B29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CE9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790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8A23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2C49">
            <w:pPr>
              <w:jc w:val="center"/>
            </w:pPr>
            <w:r>
              <w:rPr>
                <w:rFonts w:ascii="宋体" w:hAnsi="宋体" w:eastAsia="宋体"/>
                <w:sz w:val="16"/>
              </w:rPr>
              <w:t>—</w:t>
            </w:r>
          </w:p>
        </w:tc>
      </w:tr>
      <w:tr w14:paraId="47BECE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634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C31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5D8E1B">
            <w:pPr>
              <w:jc w:val="center"/>
            </w:pPr>
            <w:r>
              <w:rPr>
                <w:rFonts w:ascii="宋体" w:hAnsi="宋体" w:eastAsia="宋体"/>
                <w:sz w:val="16"/>
              </w:rPr>
              <w:t>实际完成情况</w:t>
            </w:r>
          </w:p>
        </w:tc>
      </w:tr>
      <w:tr w14:paraId="453FB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618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D3AAB8">
            <w:pPr>
              <w:jc w:val="both"/>
            </w:pPr>
            <w:r>
              <w:rPr>
                <w:rFonts w:ascii="宋体" w:hAnsi="宋体" w:eastAsia="宋体"/>
                <w:sz w:val="16"/>
              </w:rPr>
              <w:t>根据岳普湖县实际情况，按照纪委监委要求，岳普湖县审计局聘请5家造价咨询服务企业完成农业农村局10个项目的阶段性造价审核，本年度按照约定，支付造价审核费用。按照人民政府会议要求，岳普湖县审计局聘请2家</w:t>
            </w:r>
            <w:r>
              <w:rPr>
                <w:rFonts w:hint="eastAsia" w:ascii="宋体" w:hAnsi="宋体"/>
                <w:sz w:val="16"/>
                <w:lang w:eastAsia="zh-CN"/>
              </w:rPr>
              <w:t>会计师事务所</w:t>
            </w:r>
            <w:r>
              <w:rPr>
                <w:rFonts w:ascii="宋体" w:hAnsi="宋体" w:eastAsia="宋体"/>
                <w:sz w:val="16"/>
              </w:rPr>
              <w:t>对岳普湖县农垦振岳农业科技发展有限公司、岳普湖县农垦牧岳生态养殖有限公司、岳普湖县农垦盛岳源生态农业科技发展有限公司财务收支、资产清查、债权债务、内控制度等事项进行了审计，本年度支付审计咨询费用。通过项目的实施推进全面从严治党，依法履行“经济体检”主责，较好发挥了审计在党和国家监督体系中的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CDB689">
            <w:pPr>
              <w:jc w:val="both"/>
            </w:pPr>
            <w:r>
              <w:rPr>
                <w:rFonts w:ascii="宋体" w:hAnsi="宋体" w:eastAsia="宋体"/>
                <w:sz w:val="16"/>
              </w:rPr>
              <w:t>项目已完成岳普湖县审计局聘请5家造价咨询服务企业完成农业农村局10个项目的阶段性造价审核，并完成造价审核费用支付任务。已完成岳普湖县审计局聘请2家</w:t>
            </w:r>
            <w:r>
              <w:rPr>
                <w:rFonts w:hint="eastAsia" w:ascii="宋体" w:hAnsi="宋体"/>
                <w:sz w:val="16"/>
                <w:lang w:eastAsia="zh-CN"/>
              </w:rPr>
              <w:t>会计师事务所</w:t>
            </w:r>
            <w:r>
              <w:rPr>
                <w:rFonts w:ascii="宋体" w:hAnsi="宋体" w:eastAsia="宋体"/>
                <w:sz w:val="16"/>
              </w:rPr>
              <w:t>对岳普湖县农垦振岳农业科技发展有限公司、岳普湖县农垦牧岳生态养殖有限公司、岳普湖县农垦盛岳源生态农业科技发展有限公司财务收支、资产清查、债权债务、内控制度等事项进行了审计，并支付审计咨询费用。预算执行率100%。通过项目的实施全面推进全面从严治党，依法履行“经济体检”主责，较好发挥了审计在党和国家监督体系中的重要作用。</w:t>
            </w:r>
          </w:p>
        </w:tc>
      </w:tr>
      <w:tr w14:paraId="77BA06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3BF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36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84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E4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7D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A9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D9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A8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34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E4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D1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1A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F7F7E">
            <w:pPr>
              <w:jc w:val="center"/>
            </w:pPr>
            <w:r>
              <w:rPr>
                <w:rFonts w:ascii="宋体" w:hAnsi="宋体" w:eastAsia="宋体"/>
                <w:sz w:val="16"/>
              </w:rPr>
              <w:t>偏差原因分析及改进措施</w:t>
            </w:r>
          </w:p>
        </w:tc>
      </w:tr>
      <w:tr w14:paraId="53733B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091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DC4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D79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1B2A2">
            <w:pPr>
              <w:jc w:val="center"/>
            </w:pPr>
            <w:r>
              <w:rPr>
                <w:rFonts w:ascii="宋体" w:hAnsi="宋体" w:eastAsia="宋体"/>
                <w:sz w:val="16"/>
              </w:rPr>
              <w:t>造价审核项目数量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7E45">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1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A5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97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C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78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953E">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11F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6CD37">
            <w:pPr>
              <w:jc w:val="center"/>
            </w:pPr>
          </w:p>
        </w:tc>
      </w:tr>
      <w:tr w14:paraId="43045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EA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DC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D7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EA0EA">
            <w:pPr>
              <w:jc w:val="center"/>
            </w:pPr>
            <w:r>
              <w:rPr>
                <w:rFonts w:ascii="宋体" w:hAnsi="宋体" w:eastAsia="宋体"/>
                <w:sz w:val="16"/>
              </w:rPr>
              <w:t>专项审计聘请第三方数量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4495">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E1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49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8D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A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EE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039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F82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53D49">
            <w:pPr>
              <w:jc w:val="center"/>
            </w:pPr>
          </w:p>
        </w:tc>
      </w:tr>
      <w:tr w14:paraId="4AC987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FC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258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57D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43B2">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49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1D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8D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20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6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A2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C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68D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86D95">
            <w:pPr>
              <w:jc w:val="center"/>
            </w:pPr>
          </w:p>
        </w:tc>
      </w:tr>
      <w:tr w14:paraId="5430D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EA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1C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E5F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2C0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F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6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5D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E8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6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79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AB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B8D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78727">
            <w:pPr>
              <w:jc w:val="center"/>
            </w:pPr>
          </w:p>
        </w:tc>
      </w:tr>
      <w:tr w14:paraId="77557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32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B5A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5CA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3897">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9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E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81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74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19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87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2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16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84A22">
            <w:pPr>
              <w:jc w:val="center"/>
            </w:pPr>
          </w:p>
        </w:tc>
      </w:tr>
      <w:tr w14:paraId="56765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102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D6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24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D9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F15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0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90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A3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79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43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A38F">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7E0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378A">
            <w:pPr>
              <w:jc w:val="center"/>
            </w:pPr>
          </w:p>
        </w:tc>
      </w:tr>
      <w:tr w14:paraId="4BBBA9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2F9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0373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693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E890">
            <w:pPr>
              <w:jc w:val="center"/>
            </w:pPr>
            <w:r>
              <w:rPr>
                <w:rFonts w:ascii="宋体" w:hAnsi="宋体" w:eastAsia="宋体"/>
                <w:sz w:val="16"/>
              </w:rPr>
              <w:t>造价审核预算控制数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C334">
            <w:pPr>
              <w:jc w:val="center"/>
            </w:pPr>
            <w:r>
              <w:rPr>
                <w:rFonts w:ascii="宋体" w:hAnsi="宋体" w:eastAsia="宋体"/>
                <w:sz w:val="16"/>
              </w:rPr>
              <w:t>&lt;=50.68万元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F0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72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81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B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70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6DA2">
            <w:pPr>
              <w:jc w:val="center"/>
            </w:pPr>
            <w:r>
              <w:rPr>
                <w:rFonts w:ascii="宋体" w:hAnsi="宋体" w:eastAsia="宋体"/>
                <w:sz w:val="16"/>
              </w:rPr>
              <w:t>=50.68万元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C8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DE08">
            <w:pPr>
              <w:jc w:val="center"/>
            </w:pPr>
          </w:p>
        </w:tc>
      </w:tr>
      <w:tr w14:paraId="55215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1F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5F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AE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2B5D">
            <w:pPr>
              <w:jc w:val="center"/>
            </w:pPr>
            <w:r>
              <w:rPr>
                <w:rFonts w:ascii="宋体" w:hAnsi="宋体" w:eastAsia="宋体"/>
                <w:sz w:val="16"/>
              </w:rPr>
              <w:t>专项审计预算控制数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C10B">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C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D5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42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6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10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46AE">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CA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477FF">
            <w:pPr>
              <w:jc w:val="center"/>
            </w:pPr>
          </w:p>
        </w:tc>
      </w:tr>
      <w:tr w14:paraId="41F74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CEE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DC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45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3971">
            <w:pPr>
              <w:jc w:val="center"/>
            </w:pPr>
            <w:r>
              <w:rPr>
                <w:rFonts w:ascii="宋体" w:hAnsi="宋体" w:eastAsia="宋体"/>
                <w:sz w:val="16"/>
              </w:rPr>
              <w:t>发挥了审计在党和国家监督体系中的重要作用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2BE6">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BA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1E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DBA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B5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1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8414">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BE3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5D0B7">
            <w:pPr>
              <w:jc w:val="center"/>
            </w:pPr>
          </w:p>
        </w:tc>
      </w:tr>
      <w:tr w14:paraId="0B6C11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C0B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CA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993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7B7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4A582D"/>
        </w:tc>
      </w:tr>
    </w:tbl>
    <w:p w14:paraId="10DF0A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88139D6">
        <w:tc>
          <w:tcPr>
            <w:tcW w:w="8848" w:type="dxa"/>
            <w:gridSpan w:val="14"/>
            <w:vAlign w:val="center"/>
          </w:tcPr>
          <w:p w14:paraId="05FAB5A2">
            <w:pPr>
              <w:jc w:val="center"/>
            </w:pPr>
            <w:r>
              <w:rPr>
                <w:rFonts w:ascii="宋体" w:hAnsi="宋体" w:eastAsia="宋体"/>
                <w:sz w:val="24"/>
              </w:rPr>
              <w:t>项目支出绩效自评表</w:t>
            </w:r>
          </w:p>
        </w:tc>
      </w:tr>
      <w:tr w14:paraId="52B0F517">
        <w:tblPrEx>
          <w:tblCellMar>
            <w:top w:w="0" w:type="dxa"/>
            <w:left w:w="108" w:type="dxa"/>
            <w:bottom w:w="0" w:type="dxa"/>
            <w:right w:w="108" w:type="dxa"/>
          </w:tblCellMar>
        </w:tblPrEx>
        <w:tc>
          <w:tcPr>
            <w:tcW w:w="8848" w:type="dxa"/>
            <w:gridSpan w:val="14"/>
            <w:vAlign w:val="center"/>
          </w:tcPr>
          <w:p w14:paraId="0751B603">
            <w:pPr>
              <w:jc w:val="center"/>
            </w:pPr>
            <w:r>
              <w:rPr>
                <w:rFonts w:ascii="宋体" w:hAnsi="宋体" w:eastAsia="宋体"/>
                <w:sz w:val="24"/>
              </w:rPr>
              <w:t>(2024年度)</w:t>
            </w:r>
          </w:p>
        </w:tc>
      </w:tr>
      <w:tr w14:paraId="52B377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87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76B068">
            <w:pPr>
              <w:jc w:val="center"/>
            </w:pPr>
            <w:r>
              <w:rPr>
                <w:rFonts w:ascii="宋体" w:hAnsi="宋体" w:eastAsia="宋体"/>
                <w:sz w:val="16"/>
              </w:rPr>
              <w:t>自治区2024年度乡村振兴专项审计经费项目</w:t>
            </w:r>
          </w:p>
        </w:tc>
      </w:tr>
      <w:tr w14:paraId="306EB5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9E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53484">
            <w:pPr>
              <w:jc w:val="center"/>
            </w:pPr>
            <w:r>
              <w:rPr>
                <w:rFonts w:ascii="宋体" w:hAnsi="宋体" w:eastAsia="宋体"/>
                <w:sz w:val="16"/>
              </w:rPr>
              <w:t>岳普湖县审计局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17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4E4E9E">
            <w:pPr>
              <w:jc w:val="center"/>
            </w:pPr>
            <w:r>
              <w:rPr>
                <w:rFonts w:ascii="宋体" w:hAnsi="宋体" w:eastAsia="宋体"/>
                <w:sz w:val="16"/>
              </w:rPr>
              <w:t>岳普湖县审计局</w:t>
            </w:r>
          </w:p>
        </w:tc>
      </w:tr>
      <w:tr w14:paraId="32578F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D6B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706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C4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BA9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B7B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787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762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A8C7">
            <w:pPr>
              <w:jc w:val="center"/>
            </w:pPr>
            <w:r>
              <w:rPr>
                <w:rFonts w:ascii="宋体" w:hAnsi="宋体" w:eastAsia="宋体"/>
                <w:sz w:val="16"/>
              </w:rPr>
              <w:t>得分</w:t>
            </w:r>
          </w:p>
        </w:tc>
      </w:tr>
      <w:tr w14:paraId="0C907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B28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973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37E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A4CE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D5502">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9EA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54CB3">
            <w:pPr>
              <w:jc w:val="center"/>
            </w:pPr>
            <w:r>
              <w:rPr>
                <w:rFonts w:ascii="宋体" w:hAnsi="宋体" w:eastAsia="宋体"/>
                <w:sz w:val="16"/>
              </w:rPr>
              <w:t>62.22%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F32F">
            <w:pPr>
              <w:jc w:val="center"/>
            </w:pPr>
            <w:r>
              <w:rPr>
                <w:rFonts w:ascii="宋体" w:hAnsi="宋体" w:eastAsia="宋体"/>
                <w:sz w:val="16"/>
              </w:rPr>
              <w:t>0.55分</w:t>
            </w:r>
          </w:p>
        </w:tc>
      </w:tr>
      <w:tr w14:paraId="58A8E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440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709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F46E">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0FFAC">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94A0">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029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0632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F0D3">
            <w:pPr>
              <w:jc w:val="center"/>
            </w:pPr>
            <w:r>
              <w:rPr>
                <w:rFonts w:ascii="宋体" w:hAnsi="宋体" w:eastAsia="宋体"/>
                <w:sz w:val="16"/>
              </w:rPr>
              <w:t>—</w:t>
            </w:r>
          </w:p>
        </w:tc>
      </w:tr>
      <w:tr w14:paraId="7241F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968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068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C6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2E7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85A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DCF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3DD1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8421">
            <w:pPr>
              <w:jc w:val="center"/>
            </w:pPr>
            <w:r>
              <w:rPr>
                <w:rFonts w:ascii="宋体" w:hAnsi="宋体" w:eastAsia="宋体"/>
                <w:sz w:val="16"/>
              </w:rPr>
              <w:t>—</w:t>
            </w:r>
          </w:p>
        </w:tc>
      </w:tr>
      <w:tr w14:paraId="484DFB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D66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AAD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7289D">
            <w:pPr>
              <w:jc w:val="center"/>
            </w:pPr>
            <w:r>
              <w:rPr>
                <w:rFonts w:ascii="宋体" w:hAnsi="宋体" w:eastAsia="宋体"/>
                <w:sz w:val="16"/>
              </w:rPr>
              <w:t>实际完成情况</w:t>
            </w:r>
          </w:p>
        </w:tc>
      </w:tr>
      <w:tr w14:paraId="369DF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A91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723F4B">
            <w:pPr>
              <w:jc w:val="both"/>
            </w:pPr>
            <w:r>
              <w:rPr>
                <w:rFonts w:ascii="宋体" w:hAnsi="宋体" w:eastAsia="宋体"/>
                <w:sz w:val="16"/>
              </w:rPr>
              <w:t>根据岳普湖县实际情况，为推动乡村振兴战略各项工作落地见效，为岳普湖县乡村振兴专项审计提供经费保障。聘请社会审计组织人员对乡村振兴项目进行审计。经费保障单位数量1个。聘请社会审计组织人员数量2人。通过项目的实施促进脱贫群众稳定增收，夯实脱贫基础，防止出现整村整乡返贫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BEC892">
            <w:pPr>
              <w:jc w:val="both"/>
            </w:pPr>
            <w:r>
              <w:rPr>
                <w:rFonts w:ascii="宋体" w:hAnsi="宋体" w:eastAsia="宋体"/>
                <w:sz w:val="16"/>
              </w:rPr>
              <w:t>项目已完成岳普湖县审计局乡村振兴专项审计经费当年度保障任务。已完成聘请社会审计组织人员对乡村振兴项目进行审计工作。经费保障单位数量1个。聘请社会审计组织人员数量2人。预算执行率62.2%，通过项目的实施促进脱贫群众稳定增收，夯实脱贫基础，防止出现整村整乡返贫现象。</w:t>
            </w:r>
          </w:p>
        </w:tc>
      </w:tr>
      <w:tr w14:paraId="04E36F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CEF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32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0B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5F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46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73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BD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72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F9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7D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03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66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F728">
            <w:pPr>
              <w:jc w:val="center"/>
            </w:pPr>
            <w:r>
              <w:rPr>
                <w:rFonts w:ascii="宋体" w:hAnsi="宋体" w:eastAsia="宋体"/>
                <w:sz w:val="16"/>
              </w:rPr>
              <w:t>偏差原因分析及改进措施</w:t>
            </w:r>
          </w:p>
        </w:tc>
      </w:tr>
      <w:tr w14:paraId="397F67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F40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A46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BC7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62DE">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1CB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1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E6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22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BD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B3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0E3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948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B5794">
            <w:pPr>
              <w:jc w:val="center"/>
            </w:pPr>
          </w:p>
        </w:tc>
      </w:tr>
      <w:tr w14:paraId="4BB63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EB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C6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ED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5DBC">
            <w:pPr>
              <w:jc w:val="center"/>
            </w:pPr>
            <w:r>
              <w:rPr>
                <w:rFonts w:ascii="宋体" w:hAnsi="宋体" w:eastAsia="宋体"/>
                <w:sz w:val="16"/>
              </w:rPr>
              <w:t>聘请社会审计组织人员数量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5FF7">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8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C2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07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3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AD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5F7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C47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50876">
            <w:pPr>
              <w:jc w:val="center"/>
            </w:pPr>
          </w:p>
        </w:tc>
      </w:tr>
      <w:tr w14:paraId="4A253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57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3E5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D4C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1C1A">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3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48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C2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44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F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6A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513F">
            <w:pPr>
              <w:jc w:val="center"/>
            </w:pPr>
            <w:r>
              <w:rPr>
                <w:rFonts w:ascii="宋体" w:hAnsi="宋体" w:eastAsia="宋体"/>
                <w:sz w:val="16"/>
              </w:rPr>
              <w:t>=62.2%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6F7F">
            <w:pPr>
              <w:jc w:val="center"/>
            </w:pPr>
            <w:r>
              <w:rPr>
                <w:rFonts w:ascii="宋体" w:hAnsi="宋体" w:eastAsia="宋体"/>
                <w:sz w:val="16"/>
              </w:rPr>
              <w:t>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8B4FE">
            <w:pPr>
              <w:jc w:val="center"/>
            </w:pPr>
            <w:r>
              <w:rPr>
                <w:rFonts w:ascii="宋体" w:hAnsi="宋体" w:eastAsia="宋体"/>
                <w:sz w:val="16"/>
              </w:rPr>
              <w:t>未完成原因：项目经费部分资金按计划据实申请支出，已完成当年度支付任务，剩余资金结转下一年使用。采取的措施：做好后续资金审批资料准备工作，按时支付剩余项目资金。</w:t>
            </w:r>
          </w:p>
        </w:tc>
      </w:tr>
      <w:tr w14:paraId="46828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BE1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F6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55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884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E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B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91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B9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A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73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B1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114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FE8DB">
            <w:pPr>
              <w:jc w:val="center"/>
            </w:pPr>
          </w:p>
        </w:tc>
      </w:tr>
      <w:tr w14:paraId="6C44A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9BE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F45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1BF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E78E">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8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5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8B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51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99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78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029D">
            <w:pPr>
              <w:jc w:val="center"/>
            </w:pPr>
            <w:r>
              <w:rPr>
                <w:rFonts w:ascii="宋体" w:hAnsi="宋体" w:eastAsia="宋体"/>
                <w:sz w:val="16"/>
              </w:rPr>
              <w:t>=62.2%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1BEF">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3AF0B">
            <w:pPr>
              <w:jc w:val="center"/>
            </w:pPr>
            <w:r>
              <w:rPr>
                <w:rFonts w:ascii="宋体" w:hAnsi="宋体" w:eastAsia="宋体"/>
                <w:sz w:val="16"/>
              </w:rPr>
              <w:t>未完成原因：项目经费部分资金按计划据实申请支出，已完成当年度支付任务，剩余资金结转下一年使用。采取的措施：做好后续资金审批资料准备工作，按时支付剩余项目资金。</w:t>
            </w:r>
          </w:p>
        </w:tc>
      </w:tr>
      <w:tr w14:paraId="1C8C9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E0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7C5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773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5A3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E4C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47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AD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17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1A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5F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F9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C9D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95AE">
            <w:pPr>
              <w:jc w:val="center"/>
            </w:pPr>
            <w:r>
              <w:rPr>
                <w:rFonts w:ascii="宋体" w:hAnsi="宋体" w:eastAsia="宋体"/>
                <w:sz w:val="16"/>
              </w:rPr>
              <w:t>未完成原因：项目经费部分资金按计划据实申请支出，已完成当年度支付任务，剩余资金结转下一年使用。采取的措施：做好后续资金审批资料准备工作，按时支付剩余项目资金。</w:t>
            </w:r>
          </w:p>
        </w:tc>
      </w:tr>
      <w:tr w14:paraId="5DC5F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ED5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46A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E7E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922D">
            <w:pPr>
              <w:jc w:val="center"/>
            </w:pPr>
            <w:r>
              <w:rPr>
                <w:rFonts w:ascii="宋体" w:hAnsi="宋体" w:eastAsia="宋体"/>
                <w:sz w:val="16"/>
              </w:rPr>
              <w:t>乡村振兴审计经费预算控制数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79D1">
            <w:pPr>
              <w:jc w:val="center"/>
            </w:pPr>
            <w:r>
              <w:rPr>
                <w:rFonts w:ascii="宋体" w:hAnsi="宋体" w:eastAsia="宋体"/>
                <w:sz w:val="16"/>
              </w:rPr>
              <w:t>&lt;=6.75万元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40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7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1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46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A0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1337">
            <w:pPr>
              <w:jc w:val="center"/>
            </w:pPr>
            <w:r>
              <w:rPr>
                <w:rFonts w:ascii="宋体" w:hAnsi="宋体" w:eastAsia="宋体"/>
                <w:sz w:val="16"/>
              </w:rPr>
              <w:t>=3.35万元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90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D6BE1">
            <w:pPr>
              <w:jc w:val="center"/>
            </w:pPr>
            <w:r>
              <w:rPr>
                <w:rFonts w:ascii="宋体" w:hAnsi="宋体" w:eastAsia="宋体"/>
                <w:sz w:val="16"/>
              </w:rPr>
              <w:t>未完成原因：项目经费部分资金按计划据实申请支出，已完成当年度支付任务，剩余资金结转下一年使用。采取的措施：做好后续资金审批资料准备工作，按时支付剩余项目资金。</w:t>
            </w:r>
          </w:p>
        </w:tc>
      </w:tr>
      <w:tr w14:paraId="7B43B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47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CC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FA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EF20">
            <w:pPr>
              <w:jc w:val="center"/>
            </w:pPr>
            <w:r>
              <w:rPr>
                <w:rFonts w:ascii="宋体" w:hAnsi="宋体" w:eastAsia="宋体"/>
                <w:sz w:val="16"/>
              </w:rPr>
              <w:t>聘请社会审计组织人员预算控制数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CD17">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C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32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A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2A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D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A214">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B5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C74F">
            <w:pPr>
              <w:jc w:val="center"/>
            </w:pPr>
          </w:p>
        </w:tc>
      </w:tr>
      <w:tr w14:paraId="6031C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8F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91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9D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51C7">
            <w:pPr>
              <w:jc w:val="center"/>
            </w:pPr>
            <w:r>
              <w:rPr>
                <w:rFonts w:ascii="宋体" w:hAnsi="宋体" w:eastAsia="宋体"/>
                <w:sz w:val="16"/>
              </w:rPr>
              <w:t>保障防止出现整村整乡返贫现象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A05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EB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E9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098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FC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25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7638">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262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83FB2">
            <w:pPr>
              <w:jc w:val="center"/>
            </w:pPr>
          </w:p>
        </w:tc>
      </w:tr>
      <w:tr w14:paraId="7500B25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4B2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E4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F50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D669">
            <w:pPr>
              <w:jc w:val="center"/>
            </w:pPr>
            <w:r>
              <w:rPr>
                <w:rFonts w:ascii="宋体" w:hAnsi="宋体" w:eastAsia="宋体"/>
                <w:sz w:val="16"/>
              </w:rPr>
              <w:t>62.27分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202192"/>
        </w:tc>
      </w:tr>
    </w:tbl>
    <w:p w14:paraId="6AF52D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EEA57B2">
        <w:tc>
          <w:tcPr>
            <w:tcW w:w="8848" w:type="dxa"/>
            <w:gridSpan w:val="14"/>
            <w:vAlign w:val="center"/>
          </w:tcPr>
          <w:p w14:paraId="34EEB68B">
            <w:pPr>
              <w:jc w:val="center"/>
            </w:pPr>
            <w:r>
              <w:rPr>
                <w:rFonts w:ascii="宋体" w:hAnsi="宋体" w:eastAsia="宋体"/>
                <w:sz w:val="24"/>
              </w:rPr>
              <w:t>项目支出绩效自评表</w:t>
            </w:r>
          </w:p>
        </w:tc>
      </w:tr>
      <w:tr w14:paraId="7757EB2D">
        <w:tblPrEx>
          <w:tblCellMar>
            <w:top w:w="0" w:type="dxa"/>
            <w:left w:w="108" w:type="dxa"/>
            <w:bottom w:w="0" w:type="dxa"/>
            <w:right w:w="108" w:type="dxa"/>
          </w:tblCellMar>
        </w:tblPrEx>
        <w:tc>
          <w:tcPr>
            <w:tcW w:w="8848" w:type="dxa"/>
            <w:gridSpan w:val="14"/>
            <w:vAlign w:val="center"/>
          </w:tcPr>
          <w:p w14:paraId="403FC5C8">
            <w:pPr>
              <w:jc w:val="center"/>
            </w:pPr>
            <w:r>
              <w:rPr>
                <w:rFonts w:ascii="宋体" w:hAnsi="宋体" w:eastAsia="宋体"/>
                <w:sz w:val="24"/>
              </w:rPr>
              <w:t>(2024年度)</w:t>
            </w:r>
          </w:p>
        </w:tc>
      </w:tr>
      <w:tr w14:paraId="56B77E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53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B2F3C8">
            <w:pPr>
              <w:jc w:val="center"/>
            </w:pPr>
            <w:r>
              <w:rPr>
                <w:rFonts w:ascii="宋体" w:hAnsi="宋体" w:eastAsia="宋体"/>
                <w:sz w:val="16"/>
              </w:rPr>
              <w:t>自治区2024年经济责任和自然资源资产离任审计专项经费项目</w:t>
            </w:r>
          </w:p>
        </w:tc>
      </w:tr>
      <w:tr w14:paraId="35F884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C3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CA52A">
            <w:pPr>
              <w:jc w:val="center"/>
            </w:pPr>
            <w:r>
              <w:rPr>
                <w:rFonts w:ascii="宋体" w:hAnsi="宋体" w:eastAsia="宋体"/>
                <w:sz w:val="16"/>
              </w:rPr>
              <w:t>岳普湖县审计局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46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E09C10">
            <w:pPr>
              <w:jc w:val="center"/>
            </w:pPr>
            <w:r>
              <w:rPr>
                <w:rFonts w:ascii="宋体" w:hAnsi="宋体" w:eastAsia="宋体"/>
                <w:sz w:val="16"/>
              </w:rPr>
              <w:t>岳普湖县审计局</w:t>
            </w:r>
          </w:p>
        </w:tc>
      </w:tr>
      <w:tr w14:paraId="05162A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2B8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6C7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6CE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742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CBB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EF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76E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A61B">
            <w:pPr>
              <w:jc w:val="center"/>
            </w:pPr>
            <w:r>
              <w:rPr>
                <w:rFonts w:ascii="宋体" w:hAnsi="宋体" w:eastAsia="宋体"/>
                <w:sz w:val="16"/>
              </w:rPr>
              <w:t>得分</w:t>
            </w:r>
          </w:p>
        </w:tc>
      </w:tr>
      <w:tr w14:paraId="6D5A2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64D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8B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113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0949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600B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32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88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A6C4">
            <w:pPr>
              <w:jc w:val="center"/>
            </w:pPr>
            <w:r>
              <w:rPr>
                <w:rFonts w:ascii="宋体" w:hAnsi="宋体" w:eastAsia="宋体"/>
                <w:sz w:val="16"/>
              </w:rPr>
              <w:t>10.00分</w:t>
            </w:r>
          </w:p>
        </w:tc>
      </w:tr>
      <w:tr w14:paraId="0CC58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7EE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AC8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AEE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68A5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B0D9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AD2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5B51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0608">
            <w:pPr>
              <w:jc w:val="center"/>
            </w:pPr>
            <w:r>
              <w:rPr>
                <w:rFonts w:ascii="宋体" w:hAnsi="宋体" w:eastAsia="宋体"/>
                <w:sz w:val="16"/>
              </w:rPr>
              <w:t>—</w:t>
            </w:r>
          </w:p>
        </w:tc>
      </w:tr>
      <w:tr w14:paraId="03121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41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3C1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DD7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DA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A48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949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5CC3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653D">
            <w:pPr>
              <w:jc w:val="center"/>
            </w:pPr>
            <w:r>
              <w:rPr>
                <w:rFonts w:ascii="宋体" w:hAnsi="宋体" w:eastAsia="宋体"/>
                <w:sz w:val="16"/>
              </w:rPr>
              <w:t>—</w:t>
            </w:r>
          </w:p>
        </w:tc>
      </w:tr>
      <w:tr w14:paraId="2D695D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55D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72F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9D36EC">
            <w:pPr>
              <w:jc w:val="center"/>
            </w:pPr>
            <w:r>
              <w:rPr>
                <w:rFonts w:ascii="宋体" w:hAnsi="宋体" w:eastAsia="宋体"/>
                <w:sz w:val="16"/>
              </w:rPr>
              <w:t>实际完成情况</w:t>
            </w:r>
          </w:p>
        </w:tc>
      </w:tr>
      <w:tr w14:paraId="5FC46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7B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D0985">
            <w:pPr>
              <w:jc w:val="both"/>
            </w:pPr>
            <w:r>
              <w:rPr>
                <w:rFonts w:ascii="宋体" w:hAnsi="宋体" w:eastAsia="宋体"/>
                <w:sz w:val="16"/>
              </w:rPr>
              <w:t>根据岳普湖县实际情况，为响应自治区对项目审前、审中、审后三个环节的全流程管控，提升审计质效，助力守护“绿水青山”。对自治区经济责任和自然资源资产离任审计提供经费保障。经费保障单位数量1个。通过项目的实施促进“关键少数”依法履职、规范用权为目标，促进提升经济责任审计质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8CC36">
            <w:pPr>
              <w:jc w:val="both"/>
            </w:pPr>
            <w:r>
              <w:rPr>
                <w:rFonts w:ascii="宋体" w:hAnsi="宋体" w:eastAsia="宋体"/>
                <w:sz w:val="16"/>
              </w:rPr>
              <w:t>项目已完成岳普湖县审计局自治区经济责任和自然资源资产离任审计经费保障任务。经费保障单位数量1个。预算执行率100%。通过项目的实施促进“关键少数”依法履职、规范用权为目标，有效促进提升经济责任审计质效。</w:t>
            </w:r>
          </w:p>
        </w:tc>
      </w:tr>
      <w:tr w14:paraId="7518FD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E20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B9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7A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A2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83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23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48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1F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17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11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8E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68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9193">
            <w:pPr>
              <w:jc w:val="center"/>
            </w:pPr>
            <w:r>
              <w:rPr>
                <w:rFonts w:ascii="宋体" w:hAnsi="宋体" w:eastAsia="宋体"/>
                <w:sz w:val="16"/>
              </w:rPr>
              <w:t>偏差原因分析及改进措施</w:t>
            </w:r>
          </w:p>
        </w:tc>
      </w:tr>
      <w:tr w14:paraId="601A1C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C29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F4F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D6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A6D9">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2DE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F4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43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12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53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9D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29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228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D0EE8">
            <w:pPr>
              <w:jc w:val="center"/>
            </w:pPr>
          </w:p>
        </w:tc>
      </w:tr>
      <w:tr w14:paraId="379BC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75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B2F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8A4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00C6">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2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C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88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44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F6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D6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C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B3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585AF">
            <w:pPr>
              <w:jc w:val="center"/>
            </w:pPr>
          </w:p>
        </w:tc>
      </w:tr>
      <w:tr w14:paraId="4CF27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A5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B7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E6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6DD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4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27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F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24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0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8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7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B9B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3174C">
            <w:pPr>
              <w:jc w:val="center"/>
            </w:pPr>
          </w:p>
        </w:tc>
      </w:tr>
      <w:tr w14:paraId="09015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74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C81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522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9C2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5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6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F6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3A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6E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BD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2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F0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E4AE2">
            <w:pPr>
              <w:jc w:val="center"/>
            </w:pPr>
          </w:p>
        </w:tc>
      </w:tr>
      <w:tr w14:paraId="2C85E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CA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2E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EB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E98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1D1F">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6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5C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86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4D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0C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1929">
            <w:pPr>
              <w:jc w:val="center"/>
            </w:pPr>
            <w:r>
              <w:rPr>
                <w:rFonts w:ascii="宋体" w:hAnsi="宋体" w:eastAsia="宋体"/>
                <w:sz w:val="16"/>
              </w:rPr>
              <w:t>=2024年10月16日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92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A2E7">
            <w:pPr>
              <w:jc w:val="center"/>
            </w:pPr>
          </w:p>
        </w:tc>
      </w:tr>
      <w:tr w14:paraId="4A44D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99C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E1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C0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C38F">
            <w:pPr>
              <w:jc w:val="center"/>
            </w:pPr>
            <w:r>
              <w:rPr>
                <w:rFonts w:ascii="宋体" w:hAnsi="宋体" w:eastAsia="宋体"/>
                <w:sz w:val="16"/>
              </w:rPr>
              <w:t>经责和自然资源离任审计经费预算控制数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7523">
            <w:pPr>
              <w:jc w:val="center"/>
            </w:pPr>
            <w:r>
              <w:rPr>
                <w:rFonts w:ascii="宋体" w:hAnsi="宋体" w:eastAsia="宋体"/>
                <w:sz w:val="16"/>
              </w:rPr>
              <w:t>&lt;=1.00万元/个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9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E5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AD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AE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14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DC88">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36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7A94F">
            <w:pPr>
              <w:jc w:val="center"/>
            </w:pPr>
          </w:p>
        </w:tc>
      </w:tr>
      <w:tr w14:paraId="3653D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38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8B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25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4A5E">
            <w:pPr>
              <w:jc w:val="center"/>
            </w:pPr>
            <w:r>
              <w:rPr>
                <w:rFonts w:ascii="宋体" w:hAnsi="宋体" w:eastAsia="宋体"/>
                <w:sz w:val="16"/>
              </w:rPr>
              <w:t>促进提升经济责任审计质效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B83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B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C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61D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87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4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6337">
            <w:pPr>
              <w:jc w:val="center"/>
            </w:pPr>
            <w:r>
              <w:rPr>
                <w:rFonts w:ascii="宋体" w:hAnsi="宋体" w:eastAsia="宋体"/>
                <w:sz w:val="16"/>
              </w:rPr>
              <w:t>有效促进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BDA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5251E">
            <w:pPr>
              <w:jc w:val="center"/>
            </w:pPr>
          </w:p>
        </w:tc>
      </w:tr>
      <w:tr w14:paraId="57B383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5D4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AA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92B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48A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072F6D"/>
        </w:tc>
      </w:tr>
    </w:tbl>
    <w:p w14:paraId="17E4FCC8">
      <w:r>
        <w:br w:type="page"/>
      </w:r>
    </w:p>
    <w:p w14:paraId="0D61FE48">
      <w:pPr>
        <w:spacing w:line="640" w:lineRule="exact"/>
        <w:ind w:firstLine="640"/>
        <w:jc w:val="both"/>
        <w:outlineLvl w:val="2"/>
      </w:pPr>
      <w:r>
        <w:rPr>
          <w:rFonts w:ascii="黑体" w:hAnsi="黑体" w:eastAsia="黑体"/>
          <w:sz w:val="32"/>
        </w:rPr>
        <w:t>十二、其他需说明的事项</w:t>
      </w:r>
    </w:p>
    <w:p w14:paraId="6EF23A7F">
      <w:pPr>
        <w:spacing w:line="580" w:lineRule="exact"/>
        <w:ind w:firstLine="640"/>
        <w:jc w:val="both"/>
      </w:pPr>
      <w:r>
        <w:rPr>
          <w:rFonts w:ascii="仿宋_GB2312" w:hAnsi="仿宋_GB2312" w:eastAsia="仿宋_GB2312"/>
          <w:b w:val="0"/>
          <w:sz w:val="32"/>
        </w:rPr>
        <w:t>本单位无其他需说明的事项。</w:t>
      </w:r>
    </w:p>
    <w:p w14:paraId="2867E10D">
      <w:r>
        <w:br w:type="page"/>
      </w:r>
    </w:p>
    <w:p w14:paraId="5827C5CD">
      <w:pPr>
        <w:spacing w:line="240" w:lineRule="auto"/>
        <w:jc w:val="center"/>
        <w:outlineLvl w:val="1"/>
      </w:pPr>
      <w:r>
        <w:rPr>
          <w:rFonts w:ascii="黑体" w:hAnsi="黑体" w:eastAsia="黑体"/>
          <w:sz w:val="32"/>
        </w:rPr>
        <w:t>第三部分 专业名词解释</w:t>
      </w:r>
    </w:p>
    <w:p w14:paraId="462E4AE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678D4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67FDE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9C37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1771A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C0134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CA8CE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C8BE7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5E174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62DB0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F9F417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85E0B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8F74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1FB04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50BCC9">
      <w:r>
        <w:br w:type="page"/>
      </w:r>
    </w:p>
    <w:p w14:paraId="758E7ED1">
      <w:pPr>
        <w:spacing w:line="240" w:lineRule="auto"/>
        <w:jc w:val="center"/>
        <w:outlineLvl w:val="1"/>
      </w:pPr>
      <w:r>
        <w:rPr>
          <w:rFonts w:ascii="黑体" w:hAnsi="黑体" w:eastAsia="黑体"/>
          <w:sz w:val="32"/>
        </w:rPr>
        <w:t>第四部分 部门决算报表（见附表）</w:t>
      </w:r>
    </w:p>
    <w:p w14:paraId="51D88CFD">
      <w:pPr>
        <w:spacing w:line="240" w:lineRule="auto"/>
        <w:ind w:firstLine="640"/>
        <w:jc w:val="both"/>
      </w:pPr>
      <w:r>
        <w:rPr>
          <w:rFonts w:ascii="仿宋_GB2312" w:hAnsi="仿宋_GB2312" w:eastAsia="仿宋_GB2312"/>
          <w:b w:val="0"/>
          <w:sz w:val="32"/>
        </w:rPr>
        <w:t>一、《收入支出决算总表》</w:t>
      </w:r>
    </w:p>
    <w:p w14:paraId="70CB95EB">
      <w:pPr>
        <w:spacing w:line="240" w:lineRule="auto"/>
        <w:ind w:firstLine="640"/>
        <w:jc w:val="both"/>
      </w:pPr>
      <w:r>
        <w:rPr>
          <w:rFonts w:ascii="仿宋_GB2312" w:hAnsi="仿宋_GB2312" w:eastAsia="仿宋_GB2312"/>
          <w:b w:val="0"/>
          <w:sz w:val="32"/>
        </w:rPr>
        <w:t>二、《收入决算表》</w:t>
      </w:r>
    </w:p>
    <w:p w14:paraId="69A7E957">
      <w:pPr>
        <w:spacing w:line="240" w:lineRule="auto"/>
        <w:ind w:firstLine="640"/>
        <w:jc w:val="both"/>
      </w:pPr>
      <w:r>
        <w:rPr>
          <w:rFonts w:ascii="仿宋_GB2312" w:hAnsi="仿宋_GB2312" w:eastAsia="仿宋_GB2312"/>
          <w:b w:val="0"/>
          <w:sz w:val="32"/>
        </w:rPr>
        <w:t>三、《支出决算表》</w:t>
      </w:r>
    </w:p>
    <w:p w14:paraId="05D586CD">
      <w:pPr>
        <w:spacing w:line="240" w:lineRule="auto"/>
        <w:ind w:firstLine="640"/>
        <w:jc w:val="both"/>
      </w:pPr>
      <w:r>
        <w:rPr>
          <w:rFonts w:ascii="仿宋_GB2312" w:hAnsi="仿宋_GB2312" w:eastAsia="仿宋_GB2312"/>
          <w:b w:val="0"/>
          <w:sz w:val="32"/>
        </w:rPr>
        <w:t>四、《财政拨款收入支出决算总表》</w:t>
      </w:r>
    </w:p>
    <w:p w14:paraId="5F9D02C2">
      <w:pPr>
        <w:spacing w:line="240" w:lineRule="auto"/>
        <w:ind w:firstLine="640"/>
        <w:jc w:val="both"/>
      </w:pPr>
      <w:r>
        <w:rPr>
          <w:rFonts w:ascii="仿宋_GB2312" w:hAnsi="仿宋_GB2312" w:eastAsia="仿宋_GB2312"/>
          <w:b w:val="0"/>
          <w:sz w:val="32"/>
        </w:rPr>
        <w:t>五、《一般公共预算财政拨款支出决算表》</w:t>
      </w:r>
    </w:p>
    <w:p w14:paraId="3962EB81">
      <w:pPr>
        <w:spacing w:line="240" w:lineRule="auto"/>
        <w:ind w:firstLine="640"/>
        <w:jc w:val="both"/>
      </w:pPr>
      <w:r>
        <w:rPr>
          <w:rFonts w:ascii="仿宋_GB2312" w:hAnsi="仿宋_GB2312" w:eastAsia="仿宋_GB2312"/>
          <w:b w:val="0"/>
          <w:sz w:val="32"/>
        </w:rPr>
        <w:t>六、《一般公共预算财政拨款基本支出决算表》</w:t>
      </w:r>
    </w:p>
    <w:p w14:paraId="7735D554">
      <w:pPr>
        <w:spacing w:line="240" w:lineRule="auto"/>
        <w:ind w:firstLine="640"/>
        <w:jc w:val="both"/>
      </w:pPr>
      <w:r>
        <w:rPr>
          <w:rFonts w:ascii="仿宋_GB2312" w:hAnsi="仿宋_GB2312" w:eastAsia="仿宋_GB2312"/>
          <w:b w:val="0"/>
          <w:sz w:val="32"/>
        </w:rPr>
        <w:t>七、《政府性基金预算财政拨款收入支出决算表》</w:t>
      </w:r>
    </w:p>
    <w:p w14:paraId="36F589A7">
      <w:pPr>
        <w:spacing w:line="240" w:lineRule="auto"/>
        <w:ind w:firstLine="640"/>
        <w:jc w:val="both"/>
      </w:pPr>
      <w:r>
        <w:rPr>
          <w:rFonts w:ascii="仿宋_GB2312" w:hAnsi="仿宋_GB2312" w:eastAsia="仿宋_GB2312"/>
          <w:b w:val="0"/>
          <w:sz w:val="32"/>
        </w:rPr>
        <w:t>八、《国有资本经营预算财政拨款收入支出决算表》</w:t>
      </w:r>
    </w:p>
    <w:p w14:paraId="17DD414F">
      <w:pPr>
        <w:spacing w:line="240" w:lineRule="auto"/>
        <w:ind w:firstLine="640"/>
        <w:jc w:val="both"/>
      </w:pPr>
      <w:r>
        <w:rPr>
          <w:rFonts w:ascii="仿宋_GB2312" w:hAnsi="仿宋_GB2312" w:eastAsia="仿宋_GB2312"/>
          <w:b w:val="0"/>
          <w:sz w:val="32"/>
        </w:rPr>
        <w:t>九、《财政拨款“三公”经费支出决算表》</w:t>
      </w:r>
    </w:p>
    <w:p w14:paraId="1D919796">
      <w:pPr>
        <w:spacing w:line="240" w:lineRule="auto"/>
        <w:ind w:firstLine="640"/>
        <w:jc w:val="both"/>
      </w:pPr>
    </w:p>
    <w:p w14:paraId="6949AE92">
      <w:pPr>
        <w:spacing w:line="240" w:lineRule="auto"/>
        <w:ind w:firstLine="640"/>
        <w:jc w:val="both"/>
      </w:pPr>
    </w:p>
    <w:p w14:paraId="0F9345C5">
      <w:pPr>
        <w:spacing w:line="240" w:lineRule="auto"/>
        <w:ind w:firstLine="640"/>
        <w:jc w:val="both"/>
      </w:pPr>
    </w:p>
    <w:p w14:paraId="539EC4F2">
      <w:pPr>
        <w:spacing w:line="240" w:lineRule="auto"/>
        <w:ind w:firstLine="640"/>
        <w:jc w:val="both"/>
      </w:pPr>
    </w:p>
    <w:p w14:paraId="740623A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15F529-AE70-486A-A5C8-A3CBD4D6CB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126A0C5-BD97-4093-947D-C3BEC5A998BF}"/>
  </w:font>
  <w:font w:name="仿宋_GB2312">
    <w:altName w:val="仿宋"/>
    <w:panose1 w:val="02010609030101010101"/>
    <w:charset w:val="86"/>
    <w:family w:val="modern"/>
    <w:pitch w:val="default"/>
    <w:sig w:usb0="00000000" w:usb1="00000000" w:usb2="00000000" w:usb3="00000000" w:csb0="00040000" w:csb1="00000000"/>
    <w:embedRegular r:id="rId3" w:fontKey="{A776ADC3-B953-4DD4-A55E-F6C1A664F2B5}"/>
  </w:font>
  <w:font w:name="楷体_GB2312">
    <w:altName w:val="楷体"/>
    <w:panose1 w:val="02010609030101010101"/>
    <w:charset w:val="86"/>
    <w:family w:val="auto"/>
    <w:pitch w:val="default"/>
    <w:sig w:usb0="00000000" w:usb1="00000000" w:usb2="00000000" w:usb3="00000000" w:csb0="00040000" w:csb1="00000000"/>
    <w:embedRegular r:id="rId4" w:fontKey="{741099D4-F8A8-46F5-8C46-9B105740D65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62617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3613AD"/>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5416</Words>
  <Characters>6070</Characters>
  <Lines>0</Lines>
  <Paragraphs>0</Paragraphs>
  <TotalTime>7</TotalTime>
  <ScaleCrop>false</ScaleCrop>
  <LinksUpToDate>false</LinksUpToDate>
  <CharactersWithSpaces>6078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2025-09-12T11:00:25Z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