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岳普湖县工商业联合会2024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49512D9">
      <w:r>
        <w:br w:type="page"/>
      </w:r>
    </w:p>
    <w:p w14:paraId="6BEAAE1F">
      <w:pPr>
        <w:spacing w:line="640" w:lineRule="exact"/>
        <w:jc w:val="center"/>
        <w:outlineLvl w:val="1"/>
      </w:pPr>
      <w:r>
        <w:rPr>
          <w:rFonts w:ascii="黑体" w:hAnsi="黑体" w:eastAsia="黑体"/>
          <w:sz w:val="32"/>
        </w:rPr>
        <w:t>第一部分 单位概况</w:t>
      </w:r>
    </w:p>
    <w:p w14:paraId="673795E1">
      <w:pPr>
        <w:spacing w:line="640" w:lineRule="exact"/>
        <w:ind w:firstLine="640"/>
        <w:jc w:val="both"/>
        <w:outlineLvl w:val="2"/>
      </w:pPr>
      <w:r>
        <w:rPr>
          <w:rFonts w:ascii="黑体" w:hAnsi="黑体" w:eastAsia="黑体"/>
          <w:sz w:val="32"/>
        </w:rPr>
        <w:t>一、主要职能</w:t>
      </w:r>
    </w:p>
    <w:p w14:paraId="3E6D50AF">
      <w:pPr>
        <w:spacing w:line="580" w:lineRule="exact"/>
        <w:ind w:firstLine="640"/>
        <w:jc w:val="both"/>
      </w:pPr>
      <w:r>
        <w:rPr>
          <w:rFonts w:ascii="仿宋_GB2312" w:hAnsi="仿宋_GB2312" w:eastAsia="仿宋_GB2312"/>
          <w:sz w:val="32"/>
        </w:rPr>
        <w:t>组织起草安全生产规章制度，拟定安全生产计划和规定,指导协调全县安全生产工作,分析和预测全县安全生产形势,发布全县安全生产信息,协调解决安全生产中的有关问题。承担县安全生产综合监管责任,行使综合监督管理职权,指导协调、监督检查县有关部门和各乡镇人民政府安全生产工作,组织县安全生产目标管理考核并定期通报安全生产控制指标执行情况。监督检查工矿商贸生产经营单位贯彻执行安全生产法律法规情况及安全生产条件、建设项目安全生产“三同时”和有关设备(特种设备除外)材料、劳动防护用品的安全生产管理工作,拟定并监督实施工矿商贸行业安全生产规章、标准和规范。岳普湖县工商业联合会主要职能是为民营企业提供服务，积极引导民营企业履行社会责任，坚持正确的政治方向，引导民营企业有序参与政治生活和社会事务。</w:t>
      </w:r>
    </w:p>
    <w:p w14:paraId="6577C242">
      <w:pPr>
        <w:spacing w:line="640" w:lineRule="exact"/>
        <w:ind w:firstLine="640"/>
        <w:jc w:val="both"/>
        <w:outlineLvl w:val="2"/>
      </w:pPr>
      <w:r>
        <w:rPr>
          <w:rFonts w:ascii="黑体" w:hAnsi="黑体" w:eastAsia="黑体"/>
          <w:sz w:val="32"/>
        </w:rPr>
        <w:t>二、机构设置及人员情况</w:t>
      </w:r>
    </w:p>
    <w:p w14:paraId="089EDFD4">
      <w:pPr>
        <w:spacing w:line="580" w:lineRule="exact"/>
        <w:ind w:firstLine="640"/>
        <w:jc w:val="both"/>
      </w:pPr>
      <w:r>
        <w:rPr>
          <w:rFonts w:ascii="仿宋_GB2312" w:hAnsi="仿宋_GB2312" w:eastAsia="仿宋_GB2312"/>
          <w:sz w:val="32"/>
        </w:rPr>
        <w:t>岳普湖县工商业联合会2024年度，实有人数7人，其中：在职人员3人，减少1人；离休人员0人，增加0人；退休人员4人,增加0人。</w:t>
      </w:r>
    </w:p>
    <w:p w14:paraId="26C866A0">
      <w:pPr>
        <w:spacing w:line="580" w:lineRule="exact"/>
        <w:ind w:firstLine="640"/>
        <w:jc w:val="both"/>
      </w:pPr>
      <w:r>
        <w:rPr>
          <w:rFonts w:ascii="仿宋_GB2312" w:hAnsi="仿宋_GB2312" w:eastAsia="仿宋_GB2312"/>
          <w:sz w:val="32"/>
        </w:rPr>
        <w:t>岳普湖县工商业联合会无下属预算单位，下设1个科室，分别是：办公室。</w:t>
      </w:r>
    </w:p>
    <w:p w14:paraId="493F31E9">
      <w:r>
        <w:br w:type="page"/>
      </w:r>
    </w:p>
    <w:p w14:paraId="52521268">
      <w:pPr>
        <w:spacing w:line="240" w:lineRule="auto"/>
        <w:jc w:val="center"/>
        <w:outlineLvl w:val="1"/>
      </w:pPr>
      <w:r>
        <w:rPr>
          <w:rFonts w:ascii="黑体" w:hAnsi="黑体" w:eastAsia="黑体"/>
          <w:sz w:val="32"/>
        </w:rPr>
        <w:t>第二部分 部门决算情况说明</w:t>
      </w:r>
    </w:p>
    <w:p w14:paraId="71D6A8F5">
      <w:pPr>
        <w:spacing w:line="640" w:lineRule="exact"/>
        <w:ind w:firstLine="640"/>
        <w:jc w:val="both"/>
        <w:outlineLvl w:val="2"/>
      </w:pPr>
      <w:r>
        <w:rPr>
          <w:rFonts w:ascii="黑体" w:hAnsi="黑体" w:eastAsia="黑体"/>
          <w:sz w:val="32"/>
        </w:rPr>
        <w:t>一、收入支出决算总体情况说明</w:t>
      </w:r>
    </w:p>
    <w:p w14:paraId="4E817AEC">
      <w:pPr>
        <w:spacing w:line="580" w:lineRule="exact"/>
        <w:ind w:firstLine="640"/>
        <w:jc w:val="both"/>
      </w:pPr>
      <w:r>
        <w:rPr>
          <w:rFonts w:ascii="仿宋_GB2312" w:hAnsi="仿宋_GB2312" w:eastAsia="仿宋_GB2312"/>
          <w:b/>
          <w:sz w:val="32"/>
        </w:rPr>
        <w:t>2024年度收入总计70.50万元，</w:t>
      </w:r>
      <w:r>
        <w:rPr>
          <w:rFonts w:ascii="仿宋_GB2312" w:hAnsi="仿宋_GB2312" w:eastAsia="仿宋_GB2312"/>
          <w:b w:val="0"/>
          <w:sz w:val="32"/>
        </w:rPr>
        <w:t>其中：本年收入合计70.50万元，使用非财政拨款结余（含专用结余）0.00万元，年初结转和结余0.00万元。</w:t>
      </w:r>
    </w:p>
    <w:p w14:paraId="08DECDC1">
      <w:pPr>
        <w:spacing w:line="580" w:lineRule="exact"/>
        <w:ind w:firstLine="640"/>
        <w:jc w:val="both"/>
      </w:pPr>
      <w:r>
        <w:rPr>
          <w:rFonts w:ascii="仿宋_GB2312" w:hAnsi="仿宋_GB2312" w:eastAsia="仿宋_GB2312"/>
          <w:b/>
          <w:sz w:val="32"/>
        </w:rPr>
        <w:t>2024年度支出总计70.50万元，</w:t>
      </w:r>
      <w:r>
        <w:rPr>
          <w:rFonts w:ascii="仿宋_GB2312" w:hAnsi="仿宋_GB2312" w:eastAsia="仿宋_GB2312"/>
          <w:b w:val="0"/>
          <w:sz w:val="32"/>
        </w:rPr>
        <w:t>其中：本年支出合计70.50万元，结余分配0.00万元，年末结转和结余0.00万元。</w:t>
      </w:r>
    </w:p>
    <w:p w14:paraId="424DB445">
      <w:pPr>
        <w:spacing w:line="580" w:lineRule="exact"/>
        <w:ind w:firstLine="640"/>
        <w:jc w:val="both"/>
      </w:pPr>
      <w:r>
        <w:rPr>
          <w:rFonts w:ascii="仿宋_GB2312" w:hAnsi="仿宋_GB2312" w:eastAsia="仿宋_GB2312"/>
          <w:b w:val="0"/>
          <w:sz w:val="32"/>
        </w:rPr>
        <w:t>收入支出总体与上年相比，减少6.62万元，下降8.58%，主要原因是：本年在职人员减少，相关人员经费较上年减少。</w:t>
      </w:r>
    </w:p>
    <w:p w14:paraId="737F41F8">
      <w:pPr>
        <w:spacing w:line="640" w:lineRule="exact"/>
        <w:ind w:firstLine="640"/>
        <w:jc w:val="both"/>
        <w:outlineLvl w:val="2"/>
      </w:pPr>
      <w:r>
        <w:rPr>
          <w:rFonts w:ascii="黑体" w:hAnsi="黑体" w:eastAsia="黑体"/>
          <w:sz w:val="32"/>
        </w:rPr>
        <w:t>二、收入决算情况说明</w:t>
      </w:r>
    </w:p>
    <w:p w14:paraId="50AEB792">
      <w:pPr>
        <w:spacing w:line="580" w:lineRule="exact"/>
        <w:ind w:firstLine="640"/>
        <w:jc w:val="both"/>
      </w:pPr>
      <w:r>
        <w:rPr>
          <w:rFonts w:ascii="仿宋_GB2312" w:hAnsi="仿宋_GB2312" w:eastAsia="仿宋_GB2312"/>
          <w:b/>
          <w:sz w:val="32"/>
        </w:rPr>
        <w:t>本年收入70.50万元，</w:t>
      </w:r>
      <w:r>
        <w:rPr>
          <w:rFonts w:ascii="仿宋_GB2312" w:hAnsi="仿宋_GB2312" w:eastAsia="仿宋_GB2312"/>
          <w:b w:val="0"/>
          <w:sz w:val="32"/>
        </w:rPr>
        <w:t>其中：财政拨款收入70.50万元，占100.00%；上级补助收入0.00万元，占0.00%；事业收入0.00万元，占0.00%；经营收入0.00万元，占0.00%；附属单位上缴收入0.00万元，占0.00%；其他收入0.00万元，占0.00%。</w:t>
      </w:r>
    </w:p>
    <w:p w14:paraId="6E6E24B9">
      <w:pPr>
        <w:spacing w:line="640" w:lineRule="exact"/>
        <w:ind w:firstLine="640"/>
        <w:jc w:val="both"/>
        <w:outlineLvl w:val="2"/>
      </w:pPr>
      <w:r>
        <w:rPr>
          <w:rFonts w:ascii="黑体" w:hAnsi="黑体" w:eastAsia="黑体"/>
          <w:sz w:val="32"/>
        </w:rPr>
        <w:t>三、支出决算情况说明</w:t>
      </w:r>
    </w:p>
    <w:p w14:paraId="7945E62A">
      <w:pPr>
        <w:spacing w:line="580" w:lineRule="exact"/>
        <w:ind w:firstLine="640"/>
        <w:jc w:val="both"/>
      </w:pPr>
      <w:r>
        <w:rPr>
          <w:rFonts w:ascii="仿宋_GB2312" w:hAnsi="仿宋_GB2312" w:eastAsia="仿宋_GB2312"/>
          <w:b/>
          <w:sz w:val="32"/>
        </w:rPr>
        <w:t>本年支出70.50万元，</w:t>
      </w:r>
      <w:r>
        <w:rPr>
          <w:rFonts w:ascii="仿宋_GB2312" w:hAnsi="仿宋_GB2312" w:eastAsia="仿宋_GB2312"/>
          <w:b w:val="0"/>
          <w:sz w:val="32"/>
        </w:rPr>
        <w:t>其中：基本支出70.50万元，占100.00%；项目支出0.00万元，占0.00%；上缴上级支出0.00万元，占0.00%；经营支出0.00万元，占0.00%；对附属单位补助支出0.00万元，占0.00%。</w:t>
      </w:r>
    </w:p>
    <w:p w14:paraId="711F1621">
      <w:pPr>
        <w:spacing w:line="640" w:lineRule="exact"/>
        <w:ind w:firstLine="640"/>
        <w:jc w:val="both"/>
        <w:outlineLvl w:val="2"/>
      </w:pPr>
      <w:r>
        <w:rPr>
          <w:rFonts w:ascii="黑体" w:hAnsi="黑体" w:eastAsia="黑体"/>
          <w:sz w:val="32"/>
        </w:rPr>
        <w:t>四、财政拨款收入支出决算总体情况说明</w:t>
      </w:r>
    </w:p>
    <w:p w14:paraId="7E0BD47B">
      <w:pPr>
        <w:spacing w:line="580" w:lineRule="exact"/>
        <w:ind w:firstLine="640"/>
        <w:jc w:val="both"/>
      </w:pPr>
      <w:r>
        <w:rPr>
          <w:rFonts w:ascii="仿宋_GB2312" w:hAnsi="仿宋_GB2312" w:eastAsia="仿宋_GB2312"/>
          <w:b/>
          <w:sz w:val="32"/>
        </w:rPr>
        <w:t>2024年度财政拨款收入总计70.50万元，</w:t>
      </w:r>
      <w:r>
        <w:rPr>
          <w:rFonts w:ascii="仿宋_GB2312" w:hAnsi="仿宋_GB2312" w:eastAsia="仿宋_GB2312"/>
          <w:b w:val="0"/>
          <w:sz w:val="32"/>
        </w:rPr>
        <w:t>其中：年初财政拨款结转和结余0.00万元，本年财政拨款收入70.50万元。</w:t>
      </w:r>
      <w:r>
        <w:rPr>
          <w:rFonts w:ascii="仿宋_GB2312" w:hAnsi="仿宋_GB2312" w:eastAsia="仿宋_GB2312"/>
          <w:b/>
          <w:sz w:val="32"/>
        </w:rPr>
        <w:t>财政拨款支出总计70.50万元，</w:t>
      </w:r>
      <w:r>
        <w:rPr>
          <w:rFonts w:ascii="仿宋_GB2312" w:hAnsi="仿宋_GB2312" w:eastAsia="仿宋_GB2312"/>
          <w:b w:val="0"/>
          <w:sz w:val="32"/>
        </w:rPr>
        <w:t>其中：年末财政拨款结转和结余0.00万元，本年财政拨款支出70.50万元。</w:t>
      </w:r>
    </w:p>
    <w:p w14:paraId="6EA446A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减少6.62万元，下降8.58%，主要原因是：本年在职人员减少，相关人员经费较上年减少。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年初预算数78.49万元，决算数70.50万元，预决算差异率-10.18%，主要原因是：本年在职人员减少，年中调减人员经费，导致预决算存在差异。</w:t>
      </w:r>
    </w:p>
    <w:p w14:paraId="7A0C3F2A">
      <w:pPr>
        <w:spacing w:line="640" w:lineRule="exact"/>
        <w:ind w:firstLine="640"/>
        <w:jc w:val="both"/>
        <w:outlineLvl w:val="2"/>
      </w:pPr>
      <w:r>
        <w:rPr>
          <w:rFonts w:ascii="黑体" w:hAnsi="黑体" w:eastAsia="黑体"/>
          <w:sz w:val="32"/>
        </w:rPr>
        <w:t>五、一般公共预算财政拨款支出决算情况说明</w:t>
      </w:r>
    </w:p>
    <w:p w14:paraId="3B718121">
      <w:pPr>
        <w:spacing w:line="640" w:lineRule="exact"/>
        <w:ind w:firstLine="640"/>
        <w:jc w:val="both"/>
        <w:outlineLvl w:val="3"/>
      </w:pPr>
      <w:r>
        <w:rPr>
          <w:rFonts w:ascii="楷体_GB2312" w:hAnsi="楷体_GB2312" w:eastAsia="楷体_GB2312"/>
          <w:b/>
          <w:sz w:val="32"/>
        </w:rPr>
        <w:t>（一）一般公共预算财政拨款支出决算总体情况</w:t>
      </w:r>
    </w:p>
    <w:p w14:paraId="061B6DE2">
      <w:pPr>
        <w:spacing w:line="580" w:lineRule="exact"/>
        <w:ind w:firstLine="640"/>
        <w:jc w:val="both"/>
      </w:pPr>
      <w:r>
        <w:rPr>
          <w:rFonts w:ascii="仿宋_GB2312" w:hAnsi="仿宋_GB2312" w:eastAsia="仿宋_GB2312"/>
          <w:b/>
          <w:sz w:val="32"/>
        </w:rPr>
        <w:t>2024年度一般公共预算财政拨款支出70.50万元，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减少6.62万元，下降8.58%，主要原因是：本年在职人员减少，相关人员经费较上年减少。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年初预算数78.49万元，决算数70.50万元，预决算差异率-10.18%，主要原因是：本年在职人员减少，年中调减人员经费，导致预决算存在差异。</w:t>
      </w:r>
    </w:p>
    <w:p w14:paraId="7958B64C">
      <w:pPr>
        <w:spacing w:line="640" w:lineRule="exact"/>
        <w:ind w:firstLine="640"/>
        <w:jc w:val="both"/>
        <w:outlineLvl w:val="3"/>
      </w:pPr>
      <w:r>
        <w:rPr>
          <w:rFonts w:ascii="楷体_GB2312" w:hAnsi="楷体_GB2312" w:eastAsia="楷体_GB2312"/>
          <w:b/>
          <w:sz w:val="32"/>
        </w:rPr>
        <w:t>（二）一般公共预算财政拨款支出决算结构情况</w:t>
      </w:r>
    </w:p>
    <w:p w14:paraId="24851C46">
      <w:pPr>
        <w:spacing w:line="580" w:lineRule="exact"/>
        <w:ind w:firstLine="640"/>
        <w:jc w:val="both"/>
      </w:pPr>
      <w:r>
        <w:rPr>
          <w:rFonts w:ascii="仿宋_GB2312" w:hAnsi="仿宋_GB2312" w:eastAsia="仿宋_GB2312"/>
          <w:b w:val="0"/>
          <w:sz w:val="32"/>
        </w:rPr>
        <w:t>1.一般公共服务支出(类)49.71万元,占70.51%。</w:t>
      </w:r>
    </w:p>
    <w:p w14:paraId="6E9350AD">
      <w:pPr>
        <w:spacing w:line="580" w:lineRule="exact"/>
        <w:ind w:firstLine="640"/>
        <w:jc w:val="both"/>
      </w:pPr>
      <w:r>
        <w:rPr>
          <w:rFonts w:ascii="仿宋_GB2312" w:hAnsi="仿宋_GB2312" w:eastAsia="仿宋_GB2312"/>
          <w:b w:val="0"/>
          <w:sz w:val="32"/>
        </w:rPr>
        <w:t>2.社会保障和就业支出(类)12.02万元,占17.05%。</w:t>
      </w:r>
    </w:p>
    <w:p w14:paraId="717BC650">
      <w:pPr>
        <w:spacing w:line="580" w:lineRule="exact"/>
        <w:ind w:firstLine="640"/>
        <w:jc w:val="both"/>
      </w:pPr>
      <w:r>
        <w:rPr>
          <w:rFonts w:ascii="仿宋_GB2312" w:hAnsi="仿宋_GB2312" w:eastAsia="仿宋_GB2312"/>
          <w:b w:val="0"/>
          <w:sz w:val="32"/>
        </w:rPr>
        <w:t>3.卫生健康支出(类)3.44万元,占4.88%。</w:t>
      </w:r>
    </w:p>
    <w:p w14:paraId="22F4D33D">
      <w:pPr>
        <w:spacing w:line="580" w:lineRule="exact"/>
        <w:ind w:firstLine="640"/>
        <w:jc w:val="both"/>
      </w:pPr>
      <w:r>
        <w:rPr>
          <w:rFonts w:ascii="仿宋_GB2312" w:hAnsi="仿宋_GB2312" w:eastAsia="仿宋_GB2312"/>
          <w:b w:val="0"/>
          <w:sz w:val="32"/>
        </w:rPr>
        <w:t>4.住房保障支出(类)5.33万元,占7.56%。</w:t>
      </w:r>
    </w:p>
    <w:p w14:paraId="417D5552">
      <w:pPr>
        <w:spacing w:line="640" w:lineRule="exact"/>
        <w:ind w:firstLine="640"/>
        <w:jc w:val="both"/>
        <w:outlineLvl w:val="3"/>
      </w:pPr>
      <w:r>
        <w:rPr>
          <w:rFonts w:ascii="楷体_GB2312" w:hAnsi="楷体_GB2312" w:eastAsia="楷体_GB2312"/>
          <w:b/>
          <w:sz w:val="32"/>
        </w:rPr>
        <w:t>（三）一般公共预算财政拨款支出决算具体情况</w:t>
      </w:r>
    </w:p>
    <w:p w14:paraId="5D5A8EB5">
      <w:pPr>
        <w:spacing w:line="580" w:lineRule="exact"/>
        <w:ind w:firstLine="640"/>
        <w:jc w:val="both"/>
      </w:pPr>
      <w:r>
        <w:rPr>
          <w:rFonts w:ascii="仿宋_GB2312" w:hAnsi="仿宋_GB2312" w:eastAsia="仿宋_GB2312"/>
          <w:b w:val="0"/>
          <w:sz w:val="32"/>
        </w:rPr>
        <w:t>1.一般公共服务支出(类)民主党派及工商联事务(款)行政运行(项):支出决算数为49.71万元，比上年决算减少4.94万元，下降9.04%,主要原因是：本年在职人员减少，相应人员经费较上年减少。</w:t>
      </w:r>
    </w:p>
    <w:p w14:paraId="0AE67A04">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2.社会保障和就业支出(类)行政事业单位养老支出(款)行政单位离退休(项):支出决算数为5.45万元，比上年决算增加0.84万元，增长18.22%,主要原因是：本年增加退休人员基础绩效奖，退休费支出增加。</w:t>
      </w:r>
    </w:p>
    <w:p w14:paraId="6D541503">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6.57万元，比上年决算减少0.08万元，下降1.20%,主要原因是：本年在职人员减少，单位基本养老保险缴费较上年减少。</w:t>
      </w:r>
    </w:p>
    <w:p w14:paraId="7AC44F62">
      <w:pPr>
        <w:spacing w:line="580" w:lineRule="exact"/>
        <w:ind w:firstLine="640"/>
        <w:jc w:val="both"/>
      </w:pPr>
      <w:r>
        <w:rPr>
          <w:rFonts w:ascii="仿宋_GB2312" w:hAnsi="仿宋_GB2312" w:eastAsia="仿宋_GB2312"/>
          <w:b w:val="0"/>
          <w:sz w:val="32"/>
        </w:rPr>
        <w:t>4.卫生健康支出(类)行政事业单位医疗(款)行政单位医疗(项):支出决算数为2.79万元，比上年决算减少1.78万元，下降38.95%,主要原因是：本年在职人员减少，行政单位医疗支出较上年减少。</w:t>
      </w:r>
    </w:p>
    <w:p w14:paraId="413F62E7">
      <w:pPr>
        <w:spacing w:line="580" w:lineRule="exact"/>
        <w:ind w:firstLine="640"/>
        <w:jc w:val="both"/>
      </w:pPr>
      <w:r>
        <w:rPr>
          <w:rFonts w:ascii="仿宋_GB2312" w:hAnsi="仿宋_GB2312" w:eastAsia="仿宋_GB2312"/>
          <w:b w:val="0"/>
          <w:sz w:val="32"/>
        </w:rPr>
        <w:t>5.卫生健康支出(类)行政事业单位医疗(款)公务员医疗补助(项):支出决算数为0.64万元，比上年决算减少0.74万元，下降53.62%,主要原因是：本年在职人员减少，公务员医疗补助较上年减少。</w:t>
      </w:r>
    </w:p>
    <w:p w14:paraId="01B49B03">
      <w:pPr>
        <w:spacing w:line="580" w:lineRule="exact"/>
        <w:ind w:firstLine="640"/>
        <w:jc w:val="both"/>
      </w:pPr>
      <w:r>
        <w:rPr>
          <w:rFonts w:ascii="仿宋_GB2312" w:hAnsi="仿宋_GB2312" w:eastAsia="仿宋_GB2312"/>
          <w:b w:val="0"/>
          <w:sz w:val="32"/>
        </w:rPr>
        <w:t>6.住房保障支出(类)住房改革支出(款)住房公积金(项):支出决算数为5.33万元，比上年决算增加0.08万元，增长1.52%,主要原因是：本年在职人员工资基数调增，公积金缴费基数上涨，相应支出增加。</w:t>
      </w:r>
    </w:p>
    <w:p w14:paraId="526E8518">
      <w:pPr>
        <w:spacing w:line="640" w:lineRule="exact"/>
        <w:ind w:firstLine="640"/>
        <w:jc w:val="both"/>
        <w:outlineLvl w:val="2"/>
      </w:pPr>
      <w:r>
        <w:rPr>
          <w:rFonts w:ascii="黑体" w:hAnsi="黑体" w:eastAsia="黑体"/>
          <w:sz w:val="32"/>
        </w:rPr>
        <w:t>六、一般公共预算财政拨款基本支出决算情况说明</w:t>
      </w:r>
    </w:p>
    <w:p w14:paraId="692EBEBC">
      <w:pPr>
        <w:spacing w:line="580" w:lineRule="exact"/>
        <w:ind w:firstLine="640"/>
        <w:jc w:val="both"/>
      </w:pPr>
      <w:r>
        <w:rPr>
          <w:rFonts w:ascii="仿宋_GB2312" w:hAnsi="仿宋_GB2312" w:eastAsia="仿宋_GB2312"/>
          <w:b w:val="0"/>
          <w:sz w:val="32"/>
        </w:rPr>
        <w:t>2024年度一般公共预算财政拨款基本支出70.50万元，其中：</w:t>
      </w:r>
      <w:r>
        <w:rPr>
          <w:rFonts w:ascii="仿宋_GB2312" w:hAnsi="仿宋_GB2312" w:eastAsia="仿宋_GB2312"/>
          <w:b/>
          <w:sz w:val="32"/>
        </w:rPr>
        <w:t>人员经费69.88万元，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w:t>
      </w:r>
    </w:p>
    <w:p w14:paraId="703169E3">
      <w:pPr>
        <w:spacing w:line="580" w:lineRule="exact"/>
        <w:ind w:firstLine="640"/>
        <w:jc w:val="both"/>
      </w:pPr>
      <w:r>
        <w:rPr>
          <w:rFonts w:ascii="仿宋_GB2312" w:hAnsi="仿宋_GB2312" w:eastAsia="仿宋_GB2312"/>
          <w:b/>
          <w:sz w:val="32"/>
        </w:rPr>
        <w:t>公用经费0.62万元，</w:t>
      </w:r>
      <w:r>
        <w:rPr>
          <w:rFonts w:ascii="仿宋_GB2312" w:hAnsi="仿宋_GB2312" w:eastAsia="仿宋_GB2312"/>
          <w:b w:val="0"/>
          <w:sz w:val="32"/>
        </w:rPr>
        <w:t>包括：办公费、水费、物业管理费、差旅费。</w:t>
      </w:r>
    </w:p>
    <w:p w14:paraId="27F9B42F">
      <w:pPr>
        <w:spacing w:line="640" w:lineRule="exact"/>
        <w:ind w:firstLine="640"/>
        <w:jc w:val="both"/>
        <w:outlineLvl w:val="2"/>
      </w:pPr>
      <w:r>
        <w:rPr>
          <w:rFonts w:ascii="黑体" w:hAnsi="黑体" w:eastAsia="黑体"/>
          <w:sz w:val="32"/>
        </w:rPr>
        <w:t>七、政府性基金预算财政拨款收入支出决算情况说明</w:t>
      </w:r>
    </w:p>
    <w:p w14:paraId="6C5404D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CD47005">
      <w:pPr>
        <w:spacing w:line="640" w:lineRule="exact"/>
        <w:ind w:firstLine="640"/>
        <w:jc w:val="both"/>
        <w:outlineLvl w:val="2"/>
      </w:pPr>
      <w:r>
        <w:rPr>
          <w:rFonts w:ascii="黑体" w:hAnsi="黑体" w:eastAsia="黑体"/>
          <w:sz w:val="32"/>
        </w:rPr>
        <w:t>八、国有资本经营预算财政拨款收入支出决算情况说明</w:t>
      </w:r>
    </w:p>
    <w:p w14:paraId="08667D5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926A9A9">
      <w:pPr>
        <w:spacing w:line="640" w:lineRule="exact"/>
        <w:ind w:firstLine="640"/>
        <w:jc w:val="both"/>
        <w:outlineLvl w:val="2"/>
      </w:pPr>
      <w:r>
        <w:rPr>
          <w:rFonts w:ascii="黑体" w:hAnsi="黑体" w:eastAsia="黑体"/>
          <w:sz w:val="32"/>
        </w:rPr>
        <w:t>九、财政拨款“三公”经费支出决算情况说明</w:t>
      </w:r>
    </w:p>
    <w:p w14:paraId="11CA081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21E1B7D">
      <w:pPr>
        <w:spacing w:line="580" w:lineRule="exact"/>
        <w:ind w:firstLine="640"/>
        <w:jc w:val="both"/>
      </w:pPr>
      <w:r>
        <w:rPr>
          <w:rFonts w:ascii="仿宋_GB2312" w:hAnsi="仿宋_GB2312" w:eastAsia="仿宋_GB2312"/>
          <w:b/>
          <w:sz w:val="32"/>
        </w:rPr>
        <w:t>具体情况如下：</w:t>
      </w:r>
    </w:p>
    <w:p w14:paraId="3AFAC46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88F0D6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E1BC4A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8F3208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1F2E0AC">
      <w:pPr>
        <w:spacing w:line="640" w:lineRule="exact"/>
        <w:ind w:firstLine="640"/>
        <w:jc w:val="both"/>
        <w:outlineLvl w:val="2"/>
      </w:pPr>
      <w:r>
        <w:rPr>
          <w:rFonts w:ascii="黑体" w:hAnsi="黑体" w:eastAsia="黑体"/>
          <w:sz w:val="32"/>
        </w:rPr>
        <w:t>十、其他重要事项的情况说明</w:t>
      </w:r>
    </w:p>
    <w:p w14:paraId="7BB02ECA">
      <w:pPr>
        <w:spacing w:line="640" w:lineRule="exact"/>
        <w:ind w:firstLine="640"/>
        <w:jc w:val="both"/>
        <w:outlineLvl w:val="3"/>
      </w:pPr>
      <w:r>
        <w:rPr>
          <w:rFonts w:ascii="楷体_GB2312" w:hAnsi="楷体_GB2312" w:eastAsia="楷体_GB2312"/>
          <w:b/>
          <w:sz w:val="32"/>
        </w:rPr>
        <w:t>（一）机关运行经费及公用经费支出情况</w:t>
      </w:r>
    </w:p>
    <w:p w14:paraId="4409484E">
      <w:pPr>
        <w:spacing w:line="580" w:lineRule="exact"/>
        <w:ind w:firstLine="640"/>
        <w:jc w:val="both"/>
      </w:pPr>
      <w:r>
        <w:rPr>
          <w:rFonts w:ascii="仿宋_GB2312" w:hAnsi="仿宋_GB2312" w:eastAsia="仿宋_GB2312"/>
          <w:b w:val="0"/>
          <w:sz w:val="32"/>
        </w:rPr>
        <w:t>2024年度岳普湖县工商业联合会（行政单位和参照公务员法管理事业单位）机关运行经费支出0.62万元，比上年增加0.45万元，增长264.71%，主要原因是：本年办公经费、差旅费增加，导致机关运行经费较上年增加。</w:t>
      </w:r>
    </w:p>
    <w:p w14:paraId="2AEDEFEC">
      <w:pPr>
        <w:spacing w:line="640" w:lineRule="exact"/>
        <w:ind w:firstLine="640"/>
        <w:jc w:val="both"/>
        <w:outlineLvl w:val="3"/>
      </w:pPr>
      <w:r>
        <w:rPr>
          <w:rFonts w:ascii="楷体_GB2312" w:hAnsi="楷体_GB2312" w:eastAsia="楷体_GB2312"/>
          <w:b/>
          <w:sz w:val="32"/>
        </w:rPr>
        <w:t>（二）政府采购情况</w:t>
      </w:r>
    </w:p>
    <w:p w14:paraId="43E7BF5E">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23C4AC2D">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4C718A04">
      <w:pPr>
        <w:spacing w:line="640" w:lineRule="exact"/>
        <w:ind w:firstLine="640"/>
        <w:jc w:val="both"/>
        <w:outlineLvl w:val="3"/>
      </w:pPr>
      <w:bookmarkStart w:id="0" w:name="_GoBack"/>
      <w:bookmarkEnd w:id="0"/>
      <w:r>
        <w:rPr>
          <w:rFonts w:ascii="楷体_GB2312" w:hAnsi="楷体_GB2312" w:eastAsia="楷体_GB2312"/>
          <w:b/>
          <w:sz w:val="32"/>
        </w:rPr>
        <w:t>（三）国有资产占用情况说明</w:t>
      </w:r>
    </w:p>
    <w:p w14:paraId="443A326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01C45AF">
      <w:pPr>
        <w:spacing w:line="640" w:lineRule="exact"/>
        <w:ind w:firstLine="640"/>
        <w:jc w:val="both"/>
        <w:outlineLvl w:val="2"/>
      </w:pPr>
      <w:r>
        <w:rPr>
          <w:rFonts w:ascii="黑体" w:hAnsi="黑体" w:eastAsia="黑体"/>
          <w:sz w:val="32"/>
        </w:rPr>
        <w:t>十一、预算绩效的情况说明</w:t>
      </w:r>
    </w:p>
    <w:p w14:paraId="0B5D455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70.50万元，实际执行总额70.50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无预算绩效项目自评表。具体附整体支出绩效自评表。</w:t>
      </w:r>
    </w:p>
    <w:p w14:paraId="5505C43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3A7A533">
        <w:tblPrEx>
          <w:tblCellMar>
            <w:top w:w="0" w:type="dxa"/>
            <w:left w:w="108" w:type="dxa"/>
            <w:bottom w:w="0" w:type="dxa"/>
            <w:right w:w="108" w:type="dxa"/>
          </w:tblCellMar>
        </w:tblPrEx>
        <w:tc>
          <w:tcPr>
            <w:tcW w:w="8847" w:type="dxa"/>
            <w:gridSpan w:val="9"/>
            <w:vAlign w:val="center"/>
          </w:tcPr>
          <w:p w14:paraId="7DA9C001">
            <w:pPr>
              <w:jc w:val="center"/>
            </w:pPr>
            <w:r>
              <w:rPr>
                <w:rFonts w:ascii="宋体" w:hAnsi="宋体" w:eastAsia="宋体"/>
                <w:sz w:val="24"/>
              </w:rPr>
              <w:t>单位整体支出绩效自评表</w:t>
            </w:r>
          </w:p>
        </w:tc>
      </w:tr>
      <w:tr w14:paraId="6B1CEF72">
        <w:tblPrEx>
          <w:tblCellMar>
            <w:top w:w="0" w:type="dxa"/>
            <w:left w:w="108" w:type="dxa"/>
            <w:bottom w:w="0" w:type="dxa"/>
            <w:right w:w="108" w:type="dxa"/>
          </w:tblCellMar>
        </w:tblPrEx>
        <w:tc>
          <w:tcPr>
            <w:tcW w:w="8847" w:type="dxa"/>
            <w:gridSpan w:val="9"/>
            <w:vAlign w:val="center"/>
          </w:tcPr>
          <w:p w14:paraId="2FBA5DE6">
            <w:pPr>
              <w:jc w:val="center"/>
            </w:pPr>
            <w:r>
              <w:rPr>
                <w:rFonts w:ascii="宋体" w:hAnsi="宋体" w:eastAsia="宋体"/>
                <w:sz w:val="24"/>
              </w:rPr>
              <w:t>（2024年度）</w:t>
            </w:r>
          </w:p>
        </w:tc>
      </w:tr>
      <w:tr w14:paraId="591F903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2F94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8E59D21">
            <w:pPr>
              <w:jc w:val="center"/>
            </w:pPr>
            <w:r>
              <w:rPr>
                <w:rFonts w:ascii="宋体" w:hAnsi="宋体" w:eastAsia="宋体"/>
                <w:sz w:val="16"/>
              </w:rPr>
              <w:t>岳普湖县工商业联合会</w:t>
            </w:r>
          </w:p>
        </w:tc>
      </w:tr>
      <w:tr w14:paraId="4EE7FEB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53C4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1635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3989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5025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CB26C">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97F8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3D64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747EF">
            <w:pPr>
              <w:jc w:val="center"/>
            </w:pPr>
            <w:r>
              <w:rPr>
                <w:rFonts w:ascii="宋体" w:hAnsi="宋体" w:eastAsia="宋体"/>
                <w:sz w:val="16"/>
              </w:rPr>
              <w:t>得分</w:t>
            </w:r>
          </w:p>
        </w:tc>
      </w:tr>
      <w:tr w14:paraId="16901D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4127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0840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9FC74">
            <w:pPr>
              <w:jc w:val="center"/>
            </w:pPr>
            <w:r>
              <w:rPr>
                <w:rFonts w:ascii="宋体" w:hAnsi="宋体" w:eastAsia="宋体"/>
                <w:sz w:val="16"/>
              </w:rPr>
              <w:t>78.49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956B7">
            <w:pPr>
              <w:jc w:val="center"/>
            </w:pPr>
            <w:r>
              <w:rPr>
                <w:rFonts w:ascii="宋体" w:hAnsi="宋体" w:eastAsia="宋体"/>
                <w:sz w:val="16"/>
              </w:rPr>
              <w:t>70.50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40CEB">
            <w:pPr>
              <w:jc w:val="center"/>
            </w:pPr>
            <w:r>
              <w:rPr>
                <w:rFonts w:ascii="宋体" w:hAnsi="宋体" w:eastAsia="宋体"/>
                <w:sz w:val="16"/>
              </w:rPr>
              <w:t>70.50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777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D99E8">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FFA75">
            <w:pPr>
              <w:jc w:val="center"/>
            </w:pPr>
            <w:r>
              <w:rPr>
                <w:rFonts w:ascii="宋体" w:hAnsi="宋体" w:eastAsia="宋体"/>
                <w:sz w:val="16"/>
              </w:rPr>
              <w:t>10</w:t>
            </w:r>
          </w:p>
        </w:tc>
      </w:tr>
      <w:tr w14:paraId="7A5C83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D2BC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86E0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65E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05371">
            <w:pPr>
              <w:jc w:val="center"/>
            </w:pPr>
            <w:r>
              <w:rPr>
                <w:rFonts w:ascii="宋体" w:hAnsi="宋体" w:eastAsia="宋体"/>
                <w:sz w:val="16"/>
              </w:rPr>
              <w:t>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19837">
            <w:pPr>
              <w:jc w:val="center"/>
            </w:pPr>
            <w:r>
              <w:rPr>
                <w:rFonts w:ascii="宋体" w:hAnsi="宋体" w:eastAsia="宋体"/>
                <w:sz w:val="16"/>
              </w:rPr>
              <w:t>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B3A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327A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0EC67">
            <w:pPr>
              <w:jc w:val="center"/>
            </w:pPr>
            <w:r>
              <w:rPr>
                <w:rFonts w:ascii="宋体" w:hAnsi="宋体" w:eastAsia="宋体"/>
                <w:sz w:val="16"/>
              </w:rPr>
              <w:t>—</w:t>
            </w:r>
          </w:p>
        </w:tc>
      </w:tr>
      <w:tr w14:paraId="43973B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0F9B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4F24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3AEF2">
            <w:pPr>
              <w:jc w:val="center"/>
            </w:pPr>
            <w:r>
              <w:rPr>
                <w:rFonts w:ascii="宋体" w:hAnsi="宋体" w:eastAsia="宋体"/>
                <w:sz w:val="16"/>
              </w:rPr>
              <w:t>78.49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4C554">
            <w:pPr>
              <w:jc w:val="center"/>
            </w:pPr>
            <w:r>
              <w:rPr>
                <w:rFonts w:ascii="宋体" w:hAnsi="宋体" w:eastAsia="宋体"/>
                <w:sz w:val="16"/>
              </w:rPr>
              <w:t>69.47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A41C4">
            <w:pPr>
              <w:jc w:val="center"/>
            </w:pPr>
            <w:r>
              <w:rPr>
                <w:rFonts w:ascii="宋体" w:hAnsi="宋体" w:eastAsia="宋体"/>
                <w:sz w:val="16"/>
              </w:rPr>
              <w:t>69.47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C79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23E2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82C73">
            <w:pPr>
              <w:jc w:val="center"/>
            </w:pPr>
            <w:r>
              <w:rPr>
                <w:rFonts w:ascii="宋体" w:hAnsi="宋体" w:eastAsia="宋体"/>
                <w:sz w:val="16"/>
              </w:rPr>
              <w:t>—</w:t>
            </w:r>
          </w:p>
        </w:tc>
      </w:tr>
      <w:tr w14:paraId="55FFF7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18EF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1ACE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C73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E443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755A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57F1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CD68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D2385">
            <w:pPr>
              <w:jc w:val="center"/>
            </w:pPr>
            <w:r>
              <w:rPr>
                <w:rFonts w:ascii="宋体" w:hAnsi="宋体" w:eastAsia="宋体"/>
                <w:sz w:val="16"/>
              </w:rPr>
              <w:t>—</w:t>
            </w:r>
          </w:p>
        </w:tc>
      </w:tr>
      <w:tr w14:paraId="731359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5EF0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41215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7BCEB9">
            <w:pPr>
              <w:jc w:val="center"/>
            </w:pPr>
            <w:r>
              <w:rPr>
                <w:rFonts w:ascii="宋体" w:hAnsi="宋体" w:eastAsia="宋体"/>
                <w:sz w:val="16"/>
              </w:rPr>
              <w:t>实际完成情况</w:t>
            </w:r>
          </w:p>
        </w:tc>
      </w:tr>
      <w:tr w14:paraId="485B7C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B4C5F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F1C8AF">
            <w:pPr>
              <w:jc w:val="both"/>
            </w:pPr>
            <w:r>
              <w:rPr>
                <w:rFonts w:ascii="宋体" w:hAnsi="宋体" w:eastAsia="宋体"/>
                <w:sz w:val="16"/>
              </w:rPr>
              <w:t>指导服务非公有制企业数量15061家。广泛开展招</w:t>
            </w:r>
            <w:r>
              <w:rPr>
                <w:rFonts w:hint="eastAsia" w:ascii="宋体" w:hAnsi="宋体"/>
                <w:sz w:val="16"/>
                <w:lang w:eastAsia="zh-CN"/>
              </w:rPr>
              <w:t>商引资</w:t>
            </w:r>
            <w:r>
              <w:rPr>
                <w:rFonts w:ascii="宋体" w:hAnsi="宋体" w:eastAsia="宋体"/>
                <w:sz w:val="16"/>
              </w:rPr>
              <w:t>活动，落实各项惠企政策，营造良好的营商环境；推进民营企业培优工程建设，培育扶持民营企业，及时响应回复企业合理诉求，提高服务效率和管理水平，解决民营企业困难，促进公有制经济和非公有制经济融合健康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AB3510">
            <w:pPr>
              <w:jc w:val="both"/>
            </w:pPr>
            <w:r>
              <w:rPr>
                <w:rFonts w:ascii="宋体" w:hAnsi="宋体" w:eastAsia="宋体"/>
                <w:sz w:val="16"/>
              </w:rPr>
              <w:t>2024年度指导服务非公有制企业数量达到了15366家，民营企业惠企政策宣传覆盖辖区内所有相关企业。广泛开展了招</w:t>
            </w:r>
            <w:r>
              <w:rPr>
                <w:rFonts w:hint="eastAsia" w:ascii="宋体" w:hAnsi="宋体"/>
                <w:sz w:val="16"/>
                <w:lang w:eastAsia="zh-CN"/>
              </w:rPr>
              <w:t>商引资</w:t>
            </w:r>
            <w:r>
              <w:rPr>
                <w:rFonts w:ascii="宋体" w:hAnsi="宋体" w:eastAsia="宋体"/>
                <w:sz w:val="16"/>
              </w:rPr>
              <w:t>活动，落实了各项惠企政策，营造了良好的营商环境；按期推进了民营企业培优工程建设，进一步培育扶持民营企业做大做强，民营企业年度培优任务达标。做到了及时响应回复企业合理诉求，不断提高了服务效率和管理水平，解决民营企业困难，促进公有制经济和非公有制经济融合健康发展。</w:t>
            </w:r>
          </w:p>
        </w:tc>
      </w:tr>
      <w:tr w14:paraId="064230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F1BF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BEE9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3E76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7E44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A9ED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F0BE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DEA8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DC92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E4DEE">
            <w:pPr>
              <w:jc w:val="center"/>
            </w:pPr>
            <w:r>
              <w:rPr>
                <w:rFonts w:ascii="宋体" w:hAnsi="宋体" w:eastAsia="宋体"/>
                <w:sz w:val="16"/>
              </w:rPr>
              <w:t>得分</w:t>
            </w:r>
          </w:p>
        </w:tc>
      </w:tr>
      <w:tr w14:paraId="462E731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B7D78">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9824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2EE57">
            <w:pPr>
              <w:jc w:val="center"/>
            </w:pPr>
            <w:r>
              <w:rPr>
                <w:rFonts w:ascii="宋体" w:hAnsi="宋体" w:eastAsia="宋体"/>
                <w:sz w:val="16"/>
              </w:rPr>
              <w:t>指导服务非公有制企业数量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8C656">
            <w:pPr>
              <w:jc w:val="center"/>
            </w:pPr>
            <w:r>
              <w:rPr>
                <w:rFonts w:ascii="宋体" w:hAnsi="宋体" w:eastAsia="宋体"/>
                <w:sz w:val="16"/>
              </w:rPr>
              <w:t>&gt;=15061家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9735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7539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5971A">
            <w:pPr>
              <w:jc w:val="center"/>
            </w:pPr>
            <w:r>
              <w:rPr>
                <w:rFonts w:ascii="宋体" w:hAnsi="宋体" w:eastAsia="宋体"/>
                <w:sz w:val="16"/>
              </w:rPr>
              <w:t>15366家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2E292">
            <w:pPr>
              <w:jc w:val="center"/>
            </w:pPr>
            <w:r>
              <w:rPr>
                <w:rFonts w:ascii="宋体" w:hAnsi="宋体" w:eastAsia="宋体"/>
                <w:sz w:val="16"/>
              </w:rPr>
              <w:t>102.03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B1FD5">
            <w:pPr>
              <w:jc w:val="center"/>
            </w:pPr>
            <w:r>
              <w:rPr>
                <w:rFonts w:ascii="宋体" w:hAnsi="宋体" w:eastAsia="宋体"/>
                <w:sz w:val="16"/>
              </w:rPr>
              <w:t>18</w:t>
            </w:r>
          </w:p>
        </w:tc>
      </w:tr>
      <w:tr w14:paraId="62AD2B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A0CC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5FE3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F995D">
            <w:pPr>
              <w:jc w:val="center"/>
            </w:pPr>
            <w:r>
              <w:rPr>
                <w:rFonts w:ascii="宋体" w:hAnsi="宋体" w:eastAsia="宋体"/>
                <w:sz w:val="16"/>
              </w:rPr>
              <w:t>民营企业培优任务达标率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4E2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5A5C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9999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B5C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F37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42A0E">
            <w:pPr>
              <w:jc w:val="center"/>
            </w:pPr>
            <w:r>
              <w:rPr>
                <w:rFonts w:ascii="宋体" w:hAnsi="宋体" w:eastAsia="宋体"/>
                <w:sz w:val="16"/>
              </w:rPr>
              <w:t>18</w:t>
            </w:r>
          </w:p>
        </w:tc>
      </w:tr>
      <w:tr w14:paraId="157914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1C2B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DC4B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E951F">
            <w:pPr>
              <w:jc w:val="center"/>
            </w:pPr>
            <w:r>
              <w:rPr>
                <w:rFonts w:ascii="宋体" w:hAnsi="宋体" w:eastAsia="宋体"/>
                <w:sz w:val="16"/>
              </w:rPr>
              <w:t>民营企业惠企政策宣传覆盖率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695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868D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8894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F8E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120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3E113">
            <w:pPr>
              <w:jc w:val="center"/>
            </w:pPr>
            <w:r>
              <w:rPr>
                <w:rFonts w:ascii="宋体" w:hAnsi="宋体" w:eastAsia="宋体"/>
                <w:sz w:val="16"/>
              </w:rPr>
              <w:t>18</w:t>
            </w:r>
          </w:p>
        </w:tc>
      </w:tr>
      <w:tr w14:paraId="67EFB7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5F58D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E7BE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1F0EA">
            <w:pPr>
              <w:jc w:val="center"/>
            </w:pPr>
            <w:r>
              <w:rPr>
                <w:rFonts w:ascii="宋体" w:hAnsi="宋体" w:eastAsia="宋体"/>
                <w:sz w:val="16"/>
              </w:rPr>
              <w:t>民营企业培优任务按期完成率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4BE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7737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59D9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F29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4B0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057C5">
            <w:pPr>
              <w:jc w:val="center"/>
            </w:pPr>
            <w:r>
              <w:rPr>
                <w:rFonts w:ascii="宋体" w:hAnsi="宋体" w:eastAsia="宋体"/>
                <w:sz w:val="16"/>
              </w:rPr>
              <w:t>18</w:t>
            </w:r>
          </w:p>
        </w:tc>
      </w:tr>
      <w:tr w14:paraId="44E51F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D68B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1080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AC612">
            <w:pPr>
              <w:jc w:val="center"/>
            </w:pPr>
            <w:r>
              <w:rPr>
                <w:rFonts w:ascii="宋体" w:hAnsi="宋体" w:eastAsia="宋体"/>
                <w:sz w:val="16"/>
              </w:rPr>
              <w:t>民营企业诉求响应回复及时率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E7E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8636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41CB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E7E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E61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6CFD4">
            <w:pPr>
              <w:jc w:val="center"/>
            </w:pPr>
            <w:r>
              <w:rPr>
                <w:rFonts w:ascii="宋体" w:hAnsi="宋体" w:eastAsia="宋体"/>
                <w:sz w:val="16"/>
              </w:rPr>
              <w:t>18</w:t>
            </w:r>
          </w:p>
        </w:tc>
      </w:tr>
    </w:tbl>
    <w:p w14:paraId="71AA87B1">
      <w:r>
        <w:br w:type="page"/>
      </w:r>
    </w:p>
    <w:p w14:paraId="5E1FCF2D">
      <w:pPr>
        <w:spacing w:line="640" w:lineRule="exact"/>
        <w:ind w:firstLine="640"/>
        <w:jc w:val="both"/>
        <w:outlineLvl w:val="2"/>
      </w:pPr>
      <w:r>
        <w:rPr>
          <w:rFonts w:ascii="黑体" w:hAnsi="黑体" w:eastAsia="黑体"/>
          <w:sz w:val="32"/>
        </w:rPr>
        <w:t>十二、其他需说明的事项</w:t>
      </w:r>
    </w:p>
    <w:p w14:paraId="347458F6">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76E62FD5">
      <w:r>
        <w:br w:type="page"/>
      </w:r>
    </w:p>
    <w:p w14:paraId="46D03B22">
      <w:pPr>
        <w:spacing w:line="240" w:lineRule="auto"/>
        <w:jc w:val="center"/>
        <w:outlineLvl w:val="1"/>
      </w:pPr>
      <w:r>
        <w:rPr>
          <w:rFonts w:ascii="黑体" w:hAnsi="黑体" w:eastAsia="黑体"/>
          <w:sz w:val="32"/>
        </w:rPr>
        <w:t>第三部分 专业名词解释</w:t>
      </w:r>
    </w:p>
    <w:p w14:paraId="7D1333A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D6A88E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596CFC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F9538C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936265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BD5102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67E991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E5FCAB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77C94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4E567B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14EAE1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298638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937904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69BD53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5B4E306">
      <w:r>
        <w:br w:type="page"/>
      </w:r>
    </w:p>
    <w:p w14:paraId="12C8269C">
      <w:pPr>
        <w:spacing w:line="240" w:lineRule="auto"/>
        <w:jc w:val="center"/>
        <w:outlineLvl w:val="1"/>
      </w:pPr>
      <w:r>
        <w:rPr>
          <w:rFonts w:ascii="黑体" w:hAnsi="黑体" w:eastAsia="黑体"/>
          <w:sz w:val="32"/>
        </w:rPr>
        <w:t>第四部分 部门决算报表（见附表）</w:t>
      </w:r>
    </w:p>
    <w:p w14:paraId="39AEA219">
      <w:pPr>
        <w:spacing w:line="240" w:lineRule="auto"/>
        <w:ind w:firstLine="640"/>
        <w:jc w:val="both"/>
      </w:pPr>
      <w:r>
        <w:rPr>
          <w:rFonts w:ascii="仿宋_GB2312" w:hAnsi="仿宋_GB2312" w:eastAsia="仿宋_GB2312"/>
          <w:b w:val="0"/>
          <w:sz w:val="32"/>
        </w:rPr>
        <w:t>一、《收入支出决算总表》</w:t>
      </w:r>
    </w:p>
    <w:p w14:paraId="574C5E34">
      <w:pPr>
        <w:spacing w:line="240" w:lineRule="auto"/>
        <w:ind w:firstLine="640"/>
        <w:jc w:val="both"/>
      </w:pPr>
      <w:r>
        <w:rPr>
          <w:rFonts w:ascii="仿宋_GB2312" w:hAnsi="仿宋_GB2312" w:eastAsia="仿宋_GB2312"/>
          <w:b w:val="0"/>
          <w:sz w:val="32"/>
        </w:rPr>
        <w:t>二、《收入决算表》</w:t>
      </w:r>
    </w:p>
    <w:p w14:paraId="0D5E5938">
      <w:pPr>
        <w:spacing w:line="240" w:lineRule="auto"/>
        <w:ind w:firstLine="640"/>
        <w:jc w:val="both"/>
      </w:pPr>
      <w:r>
        <w:rPr>
          <w:rFonts w:ascii="仿宋_GB2312" w:hAnsi="仿宋_GB2312" w:eastAsia="仿宋_GB2312"/>
          <w:b w:val="0"/>
          <w:sz w:val="32"/>
        </w:rPr>
        <w:t>三、《支出决算表》</w:t>
      </w:r>
    </w:p>
    <w:p w14:paraId="61EC9752">
      <w:pPr>
        <w:spacing w:line="240" w:lineRule="auto"/>
        <w:ind w:firstLine="640"/>
        <w:jc w:val="both"/>
      </w:pPr>
      <w:r>
        <w:rPr>
          <w:rFonts w:ascii="仿宋_GB2312" w:hAnsi="仿宋_GB2312" w:eastAsia="仿宋_GB2312"/>
          <w:b w:val="0"/>
          <w:sz w:val="32"/>
        </w:rPr>
        <w:t>四、《财政拨款收入支出决算总表》</w:t>
      </w:r>
    </w:p>
    <w:p w14:paraId="46C5CB10">
      <w:pPr>
        <w:spacing w:line="240" w:lineRule="auto"/>
        <w:ind w:firstLine="640"/>
        <w:jc w:val="both"/>
      </w:pPr>
      <w:r>
        <w:rPr>
          <w:rFonts w:ascii="仿宋_GB2312" w:hAnsi="仿宋_GB2312" w:eastAsia="仿宋_GB2312"/>
          <w:b w:val="0"/>
          <w:sz w:val="32"/>
        </w:rPr>
        <w:t>五、《一般公共预算财政拨款支出决算表》</w:t>
      </w:r>
    </w:p>
    <w:p w14:paraId="4A3BBCA1">
      <w:pPr>
        <w:spacing w:line="240" w:lineRule="auto"/>
        <w:ind w:firstLine="640"/>
        <w:jc w:val="both"/>
      </w:pPr>
      <w:r>
        <w:rPr>
          <w:rFonts w:ascii="仿宋_GB2312" w:hAnsi="仿宋_GB2312" w:eastAsia="仿宋_GB2312"/>
          <w:b w:val="0"/>
          <w:sz w:val="32"/>
        </w:rPr>
        <w:t>六、《一般公共预算财政拨款基本支出决算表》</w:t>
      </w:r>
    </w:p>
    <w:p w14:paraId="21E5559B">
      <w:pPr>
        <w:spacing w:line="240" w:lineRule="auto"/>
        <w:ind w:firstLine="640"/>
        <w:jc w:val="both"/>
      </w:pPr>
      <w:r>
        <w:rPr>
          <w:rFonts w:ascii="仿宋_GB2312" w:hAnsi="仿宋_GB2312" w:eastAsia="仿宋_GB2312"/>
          <w:b w:val="0"/>
          <w:sz w:val="32"/>
        </w:rPr>
        <w:t>七、《政府性基金预算财政拨款收入支出决算表》</w:t>
      </w:r>
    </w:p>
    <w:p w14:paraId="0072C96B">
      <w:pPr>
        <w:spacing w:line="240" w:lineRule="auto"/>
        <w:ind w:firstLine="640"/>
        <w:jc w:val="both"/>
      </w:pPr>
      <w:r>
        <w:rPr>
          <w:rFonts w:ascii="仿宋_GB2312" w:hAnsi="仿宋_GB2312" w:eastAsia="仿宋_GB2312"/>
          <w:b w:val="0"/>
          <w:sz w:val="32"/>
        </w:rPr>
        <w:t>八、《国有资本经营预算财政拨款收入支出决算表》</w:t>
      </w:r>
    </w:p>
    <w:p w14:paraId="06A30008">
      <w:pPr>
        <w:spacing w:line="240" w:lineRule="auto"/>
        <w:ind w:firstLine="640"/>
        <w:jc w:val="both"/>
      </w:pPr>
      <w:r>
        <w:rPr>
          <w:rFonts w:ascii="仿宋_GB2312" w:hAnsi="仿宋_GB2312" w:eastAsia="仿宋_GB2312"/>
          <w:b w:val="0"/>
          <w:sz w:val="32"/>
        </w:rPr>
        <w:t>九、《财政拨款“三公”经费支出决算表》</w:t>
      </w:r>
    </w:p>
    <w:p w14:paraId="45ECC9CF">
      <w:pPr>
        <w:spacing w:line="240" w:lineRule="auto"/>
        <w:ind w:firstLine="640"/>
        <w:jc w:val="both"/>
      </w:pPr>
    </w:p>
    <w:p w14:paraId="05632DCD">
      <w:pPr>
        <w:spacing w:line="240" w:lineRule="auto"/>
        <w:ind w:firstLine="640"/>
        <w:jc w:val="both"/>
      </w:pPr>
    </w:p>
    <w:p w14:paraId="448D0903">
      <w:pPr>
        <w:spacing w:line="240" w:lineRule="auto"/>
        <w:ind w:firstLine="640"/>
        <w:jc w:val="both"/>
      </w:pPr>
    </w:p>
    <w:p w14:paraId="43BCE0CA">
      <w:pPr>
        <w:spacing w:line="240" w:lineRule="auto"/>
        <w:ind w:firstLine="640"/>
        <w:jc w:val="both"/>
      </w:pPr>
    </w:p>
    <w:p w14:paraId="3106882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876C37-D561-4ACE-8019-4D4A076E94C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F33F82B-9A6B-4C0A-8B4F-4875D9D3E582}"/>
  </w:font>
  <w:font w:name="仿宋_GB2312">
    <w:panose1 w:val="02010609030101010101"/>
    <w:charset w:val="86"/>
    <w:family w:val="modern"/>
    <w:pitch w:val="default"/>
    <w:sig w:usb0="00000001" w:usb1="080E0000" w:usb2="00000000" w:usb3="00000000" w:csb0="00040000" w:csb1="00000000"/>
    <w:embedRegular r:id="rId3" w:fontKey="{E073C5D2-FDB3-496B-AA09-6D255C91ACB5}"/>
  </w:font>
  <w:font w:name="楷体_GB2312">
    <w:panose1 w:val="02010609030101010101"/>
    <w:charset w:val="86"/>
    <w:family w:val="auto"/>
    <w:pitch w:val="default"/>
    <w:sig w:usb0="00000001" w:usb1="080E0000" w:usb2="00000000" w:usb3="00000000" w:csb0="00040000" w:csb1="00000000"/>
    <w:embedRegular r:id="rId4" w:fontKey="{BC328676-09AF-428C-84CB-F84E350F1F13}"/>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640E0F"/>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4059</Words>
  <Characters>4634</Characters>
  <Lines>0</Lines>
  <Paragraphs>0</Paragraphs>
  <TotalTime>0</TotalTime>
  <ScaleCrop>false</ScaleCrop>
  <LinksUpToDate>false</LinksUpToDate>
  <CharactersWithSpaces>4642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2025-09-12T09:03:59Z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