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A8B0A3">
      <w:r>
        <w:br w:type="page"/>
      </w:r>
    </w:p>
    <w:p w14:paraId="3FEF95BC">
      <w:pPr>
        <w:spacing w:line="640" w:lineRule="exact"/>
        <w:jc w:val="center"/>
        <w:outlineLvl w:val="1"/>
      </w:pPr>
      <w:r>
        <w:rPr>
          <w:rFonts w:ascii="黑体" w:hAnsi="黑体" w:eastAsia="黑体"/>
          <w:sz w:val="32"/>
        </w:rPr>
        <w:t>第一部分 单位概况</w:t>
      </w:r>
    </w:p>
    <w:p w14:paraId="10E8F825">
      <w:pPr>
        <w:spacing w:line="640" w:lineRule="exact"/>
        <w:ind w:firstLine="640"/>
        <w:jc w:val="both"/>
        <w:outlineLvl w:val="2"/>
      </w:pPr>
      <w:r>
        <w:rPr>
          <w:rFonts w:ascii="黑体" w:hAnsi="黑体" w:eastAsia="黑体"/>
          <w:sz w:val="32"/>
        </w:rPr>
        <w:t>一、主要职能</w:t>
      </w:r>
    </w:p>
    <w:p w14:paraId="45F8A115">
      <w:pPr>
        <w:spacing w:line="580" w:lineRule="exact"/>
        <w:ind w:firstLine="640"/>
        <w:jc w:val="both"/>
      </w:pPr>
      <w:r>
        <w:rPr>
          <w:rFonts w:ascii="仿宋_GB2312" w:hAnsi="仿宋_GB2312" w:eastAsia="仿宋_GB2312"/>
          <w:sz w:val="32"/>
        </w:rPr>
        <w:t>岳普湖县市场监督管理局负责市场综合监督管理和知识产权管理，市场主体统一登记注册，组织和指导市场监管和知识产权综合执法工作，反垄断统一执法，监督管理市场秩序，宏观质量管理，产品质量安全监督管理，特种设备安全监督管理，食品安全监督管理综合协调，食品安全监督管理，统一管理计量工作，统一管理标准化工作；统一管理检验检测工作，统一管理，市场监督管理和知识产权科技与信息化建设，药品(含中药、民族药、下同）医疗器械和化妆品安全监督管理，监督实施药品、医疗器械、化妆品相关标准和分类管理制度，药品、医疗器械和化妆品质量管理，药品、医疗器械和化妆品上市后风险管理</w:t>
      </w:r>
      <w:r>
        <w:rPr>
          <w:rFonts w:hint="eastAsia" w:ascii="仿宋_GB2312" w:hAnsi="仿宋_GB2312" w:eastAsia="仿宋_GB2312"/>
          <w:sz w:val="32"/>
          <w:lang w:eastAsia="zh-CN"/>
        </w:rPr>
        <w:t>；</w:t>
      </w:r>
      <w:r>
        <w:rPr>
          <w:rFonts w:ascii="仿宋_GB2312" w:hAnsi="仿宋_GB2312" w:eastAsia="仿宋_GB2312"/>
          <w:sz w:val="32"/>
        </w:rPr>
        <w:t>按规定组织实施执业药师资格认定制度，组织实施药品、医疗器械和化妆品监督检查，指导市场监督管理所药品、医疗器械、化妆品监督管理工作，促进知识产权运用</w:t>
      </w:r>
      <w:r>
        <w:rPr>
          <w:rFonts w:hint="eastAsia" w:ascii="仿宋_GB2312" w:hAnsi="仿宋_GB2312" w:eastAsia="仿宋_GB2312"/>
          <w:sz w:val="32"/>
          <w:lang w:eastAsia="zh-CN"/>
        </w:rPr>
        <w:t>；</w:t>
      </w:r>
      <w:r>
        <w:rPr>
          <w:rFonts w:ascii="仿宋_GB2312" w:hAnsi="仿宋_GB2312" w:eastAsia="仿宋_GB2312"/>
          <w:sz w:val="32"/>
        </w:rPr>
        <w:t>保护知识产权，贯彻落实自治区党委、地委和县委、县人民政府关于安全生产的决策部署和指示精神，安全生产方针政策、法律法规，开展安全生产专项整治，目标管理，查处市场上的违法违规生产经营行为，承担岳普湖县食品安全委员会的具体工作。</w:t>
      </w:r>
    </w:p>
    <w:p w14:paraId="3531EC61">
      <w:pPr>
        <w:spacing w:line="640" w:lineRule="exact"/>
        <w:ind w:firstLine="640"/>
        <w:jc w:val="both"/>
        <w:outlineLvl w:val="2"/>
      </w:pPr>
      <w:r>
        <w:rPr>
          <w:rFonts w:ascii="黑体" w:hAnsi="黑体" w:eastAsia="黑体"/>
          <w:sz w:val="32"/>
        </w:rPr>
        <w:t>二、机构设置及人员情况</w:t>
      </w:r>
    </w:p>
    <w:p w14:paraId="5921324E">
      <w:pPr>
        <w:spacing w:line="580" w:lineRule="exact"/>
        <w:ind w:firstLine="640"/>
        <w:jc w:val="both"/>
      </w:pPr>
      <w:r>
        <w:rPr>
          <w:rFonts w:ascii="仿宋_GB2312" w:hAnsi="仿宋_GB2312" w:eastAsia="仿宋_GB2312"/>
          <w:sz w:val="32"/>
        </w:rPr>
        <w:t>岳普湖县市场监督管理局2024年度，实有人数69人，其中：在职人员37人，增加6人；离休人员0人，增加0人；退休人员32人,减少1人。</w:t>
      </w:r>
    </w:p>
    <w:p w14:paraId="082EA30C">
      <w:pPr>
        <w:spacing w:line="580" w:lineRule="exact"/>
        <w:ind w:firstLine="640"/>
        <w:jc w:val="both"/>
      </w:pPr>
      <w:r>
        <w:rPr>
          <w:rFonts w:ascii="仿宋_GB2312" w:hAnsi="仿宋_GB2312" w:eastAsia="仿宋_GB2312"/>
          <w:sz w:val="32"/>
        </w:rPr>
        <w:t>岳普湖县市场监督管理局无下属预算单位，下设6个科室，分别是：办公室、政策法规股、行政许可审批股、市场监督管理股、价格监督检查股、知识产权保护股。</w:t>
      </w:r>
    </w:p>
    <w:p w14:paraId="77ADADAF">
      <w:r>
        <w:br w:type="page"/>
      </w:r>
    </w:p>
    <w:p w14:paraId="0BCF4592">
      <w:pPr>
        <w:spacing w:line="240" w:lineRule="auto"/>
        <w:jc w:val="center"/>
        <w:outlineLvl w:val="1"/>
      </w:pPr>
      <w:r>
        <w:rPr>
          <w:rFonts w:ascii="黑体" w:hAnsi="黑体" w:eastAsia="黑体"/>
          <w:sz w:val="32"/>
        </w:rPr>
        <w:t>第二部分 部门决算情况说明</w:t>
      </w:r>
    </w:p>
    <w:p w14:paraId="75C46405">
      <w:pPr>
        <w:spacing w:line="640" w:lineRule="exact"/>
        <w:ind w:firstLine="640"/>
        <w:jc w:val="both"/>
        <w:outlineLvl w:val="2"/>
      </w:pPr>
      <w:r>
        <w:rPr>
          <w:rFonts w:ascii="黑体" w:hAnsi="黑体" w:eastAsia="黑体"/>
          <w:sz w:val="32"/>
        </w:rPr>
        <w:t>一、收入支出决算总体情况说明</w:t>
      </w:r>
    </w:p>
    <w:p w14:paraId="4726CD89">
      <w:pPr>
        <w:spacing w:line="580" w:lineRule="exact"/>
        <w:ind w:firstLine="640"/>
        <w:jc w:val="both"/>
      </w:pPr>
      <w:r>
        <w:rPr>
          <w:rFonts w:ascii="仿宋_GB2312" w:hAnsi="仿宋_GB2312" w:eastAsia="仿宋_GB2312"/>
          <w:b/>
          <w:sz w:val="32"/>
        </w:rPr>
        <w:t>2024年度收入总计771.01万元，</w:t>
      </w:r>
      <w:r>
        <w:rPr>
          <w:rFonts w:ascii="仿宋_GB2312" w:hAnsi="仿宋_GB2312" w:eastAsia="仿宋_GB2312"/>
          <w:b w:val="0"/>
          <w:sz w:val="32"/>
        </w:rPr>
        <w:t>其中：本年收入合计692.27万元，使用非财政拨款结余（含专用结余）0.00万元，年初结转和结余78.74万元。</w:t>
      </w:r>
    </w:p>
    <w:p w14:paraId="1FFF9167">
      <w:pPr>
        <w:spacing w:line="580" w:lineRule="exact"/>
        <w:ind w:firstLine="640"/>
        <w:jc w:val="both"/>
      </w:pPr>
      <w:r>
        <w:rPr>
          <w:rFonts w:ascii="仿宋_GB2312" w:hAnsi="仿宋_GB2312" w:eastAsia="仿宋_GB2312"/>
          <w:b/>
          <w:sz w:val="32"/>
        </w:rPr>
        <w:t>2024年度支出总计771.01万元，</w:t>
      </w:r>
      <w:r>
        <w:rPr>
          <w:rFonts w:ascii="仿宋_GB2312" w:hAnsi="仿宋_GB2312" w:eastAsia="仿宋_GB2312"/>
          <w:b w:val="0"/>
          <w:sz w:val="32"/>
        </w:rPr>
        <w:t>其中：本年支出合计716.23万元，结余分配0.00万元，年末结转和结余54.79万元。</w:t>
      </w:r>
    </w:p>
    <w:p w14:paraId="13A4B693">
      <w:pPr>
        <w:spacing w:line="580" w:lineRule="exact"/>
        <w:ind w:firstLine="640"/>
        <w:jc w:val="both"/>
      </w:pPr>
      <w:r>
        <w:rPr>
          <w:rFonts w:ascii="仿宋_GB2312" w:hAnsi="仿宋_GB2312" w:eastAsia="仿宋_GB2312"/>
          <w:b w:val="0"/>
          <w:sz w:val="32"/>
        </w:rPr>
        <w:t>收入支出总体与上年相比，减少7.17万元，下降0.92%，主要原因是：本年度减少2022年隔离点购置物品费用</w:t>
      </w:r>
      <w:r>
        <w:rPr>
          <w:rFonts w:hint="eastAsia" w:ascii="仿宋_GB2312" w:hAnsi="仿宋_GB2312" w:eastAsia="仿宋_GB2312"/>
          <w:b w:val="0"/>
          <w:sz w:val="32"/>
          <w:lang w:eastAsia="zh-CN"/>
        </w:rPr>
        <w:t>，</w:t>
      </w:r>
      <w:r>
        <w:rPr>
          <w:rFonts w:ascii="仿宋_GB2312" w:hAnsi="仿宋_GB2312" w:eastAsia="仿宋_GB2312"/>
          <w:b w:val="0"/>
          <w:sz w:val="32"/>
        </w:rPr>
        <w:t>在职人员调入调出，人员职级不同，工资基数不同，导致人员经费较上年减少。</w:t>
      </w:r>
    </w:p>
    <w:p w14:paraId="3360ED32">
      <w:pPr>
        <w:spacing w:line="640" w:lineRule="exact"/>
        <w:ind w:firstLine="640"/>
        <w:jc w:val="both"/>
        <w:outlineLvl w:val="2"/>
      </w:pPr>
      <w:r>
        <w:rPr>
          <w:rFonts w:ascii="黑体" w:hAnsi="黑体" w:eastAsia="黑体"/>
          <w:sz w:val="32"/>
        </w:rPr>
        <w:t>二、收入决算情况说明</w:t>
      </w:r>
    </w:p>
    <w:p w14:paraId="2AE5BD28">
      <w:pPr>
        <w:spacing w:line="580" w:lineRule="exact"/>
        <w:ind w:firstLine="640"/>
        <w:jc w:val="both"/>
      </w:pPr>
      <w:r>
        <w:rPr>
          <w:rFonts w:ascii="仿宋_GB2312" w:hAnsi="仿宋_GB2312" w:eastAsia="仿宋_GB2312"/>
          <w:b/>
          <w:sz w:val="32"/>
        </w:rPr>
        <w:t>本年收入692.27万元，</w:t>
      </w:r>
      <w:r>
        <w:rPr>
          <w:rFonts w:ascii="仿宋_GB2312" w:hAnsi="仿宋_GB2312" w:eastAsia="仿宋_GB2312"/>
          <w:b w:val="0"/>
          <w:sz w:val="32"/>
        </w:rPr>
        <w:t>其中：财政拨款收入652.27万元，占94.22%；上级补助收入0.00万元，占0.00%；事业收入0.00万元，占0.00%；经营收入0.00万元，占0.00%；附属单位上缴收入0.00万元，占0.00%；其他收入40.00万元，占5.78%。</w:t>
      </w:r>
    </w:p>
    <w:p w14:paraId="3E4675BE">
      <w:pPr>
        <w:spacing w:line="640" w:lineRule="exact"/>
        <w:ind w:firstLine="640"/>
        <w:jc w:val="both"/>
        <w:outlineLvl w:val="2"/>
      </w:pPr>
      <w:r>
        <w:rPr>
          <w:rFonts w:ascii="黑体" w:hAnsi="黑体" w:eastAsia="黑体"/>
          <w:sz w:val="32"/>
        </w:rPr>
        <w:t>三、支出决算情况说明</w:t>
      </w:r>
    </w:p>
    <w:p w14:paraId="7BA2802F">
      <w:pPr>
        <w:spacing w:line="580" w:lineRule="exact"/>
        <w:ind w:firstLine="640"/>
        <w:jc w:val="both"/>
      </w:pPr>
      <w:r>
        <w:rPr>
          <w:rFonts w:ascii="仿宋_GB2312" w:hAnsi="仿宋_GB2312" w:eastAsia="仿宋_GB2312"/>
          <w:b/>
          <w:sz w:val="32"/>
        </w:rPr>
        <w:t>本年支出716.23万元，</w:t>
      </w:r>
      <w:r>
        <w:rPr>
          <w:rFonts w:ascii="仿宋_GB2312" w:hAnsi="仿宋_GB2312" w:eastAsia="仿宋_GB2312"/>
          <w:b w:val="0"/>
          <w:sz w:val="32"/>
        </w:rPr>
        <w:t>其中：基本支出640.43万元，占89.42%；项目支出75.79万元，占10.58%；上缴上级支出0.00万元，占0.00%；经营支出0.00万元，占0.00%；对附属单位补助支出0.00万元，占0.00%。</w:t>
      </w:r>
    </w:p>
    <w:p w14:paraId="2A33DB94">
      <w:pPr>
        <w:spacing w:line="640" w:lineRule="exact"/>
        <w:ind w:firstLine="640"/>
        <w:jc w:val="both"/>
        <w:outlineLvl w:val="2"/>
      </w:pPr>
      <w:r>
        <w:rPr>
          <w:rFonts w:ascii="黑体" w:hAnsi="黑体" w:eastAsia="黑体"/>
          <w:sz w:val="32"/>
        </w:rPr>
        <w:t>四、财政拨款收入支出决算总体情况说明</w:t>
      </w:r>
    </w:p>
    <w:p w14:paraId="27C6BE2F">
      <w:pPr>
        <w:spacing w:line="580" w:lineRule="exact"/>
        <w:ind w:firstLine="640"/>
        <w:jc w:val="both"/>
      </w:pPr>
      <w:r>
        <w:rPr>
          <w:rFonts w:ascii="仿宋_GB2312" w:hAnsi="仿宋_GB2312" w:eastAsia="仿宋_GB2312"/>
          <w:b/>
          <w:sz w:val="32"/>
        </w:rPr>
        <w:t>2024年度财政拨款收入总计652.27万元，</w:t>
      </w:r>
      <w:r>
        <w:rPr>
          <w:rFonts w:ascii="仿宋_GB2312" w:hAnsi="仿宋_GB2312" w:eastAsia="仿宋_GB2312"/>
          <w:b w:val="0"/>
          <w:sz w:val="32"/>
        </w:rPr>
        <w:t>其中：年初财政拨款结转和结余0.00万元，本年财政拨款收入652.27万元。</w:t>
      </w:r>
      <w:r>
        <w:rPr>
          <w:rFonts w:ascii="仿宋_GB2312" w:hAnsi="仿宋_GB2312" w:eastAsia="仿宋_GB2312"/>
          <w:b/>
          <w:sz w:val="32"/>
        </w:rPr>
        <w:t>财政拨款支出总计652.27万元，</w:t>
      </w:r>
      <w:r>
        <w:rPr>
          <w:rFonts w:ascii="仿宋_GB2312" w:hAnsi="仿宋_GB2312" w:eastAsia="仿宋_GB2312"/>
          <w:b w:val="0"/>
          <w:sz w:val="32"/>
        </w:rPr>
        <w:t>其中：年末财政拨款结转和结余0.00万元，本年财政拨款支出652.27万元。</w:t>
      </w:r>
    </w:p>
    <w:p w14:paraId="514EF9D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减少35.82万元，下降5.21%，主要原因是：本年度减少2022年隔离点购置物品费用</w:t>
      </w:r>
      <w:r>
        <w:rPr>
          <w:rFonts w:hint="eastAsia" w:ascii="仿宋_GB2312" w:hAnsi="仿宋_GB2312" w:eastAsia="仿宋_GB2312"/>
          <w:b w:val="0"/>
          <w:sz w:val="32"/>
          <w:lang w:eastAsia="zh-CN"/>
        </w:rPr>
        <w:t>，</w:t>
      </w:r>
      <w:r>
        <w:rPr>
          <w:rFonts w:ascii="仿宋_GB2312" w:hAnsi="仿宋_GB2312" w:eastAsia="仿宋_GB2312"/>
          <w:b w:val="0"/>
          <w:sz w:val="32"/>
        </w:rPr>
        <w:t>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年初预算数595.69万元，决算数652.27万元，预决算差异率9.50%，主要原因是：年中追加人员工资、社保、公积金基数调增部分资金导致预决算存在差异。</w:t>
      </w:r>
    </w:p>
    <w:p w14:paraId="13F3552B">
      <w:pPr>
        <w:spacing w:line="640" w:lineRule="exact"/>
        <w:ind w:firstLine="640"/>
        <w:jc w:val="both"/>
        <w:outlineLvl w:val="2"/>
      </w:pPr>
      <w:r>
        <w:rPr>
          <w:rFonts w:ascii="黑体" w:hAnsi="黑体" w:eastAsia="黑体"/>
          <w:sz w:val="32"/>
        </w:rPr>
        <w:t>五、一般公共预算财政拨款支出决算情况说明</w:t>
      </w:r>
    </w:p>
    <w:p w14:paraId="28889D6B">
      <w:pPr>
        <w:spacing w:line="640" w:lineRule="exact"/>
        <w:ind w:firstLine="640"/>
        <w:jc w:val="both"/>
        <w:outlineLvl w:val="3"/>
      </w:pPr>
      <w:r>
        <w:rPr>
          <w:rFonts w:ascii="楷体_GB2312" w:hAnsi="楷体_GB2312" w:eastAsia="楷体_GB2312"/>
          <w:b/>
          <w:sz w:val="32"/>
        </w:rPr>
        <w:t>（一）一般公共预算财政拨款支出决算总体情况</w:t>
      </w:r>
    </w:p>
    <w:p w14:paraId="555BBDB9">
      <w:pPr>
        <w:spacing w:line="580" w:lineRule="exact"/>
        <w:ind w:firstLine="640"/>
        <w:jc w:val="both"/>
      </w:pPr>
      <w:r>
        <w:rPr>
          <w:rFonts w:ascii="仿宋_GB2312" w:hAnsi="仿宋_GB2312" w:eastAsia="仿宋_GB2312"/>
          <w:b/>
          <w:sz w:val="32"/>
        </w:rPr>
        <w:t>2024年度一般公共预算财政拨款支出652.27万元，</w:t>
      </w:r>
      <w:r>
        <w:rPr>
          <w:rFonts w:ascii="仿宋_GB2312" w:hAnsi="仿宋_GB2312" w:eastAsia="仿宋_GB2312"/>
          <w:b w:val="0"/>
          <w:sz w:val="32"/>
        </w:rPr>
        <w:t>占本年支出合计的91.07%。</w:t>
      </w:r>
      <w:r>
        <w:rPr>
          <w:rFonts w:ascii="仿宋_GB2312" w:hAnsi="仿宋_GB2312" w:eastAsia="仿宋_GB2312"/>
          <w:b/>
          <w:sz w:val="32"/>
        </w:rPr>
        <w:t>与上年相比，</w:t>
      </w:r>
      <w:r>
        <w:rPr>
          <w:rFonts w:ascii="仿宋_GB2312" w:hAnsi="仿宋_GB2312" w:eastAsia="仿宋_GB2312"/>
          <w:b w:val="0"/>
          <w:sz w:val="32"/>
        </w:rPr>
        <w:t>减少35.82万元，下降5.21%，主要原因是：本年度减少2022年隔离点购置物品费用</w:t>
      </w:r>
      <w:r>
        <w:rPr>
          <w:rFonts w:hint="eastAsia" w:ascii="仿宋_GB2312" w:hAnsi="仿宋_GB2312" w:eastAsia="仿宋_GB2312"/>
          <w:b w:val="0"/>
          <w:sz w:val="32"/>
          <w:lang w:eastAsia="zh-CN"/>
        </w:rPr>
        <w:t>，</w:t>
      </w:r>
      <w:r>
        <w:rPr>
          <w:rFonts w:ascii="仿宋_GB2312" w:hAnsi="仿宋_GB2312" w:eastAsia="仿宋_GB2312"/>
          <w:b w:val="0"/>
          <w:sz w:val="32"/>
        </w:rPr>
        <w:t>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年初预算数595.69万元，决算数652.27万元，预决算差异率9.50%，主要原因是：年中人员工资、社保、公积金基数调增部分资金导致预决算存在差异。</w:t>
      </w:r>
    </w:p>
    <w:p w14:paraId="6D6C6233">
      <w:pPr>
        <w:spacing w:line="640" w:lineRule="exact"/>
        <w:ind w:firstLine="640"/>
        <w:jc w:val="both"/>
        <w:outlineLvl w:val="3"/>
      </w:pPr>
      <w:r>
        <w:rPr>
          <w:rFonts w:ascii="楷体_GB2312" w:hAnsi="楷体_GB2312" w:eastAsia="楷体_GB2312"/>
          <w:b/>
          <w:sz w:val="32"/>
        </w:rPr>
        <w:t>（二）一般公共预算财政拨款支出决算结构情况</w:t>
      </w:r>
    </w:p>
    <w:p w14:paraId="69BBBBF1">
      <w:pPr>
        <w:spacing w:line="580" w:lineRule="exact"/>
        <w:ind w:firstLine="640"/>
        <w:jc w:val="both"/>
      </w:pPr>
      <w:r>
        <w:rPr>
          <w:rFonts w:ascii="仿宋_GB2312" w:hAnsi="仿宋_GB2312" w:eastAsia="仿宋_GB2312"/>
          <w:b w:val="0"/>
          <w:sz w:val="32"/>
        </w:rPr>
        <w:t>1.一般公共服务支出(类)467.94万元,占71.74%。</w:t>
      </w:r>
    </w:p>
    <w:p w14:paraId="79C7C784">
      <w:pPr>
        <w:spacing w:line="580" w:lineRule="exact"/>
        <w:ind w:firstLine="640"/>
        <w:jc w:val="both"/>
      </w:pPr>
      <w:r>
        <w:rPr>
          <w:rFonts w:ascii="仿宋_GB2312" w:hAnsi="仿宋_GB2312" w:eastAsia="仿宋_GB2312"/>
          <w:b w:val="0"/>
          <w:sz w:val="32"/>
        </w:rPr>
        <w:t>2.社会保障和就业支出(类)111.33万元,占17.07%。</w:t>
      </w:r>
    </w:p>
    <w:p w14:paraId="6C04E351">
      <w:pPr>
        <w:spacing w:line="580" w:lineRule="exact"/>
        <w:ind w:firstLine="640"/>
        <w:jc w:val="both"/>
      </w:pPr>
      <w:r>
        <w:rPr>
          <w:rFonts w:ascii="仿宋_GB2312" w:hAnsi="仿宋_GB2312" w:eastAsia="仿宋_GB2312"/>
          <w:b w:val="0"/>
          <w:sz w:val="32"/>
        </w:rPr>
        <w:t>3.卫生健康支出(类)28.68万元,占4.40%。</w:t>
      </w:r>
    </w:p>
    <w:p w14:paraId="7AE1DE2A">
      <w:pPr>
        <w:spacing w:line="580" w:lineRule="exact"/>
        <w:ind w:firstLine="640"/>
        <w:jc w:val="both"/>
      </w:pPr>
      <w:r>
        <w:rPr>
          <w:rFonts w:ascii="仿宋_GB2312" w:hAnsi="仿宋_GB2312" w:eastAsia="仿宋_GB2312"/>
          <w:b w:val="0"/>
          <w:sz w:val="32"/>
        </w:rPr>
        <w:t>4.住房保障支出(类)44.32万元,占6.79%。</w:t>
      </w:r>
    </w:p>
    <w:p w14:paraId="614D47E2">
      <w:pPr>
        <w:spacing w:line="640" w:lineRule="exact"/>
        <w:ind w:firstLine="640"/>
        <w:jc w:val="both"/>
        <w:outlineLvl w:val="3"/>
      </w:pPr>
      <w:r>
        <w:rPr>
          <w:rFonts w:ascii="楷体_GB2312" w:hAnsi="楷体_GB2312" w:eastAsia="楷体_GB2312"/>
          <w:b/>
          <w:sz w:val="32"/>
        </w:rPr>
        <w:t>（三）一般公共预算财政拨款支出决算具体情况</w:t>
      </w:r>
    </w:p>
    <w:p w14:paraId="71530F56">
      <w:pPr>
        <w:spacing w:line="580" w:lineRule="exact"/>
        <w:ind w:firstLine="640"/>
        <w:jc w:val="both"/>
      </w:pPr>
      <w:r>
        <w:rPr>
          <w:rFonts w:ascii="仿宋_GB2312" w:hAnsi="仿宋_GB2312" w:eastAsia="仿宋_GB2312"/>
          <w:b w:val="0"/>
          <w:sz w:val="32"/>
        </w:rPr>
        <w:t>1.一般公共服务支出(类)市场监督管理事务(款)行政运行(项):支出决算数为456.10万元，比上年决算减少37.53万元，下降7.60%,主要原因是：本年在职人员调入调出，人员职级不同，工资基数不同，导致人员经费较上年减少。</w:t>
      </w:r>
    </w:p>
    <w:p w14:paraId="5FB92F3B">
      <w:pPr>
        <w:spacing w:line="580" w:lineRule="exact"/>
        <w:ind w:firstLine="640"/>
        <w:jc w:val="both"/>
      </w:pPr>
      <w:r>
        <w:rPr>
          <w:rFonts w:ascii="仿宋_GB2312" w:hAnsi="仿宋_GB2312" w:eastAsia="仿宋_GB2312"/>
          <w:b w:val="0"/>
          <w:sz w:val="32"/>
        </w:rPr>
        <w:t>2.一般公共服务支出(类)市场监督管理事务(款)药品事务(项):支出决算数为1.84万元，比上年决算增加0.40万元，增长27.78%,主要原因是：本年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自治区药品补助监督经费项目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1ECEA534">
      <w:pPr>
        <w:spacing w:line="580" w:lineRule="exact"/>
        <w:ind w:firstLine="640"/>
        <w:jc w:val="both"/>
      </w:pPr>
      <w:r>
        <w:rPr>
          <w:rFonts w:ascii="仿宋_GB2312" w:hAnsi="仿宋_GB2312" w:eastAsia="仿宋_GB2312"/>
          <w:b w:val="0"/>
          <w:sz w:val="32"/>
        </w:rPr>
        <w:t>3.一般公共服务支出(类)市场监督管理事务(款)其他市场监督管理事务(项):支出决算数为10.00万元，比上年决算增加10.00万元，增长100.00%,主要原因是：本年度新增2024年中央食品药品监管补助资金。</w:t>
      </w:r>
    </w:p>
    <w:p w14:paraId="28CF7BF6">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4.社会保障和就业支出(类)行政事业单位养老支出(款)行政单位离退休(项):支出决算数为43.80万元，比上年决算增加6.90万元，增长18.70%,主要原因是：本年增加退休人员基础绩效奖，退休费支出增加。</w:t>
      </w:r>
    </w:p>
    <w:p w14:paraId="0397288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5.社会保障和就业支出(类)行政事业单位养老支出(款)机关事业单位基本养老保险缴费支出(项):支出决算数为54.60万元，比上年决算增加5.59万元，增长11.41%,主要原因是：本年在职</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，养老保险缴费较上年增加。</w:t>
      </w:r>
    </w:p>
    <w:p w14:paraId="1719A339">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12.93万元，比上年决算减少7.50万元，下降36.71%,主要原因是：本年新增退休人员较上年减少，职业年金缴费较上年减少。</w:t>
      </w:r>
    </w:p>
    <w:p w14:paraId="71D7EBDF">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7.卫生健康支出(类)公共卫生(款)突发公共卫生事件应急处理(项):支出决算数为0.00万元，比上年决算减少3.15万元，下降100.00%,主要原因是：本年度减少2022年隔离点购置物品费用。</w:t>
      </w:r>
    </w:p>
    <w:p w14:paraId="54B7F1D9">
      <w:pPr>
        <w:spacing w:line="580" w:lineRule="exact"/>
        <w:ind w:firstLine="640"/>
        <w:jc w:val="both"/>
      </w:pPr>
      <w:r>
        <w:rPr>
          <w:rFonts w:ascii="仿宋_GB2312" w:hAnsi="仿宋_GB2312" w:eastAsia="仿宋_GB2312"/>
          <w:b w:val="0"/>
          <w:sz w:val="32"/>
        </w:rPr>
        <w:t>8.卫生健康支出(类)行政事业单位医疗(款)行政单位医疗(项):支出决算数为23.21万元，比上年决算减少12.15万元，下降34.36%,主要原因是：因退休人员医疗保险制度改革，退休人员基本医疗不再由单位缴纳，导致经费较上年减少。</w:t>
      </w:r>
    </w:p>
    <w:p w14:paraId="673F612E">
      <w:pPr>
        <w:spacing w:line="580" w:lineRule="exact"/>
        <w:ind w:firstLine="640"/>
        <w:jc w:val="both"/>
      </w:pPr>
      <w:r>
        <w:rPr>
          <w:rFonts w:ascii="仿宋_GB2312" w:hAnsi="仿宋_GB2312" w:eastAsia="仿宋_GB2312"/>
          <w:b w:val="0"/>
          <w:sz w:val="32"/>
        </w:rPr>
        <w:t>9.卫生健康支出(类)行政事业单位医疗(款)公务员医疗补助(项):支出决算数为5.48万元，比上年决算减少3.64万元，下降39.91%,主要原因是：因退休人员医疗保险制度改革，退休人员基本医疗不再由单位缴纳，导致经费较上年减少。</w:t>
      </w:r>
    </w:p>
    <w:p w14:paraId="5810D9FB">
      <w:pPr>
        <w:spacing w:line="580" w:lineRule="exact"/>
        <w:ind w:firstLine="640"/>
        <w:jc w:val="both"/>
      </w:pPr>
      <w:r>
        <w:rPr>
          <w:rFonts w:ascii="仿宋_GB2312" w:hAnsi="仿宋_GB2312" w:eastAsia="仿宋_GB2312"/>
          <w:b w:val="0"/>
          <w:sz w:val="32"/>
        </w:rPr>
        <w:t>10.住房保障支出(类)住房改革支出(款)住房公积金(项):支出决算数为44.32万元，比上年决算增加5.27万元，增长13.50%,主要原因是：本年在职人员工资基数调增，公积金缴费基数上涨，住房公积金支出较上年增加。</w:t>
      </w:r>
    </w:p>
    <w:p w14:paraId="28DACBB7">
      <w:pPr>
        <w:spacing w:line="640" w:lineRule="exact"/>
        <w:ind w:firstLine="640"/>
        <w:jc w:val="both"/>
        <w:outlineLvl w:val="2"/>
      </w:pPr>
      <w:r>
        <w:rPr>
          <w:rFonts w:ascii="黑体" w:hAnsi="黑体" w:eastAsia="黑体"/>
          <w:sz w:val="32"/>
        </w:rPr>
        <w:t>六、一般公共预算财政拨款基本支出决算情况说明</w:t>
      </w:r>
    </w:p>
    <w:p w14:paraId="0007CA33">
      <w:pPr>
        <w:spacing w:line="580" w:lineRule="exact"/>
        <w:ind w:firstLine="640"/>
        <w:jc w:val="both"/>
      </w:pPr>
      <w:r>
        <w:rPr>
          <w:rFonts w:ascii="仿宋_GB2312" w:hAnsi="仿宋_GB2312" w:eastAsia="仿宋_GB2312"/>
          <w:b w:val="0"/>
          <w:sz w:val="32"/>
        </w:rPr>
        <w:t>2024年度一般公共预算财政拨款基本支出640.43万元，其中：</w:t>
      </w:r>
      <w:r>
        <w:rPr>
          <w:rFonts w:ascii="仿宋_GB2312" w:hAnsi="仿宋_GB2312" w:eastAsia="仿宋_GB2312"/>
          <w:b/>
          <w:sz w:val="32"/>
        </w:rPr>
        <w:t>人员经费623.85万元，</w:t>
      </w:r>
      <w:r>
        <w:rPr>
          <w:rFonts w:ascii="仿宋_GB2312" w:hAnsi="仿宋_GB2312" w:eastAsia="仿宋_GB2312"/>
          <w:b w:val="0"/>
          <w:sz w:val="32"/>
        </w:rPr>
        <w:t>包括：基本工资、津贴补贴、奖金、绩效工资、机关事业单位基本养老保险缴费、职业年金缴费、公务员医疗补助缴费、其他社会保障缴费、住房公积金、退休费、抚恤金、生活补助、奖励金。</w:t>
      </w:r>
    </w:p>
    <w:p w14:paraId="645FD11D">
      <w:pPr>
        <w:spacing w:line="580" w:lineRule="exact"/>
        <w:ind w:firstLine="640"/>
        <w:jc w:val="both"/>
      </w:pPr>
      <w:r>
        <w:rPr>
          <w:rFonts w:ascii="仿宋_GB2312" w:hAnsi="仿宋_GB2312" w:eastAsia="仿宋_GB2312"/>
          <w:b/>
          <w:sz w:val="32"/>
        </w:rPr>
        <w:t>公用经费16.58万元，</w:t>
      </w:r>
      <w:r>
        <w:rPr>
          <w:rFonts w:ascii="仿宋_GB2312" w:hAnsi="仿宋_GB2312" w:eastAsia="仿宋_GB2312"/>
          <w:b w:val="0"/>
          <w:sz w:val="32"/>
        </w:rPr>
        <w:t>包括：办公费、水费、邮电费、取暖费、物业管理费、差旅费、租赁费、专用材料费、被装购置费、委托业务费、公务用车运行维护费、其他交通费用。</w:t>
      </w:r>
    </w:p>
    <w:p w14:paraId="347D987A">
      <w:pPr>
        <w:spacing w:line="640" w:lineRule="exact"/>
        <w:ind w:firstLine="640"/>
        <w:jc w:val="both"/>
        <w:outlineLvl w:val="2"/>
      </w:pPr>
      <w:r>
        <w:rPr>
          <w:rFonts w:ascii="黑体" w:hAnsi="黑体" w:eastAsia="黑体"/>
          <w:sz w:val="32"/>
        </w:rPr>
        <w:t>七、政府性基金预算财政拨款收入支出决算情况说明</w:t>
      </w:r>
    </w:p>
    <w:p w14:paraId="14F62D8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50BF07">
      <w:pPr>
        <w:spacing w:line="640" w:lineRule="exact"/>
        <w:ind w:firstLine="640"/>
        <w:jc w:val="both"/>
        <w:outlineLvl w:val="2"/>
      </w:pPr>
      <w:r>
        <w:rPr>
          <w:rFonts w:ascii="黑体" w:hAnsi="黑体" w:eastAsia="黑体"/>
          <w:sz w:val="32"/>
        </w:rPr>
        <w:t>八、国有资本经营预算财政拨款收入支出决算情况说明</w:t>
      </w:r>
    </w:p>
    <w:p w14:paraId="47BFC6F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6EB6BA">
      <w:pPr>
        <w:spacing w:line="640" w:lineRule="exact"/>
        <w:ind w:firstLine="640"/>
        <w:jc w:val="both"/>
        <w:outlineLvl w:val="2"/>
      </w:pPr>
      <w:r>
        <w:rPr>
          <w:rFonts w:ascii="黑体" w:hAnsi="黑体" w:eastAsia="黑体"/>
          <w:sz w:val="32"/>
        </w:rPr>
        <w:t>九、财政拨款“三公”经费支出决算情况说明</w:t>
      </w:r>
    </w:p>
    <w:p w14:paraId="541C932C">
      <w:pPr>
        <w:spacing w:line="580" w:lineRule="exact"/>
        <w:ind w:firstLine="640"/>
        <w:jc w:val="both"/>
      </w:pPr>
      <w:r>
        <w:rPr>
          <w:rFonts w:ascii="仿宋_GB2312" w:hAnsi="仿宋_GB2312" w:eastAsia="仿宋_GB2312"/>
          <w:b/>
          <w:sz w:val="32"/>
        </w:rPr>
        <w:t>2024年度财政拨款“三公”经费支出3.68万元，</w:t>
      </w:r>
      <w:r>
        <w:rPr>
          <w:rFonts w:ascii="仿宋_GB2312" w:hAnsi="仿宋_GB2312" w:eastAsia="仿宋_GB2312"/>
          <w:b w:val="0"/>
          <w:sz w:val="32"/>
        </w:rPr>
        <w:t>比上年增加1.04万元，增长39.39%，主要原因是：本单位公务用车日渐老化，维修维护成本增加，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3.68万元，占100.00%，比上年增加1.04万元，增长39.39%，主要原因是：本单位公务用车日渐老化，维修维护成本增加，因业务需求，用车次数增加，燃油费增加，导致公务用车运行维护费较上年增加。公务接待费支出0.00万元，占0.00%，比上年增加0.00万元，增长0.00%，主要原因是：2023年与2024年均未安排公务接待费支出。</w:t>
      </w:r>
    </w:p>
    <w:p w14:paraId="7FE0ECCE">
      <w:pPr>
        <w:spacing w:line="580" w:lineRule="exact"/>
        <w:ind w:firstLine="640"/>
        <w:jc w:val="both"/>
      </w:pPr>
      <w:r>
        <w:rPr>
          <w:rFonts w:ascii="仿宋_GB2312" w:hAnsi="仿宋_GB2312" w:eastAsia="仿宋_GB2312"/>
          <w:b/>
          <w:sz w:val="32"/>
        </w:rPr>
        <w:t>具体情况如下：</w:t>
      </w:r>
    </w:p>
    <w:p w14:paraId="3ABB60A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E84D6E">
      <w:pPr>
        <w:spacing w:line="580" w:lineRule="exact"/>
        <w:ind w:firstLine="640"/>
        <w:jc w:val="both"/>
      </w:pPr>
      <w:r>
        <w:rPr>
          <w:rFonts w:ascii="仿宋_GB2312" w:hAnsi="仿宋_GB2312" w:eastAsia="仿宋_GB2312"/>
          <w:b w:val="0"/>
          <w:sz w:val="32"/>
        </w:rPr>
        <w:t>公务用车购置及运行维护费3.68万元，其中：公务用车购置费0.00万元，公务用车运行维护费3.68万元。公务用车运行维护费开支内容包括车辆加油费、维修费、保险费、审车费。公务用车购置数0辆，公务用车保有量2辆。国有资产占用情况中固定资产车辆3辆，与公务用车保有量差异原因是：本单位车辆借</w:t>
      </w:r>
      <w:r>
        <w:rPr>
          <w:rFonts w:hint="eastAsia" w:ascii="仿宋_GB2312" w:hAnsi="仿宋_GB2312" w:eastAsia="仿宋_GB2312"/>
          <w:b w:val="0"/>
          <w:sz w:val="32"/>
          <w:lang w:val="en-US" w:eastAsia="zh-CN"/>
        </w:rPr>
        <w:t>给</w:t>
      </w:r>
      <w:bookmarkStart w:id="0" w:name="_GoBack"/>
      <w:bookmarkEnd w:id="0"/>
      <w:r>
        <w:rPr>
          <w:rFonts w:ascii="仿宋_GB2312" w:hAnsi="仿宋_GB2312" w:eastAsia="仿宋_GB2312"/>
          <w:b w:val="0"/>
          <w:sz w:val="32"/>
        </w:rPr>
        <w:t>其他单位使用，车辆费用由使用单位支付。</w:t>
      </w:r>
    </w:p>
    <w:p w14:paraId="3A9DCC9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1E283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3.68万元，决算数3.68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3.68万元，决算数3.68万元，预决算差异率0.00%，主要原因是：严格按照预算执行，预决算无差异。公务接待费全年预算数0.00万元，决算数0.00万元，预决算差异率0.00%，主要原因是：本单位无公务接待费。</w:t>
      </w:r>
    </w:p>
    <w:p w14:paraId="3604ED06">
      <w:pPr>
        <w:spacing w:line="640" w:lineRule="exact"/>
        <w:ind w:firstLine="640"/>
        <w:jc w:val="both"/>
        <w:outlineLvl w:val="2"/>
      </w:pPr>
      <w:r>
        <w:rPr>
          <w:rFonts w:ascii="黑体" w:hAnsi="黑体" w:eastAsia="黑体"/>
          <w:sz w:val="32"/>
        </w:rPr>
        <w:t>十、其他重要事项的情况说明</w:t>
      </w:r>
    </w:p>
    <w:p w14:paraId="61887ED7">
      <w:pPr>
        <w:spacing w:line="640" w:lineRule="exact"/>
        <w:ind w:firstLine="640"/>
        <w:jc w:val="both"/>
        <w:outlineLvl w:val="3"/>
      </w:pPr>
      <w:r>
        <w:rPr>
          <w:rFonts w:ascii="楷体_GB2312" w:hAnsi="楷体_GB2312" w:eastAsia="楷体_GB2312"/>
          <w:b/>
          <w:sz w:val="32"/>
        </w:rPr>
        <w:t>（一）机关运行经费及公用经费支出情况</w:t>
      </w:r>
    </w:p>
    <w:p w14:paraId="2AB1966A">
      <w:pPr>
        <w:spacing w:line="580" w:lineRule="exact"/>
        <w:ind w:firstLine="640"/>
        <w:jc w:val="both"/>
      </w:pPr>
      <w:r>
        <w:rPr>
          <w:rFonts w:ascii="仿宋_GB2312" w:hAnsi="仿宋_GB2312" w:eastAsia="仿宋_GB2312"/>
          <w:b w:val="0"/>
          <w:sz w:val="32"/>
        </w:rPr>
        <w:t>2024年度岳普湖县市场监督管理局（行政单位和参照公务员法管理事业单位）机关运行经费支出16.58万元，比上年增加0.18万元，增长1.10%，主要原因是：本年业务量增加，办公费增加，相应机关运行经费增加。</w:t>
      </w:r>
    </w:p>
    <w:p w14:paraId="51E42EB4">
      <w:pPr>
        <w:spacing w:line="640" w:lineRule="exact"/>
        <w:ind w:firstLine="640"/>
        <w:jc w:val="both"/>
        <w:outlineLvl w:val="3"/>
      </w:pPr>
      <w:r>
        <w:rPr>
          <w:rFonts w:ascii="楷体_GB2312" w:hAnsi="楷体_GB2312" w:eastAsia="楷体_GB2312"/>
          <w:b/>
          <w:sz w:val="32"/>
        </w:rPr>
        <w:t>（二）政府采购情况</w:t>
      </w:r>
    </w:p>
    <w:p w14:paraId="4D131F81">
      <w:pPr>
        <w:spacing w:line="580" w:lineRule="exact"/>
        <w:ind w:firstLine="640"/>
        <w:jc w:val="both"/>
      </w:pPr>
      <w:r>
        <w:rPr>
          <w:rFonts w:ascii="仿宋_GB2312" w:hAnsi="仿宋_GB2312" w:eastAsia="仿宋_GB2312"/>
          <w:b w:val="0"/>
          <w:sz w:val="32"/>
        </w:rPr>
        <w:t>2024年度政府采购支出总额16.80万元，其中：政府采购货物支出5.16万元、政府采购工程支出8.00万元、政府采购服务支出3.64万元。</w:t>
      </w:r>
    </w:p>
    <w:p w14:paraId="7A8CF933">
      <w:pPr>
        <w:spacing w:line="580" w:lineRule="exact"/>
        <w:ind w:firstLine="640"/>
        <w:jc w:val="both"/>
      </w:pPr>
      <w:r>
        <w:rPr>
          <w:rFonts w:ascii="仿宋_GB2312" w:hAnsi="仿宋_GB2312" w:eastAsia="仿宋_GB2312"/>
          <w:b w:val="0"/>
          <w:sz w:val="32"/>
        </w:rPr>
        <w:t>授予中小企业合同金额16.80万元，占政府采购支出总额的100.00%，其中：授予小微企业合同金额16.80万元，占政府采购支出总额的100.00%。</w:t>
      </w:r>
    </w:p>
    <w:p w14:paraId="4B84224F">
      <w:pPr>
        <w:spacing w:line="640" w:lineRule="exact"/>
        <w:ind w:firstLine="640"/>
        <w:jc w:val="both"/>
        <w:outlineLvl w:val="3"/>
      </w:pPr>
      <w:r>
        <w:rPr>
          <w:rFonts w:ascii="楷体_GB2312" w:hAnsi="楷体_GB2312" w:eastAsia="楷体_GB2312"/>
          <w:b/>
          <w:sz w:val="32"/>
        </w:rPr>
        <w:t>（三）国有资产占用情况说明</w:t>
      </w:r>
    </w:p>
    <w:p w14:paraId="16E078BE">
      <w:pPr>
        <w:spacing w:line="580" w:lineRule="exact"/>
        <w:ind w:firstLine="640"/>
        <w:jc w:val="both"/>
      </w:pPr>
      <w:r>
        <w:rPr>
          <w:rFonts w:ascii="仿宋_GB2312" w:hAnsi="仿宋_GB2312" w:eastAsia="仿宋_GB2312"/>
          <w:b w:val="0"/>
          <w:sz w:val="32"/>
        </w:rPr>
        <w:t>截至2024年12月31日，房屋4,994.75平方米，价值586.30万元。车辆3辆，价值40.30万元，其中：副部（省）级及以上领导用车0辆、主要负责人用车0辆、机要通信用车0辆、应急保障用车0辆、执法执勤用车3辆、特种专业技术用车0辆、离退休干部服务用车0辆、其他用车0辆，其他用车主要是：本单位无其他用车。单价100万元（含）以上设备（不含车辆）0台（套）。</w:t>
      </w:r>
    </w:p>
    <w:p w14:paraId="5478E883">
      <w:pPr>
        <w:spacing w:line="640" w:lineRule="exact"/>
        <w:ind w:firstLine="640"/>
        <w:jc w:val="both"/>
        <w:outlineLvl w:val="2"/>
      </w:pPr>
      <w:r>
        <w:rPr>
          <w:rFonts w:ascii="黑体" w:hAnsi="黑体" w:eastAsia="黑体"/>
          <w:sz w:val="32"/>
        </w:rPr>
        <w:t>十一、预算绩效的情况说明</w:t>
      </w:r>
    </w:p>
    <w:p w14:paraId="63C1F15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771.01万元，实际执行总额716.22万元；预算绩效评价项目3个，全年预算数47.71万元，全年执行数47.71万元。预算绩效管理取得的成效：一是加大绩效工作宣传力度，强化绩效理念。二是完善绩效指标，依据对部门工作任务的分解形成工作活动层面的绩效目标，提高整体绩效目标质量。三是提升预算精细化管理水平。目标的设定与部门的整体支出方向、结构与范围要高度一致，与“三定方案”确定的部门职能紧密相关，细致梳理部门具体的工作职责。继续完善预算绩效管理相关工作制度，建立全过程预算绩效管理链条，有效贯彻落实全面实施绩效管理的精神。发现的问题及原因：一是过于重视项目短期行为，部分业务人员绩效管理意识有待增强，未能全面深入认识理解绩效管理工作的意义。二是绩效管理经验不足，预算绩效管理工作有待进一步落实。绩效指标的明确性、可衡量性、相关性还需进一步提升。三是预算精细化管理还需完善，预算编制管理水平仍有进一步提升的空间。四是缺少带着问题去评价的意识，后续效益评价具体措施和方法不足。下一步改进措施：一是加强业务人员绩效管理意识，加强培训力度。二是</w:t>
      </w:r>
      <w:r>
        <w:rPr>
          <w:rFonts w:hint="eastAsia" w:ascii="仿宋_GB2312" w:hAnsi="仿宋_GB2312" w:eastAsia="仿宋_GB2312"/>
          <w:b w:val="0"/>
          <w:sz w:val="32"/>
          <w:lang w:eastAsia="zh-CN"/>
        </w:rPr>
        <w:t>进一步</w:t>
      </w:r>
      <w:r>
        <w:rPr>
          <w:rFonts w:ascii="仿宋_GB2312" w:hAnsi="仿宋_GB2312" w:eastAsia="仿宋_GB2312"/>
          <w:b w:val="0"/>
          <w:sz w:val="32"/>
        </w:rPr>
        <w:t>完善绩效管理制度。三是总结经验，研究问题及发生原因，更加重视绩效管理。具体附整体支出绩效自评表，项目支出绩效自评表和评价报告。</w:t>
      </w:r>
    </w:p>
    <w:p w14:paraId="77A6AA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9A8AEF">
        <w:tblPrEx>
          <w:tblCellMar>
            <w:top w:w="0" w:type="dxa"/>
            <w:left w:w="108" w:type="dxa"/>
            <w:bottom w:w="0" w:type="dxa"/>
            <w:right w:w="108" w:type="dxa"/>
          </w:tblCellMar>
        </w:tblPrEx>
        <w:tc>
          <w:tcPr>
            <w:tcW w:w="8847" w:type="dxa"/>
            <w:gridSpan w:val="9"/>
            <w:vAlign w:val="center"/>
          </w:tcPr>
          <w:p w14:paraId="6BAE0C5A">
            <w:pPr>
              <w:jc w:val="center"/>
            </w:pPr>
            <w:r>
              <w:rPr>
                <w:rFonts w:ascii="宋体" w:hAnsi="宋体" w:eastAsia="宋体"/>
                <w:sz w:val="24"/>
              </w:rPr>
              <w:t>单位整体支出绩效自评表</w:t>
            </w:r>
          </w:p>
        </w:tc>
      </w:tr>
      <w:tr w14:paraId="7E1B0A69">
        <w:tblPrEx>
          <w:tblCellMar>
            <w:top w:w="0" w:type="dxa"/>
            <w:left w:w="108" w:type="dxa"/>
            <w:bottom w:w="0" w:type="dxa"/>
            <w:right w:w="108" w:type="dxa"/>
          </w:tblCellMar>
        </w:tblPrEx>
        <w:tc>
          <w:tcPr>
            <w:tcW w:w="8847" w:type="dxa"/>
            <w:gridSpan w:val="9"/>
            <w:vAlign w:val="center"/>
          </w:tcPr>
          <w:p w14:paraId="289CCCE3">
            <w:pPr>
              <w:jc w:val="center"/>
            </w:pPr>
            <w:r>
              <w:rPr>
                <w:rFonts w:ascii="宋体" w:hAnsi="宋体" w:eastAsia="宋体"/>
                <w:sz w:val="24"/>
              </w:rPr>
              <w:t>（2024年度）</w:t>
            </w:r>
          </w:p>
        </w:tc>
      </w:tr>
      <w:tr w14:paraId="011286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AB6E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FE24A2">
            <w:pPr>
              <w:jc w:val="center"/>
            </w:pPr>
            <w:r>
              <w:rPr>
                <w:rFonts w:ascii="宋体" w:hAnsi="宋体" w:eastAsia="宋体"/>
                <w:sz w:val="16"/>
              </w:rPr>
              <w:t>岳普湖县市场监督管理局</w:t>
            </w:r>
          </w:p>
        </w:tc>
      </w:tr>
      <w:tr w14:paraId="780B65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8369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8C21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E685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3F46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6CDA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DF5C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E0D4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06272">
            <w:pPr>
              <w:jc w:val="center"/>
            </w:pPr>
            <w:r>
              <w:rPr>
                <w:rFonts w:ascii="宋体" w:hAnsi="宋体" w:eastAsia="宋体"/>
                <w:sz w:val="16"/>
              </w:rPr>
              <w:t>得分</w:t>
            </w:r>
          </w:p>
        </w:tc>
      </w:tr>
      <w:tr w14:paraId="705D4F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94F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8CCE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DB1E4">
            <w:pPr>
              <w:jc w:val="center"/>
            </w:pPr>
            <w:r>
              <w:rPr>
                <w:rFonts w:ascii="宋体" w:hAnsi="宋体" w:eastAsia="宋体"/>
                <w:sz w:val="16"/>
              </w:rPr>
              <w:t>595.69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15F5C">
            <w:pPr>
              <w:jc w:val="center"/>
            </w:pPr>
            <w:r>
              <w:rPr>
                <w:rFonts w:ascii="宋体" w:hAnsi="宋体" w:eastAsia="宋体"/>
                <w:sz w:val="16"/>
              </w:rPr>
              <w:t>771.01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316B1">
            <w:pPr>
              <w:jc w:val="center"/>
            </w:pPr>
            <w:r>
              <w:rPr>
                <w:rFonts w:ascii="宋体" w:hAnsi="宋体" w:eastAsia="宋体"/>
                <w:sz w:val="16"/>
              </w:rPr>
              <w:t>716.22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E43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528EC">
            <w:pPr>
              <w:jc w:val="center"/>
            </w:pPr>
            <w:r>
              <w:rPr>
                <w:rFonts w:ascii="宋体" w:hAnsi="宋体" w:eastAsia="宋体"/>
                <w:sz w:val="16"/>
              </w:rPr>
              <w:t>92.89%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023A6">
            <w:pPr>
              <w:jc w:val="center"/>
            </w:pPr>
            <w:r>
              <w:rPr>
                <w:rFonts w:ascii="宋体" w:hAnsi="宋体" w:eastAsia="宋体"/>
                <w:sz w:val="16"/>
              </w:rPr>
              <w:t>9.29</w:t>
            </w:r>
          </w:p>
        </w:tc>
      </w:tr>
      <w:tr w14:paraId="43A033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F5A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3F83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7958C">
            <w:pPr>
              <w:jc w:val="center"/>
            </w:pPr>
            <w:r>
              <w:rPr>
                <w:rFonts w:ascii="宋体" w:hAnsi="宋体" w:eastAsia="宋体"/>
                <w:sz w:val="16"/>
              </w:rPr>
              <w:t>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775D1">
            <w:pPr>
              <w:jc w:val="center"/>
            </w:pPr>
            <w:r>
              <w:rPr>
                <w:rFonts w:ascii="宋体" w:hAnsi="宋体" w:eastAsia="宋体"/>
                <w:sz w:val="16"/>
              </w:rPr>
              <w:t>26.54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272F3">
            <w:pPr>
              <w:jc w:val="center"/>
            </w:pPr>
            <w:r>
              <w:rPr>
                <w:rFonts w:ascii="宋体" w:hAnsi="宋体" w:eastAsia="宋体"/>
                <w:sz w:val="16"/>
              </w:rPr>
              <w:t>26.54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F37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336D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4EDC">
            <w:pPr>
              <w:jc w:val="center"/>
            </w:pPr>
            <w:r>
              <w:rPr>
                <w:rFonts w:ascii="宋体" w:hAnsi="宋体" w:eastAsia="宋体"/>
                <w:sz w:val="16"/>
              </w:rPr>
              <w:t>—</w:t>
            </w:r>
          </w:p>
        </w:tc>
      </w:tr>
      <w:tr w14:paraId="0BB983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02C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0FA4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91202">
            <w:pPr>
              <w:jc w:val="center"/>
            </w:pPr>
            <w:r>
              <w:rPr>
                <w:rFonts w:ascii="宋体" w:hAnsi="宋体" w:eastAsia="宋体"/>
                <w:sz w:val="16"/>
              </w:rPr>
              <w:t>593.85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E4ECD">
            <w:pPr>
              <w:jc w:val="center"/>
            </w:pPr>
            <w:r>
              <w:rPr>
                <w:rFonts w:ascii="宋体" w:hAnsi="宋体" w:eastAsia="宋体"/>
                <w:sz w:val="16"/>
              </w:rPr>
              <w:t>625.73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9484D">
            <w:pPr>
              <w:jc w:val="center"/>
            </w:pPr>
            <w:r>
              <w:rPr>
                <w:rFonts w:ascii="宋体" w:hAnsi="宋体" w:eastAsia="宋体"/>
                <w:sz w:val="16"/>
              </w:rPr>
              <w:t>625.73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686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D86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B443E">
            <w:pPr>
              <w:jc w:val="center"/>
            </w:pPr>
            <w:r>
              <w:rPr>
                <w:rFonts w:ascii="宋体" w:hAnsi="宋体" w:eastAsia="宋体"/>
                <w:sz w:val="16"/>
              </w:rPr>
              <w:t>—</w:t>
            </w:r>
          </w:p>
        </w:tc>
      </w:tr>
      <w:tr w14:paraId="21CCB3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178C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51DE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83E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A64E7">
            <w:pPr>
              <w:jc w:val="center"/>
            </w:pPr>
            <w:r>
              <w:rPr>
                <w:rFonts w:ascii="宋体" w:hAnsi="宋体" w:eastAsia="宋体"/>
                <w:sz w:val="16"/>
              </w:rPr>
              <w:t>118.74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7C2E1">
            <w:pPr>
              <w:jc w:val="center"/>
            </w:pPr>
            <w:r>
              <w:rPr>
                <w:rFonts w:ascii="宋体" w:hAnsi="宋体" w:eastAsia="宋体"/>
                <w:sz w:val="16"/>
              </w:rPr>
              <w:t>63.95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830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2ED8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8E20F">
            <w:pPr>
              <w:jc w:val="center"/>
            </w:pPr>
            <w:r>
              <w:rPr>
                <w:rFonts w:ascii="宋体" w:hAnsi="宋体" w:eastAsia="宋体"/>
                <w:sz w:val="16"/>
              </w:rPr>
              <w:t>—</w:t>
            </w:r>
          </w:p>
        </w:tc>
      </w:tr>
      <w:tr w14:paraId="10CB84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3A97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90D57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4880E5">
            <w:pPr>
              <w:jc w:val="center"/>
            </w:pPr>
            <w:r>
              <w:rPr>
                <w:rFonts w:ascii="宋体" w:hAnsi="宋体" w:eastAsia="宋体"/>
                <w:sz w:val="16"/>
              </w:rPr>
              <w:t>实际完成情况</w:t>
            </w:r>
          </w:p>
        </w:tc>
      </w:tr>
      <w:tr w14:paraId="4C5561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3EED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16CA3B">
            <w:pPr>
              <w:jc w:val="both"/>
            </w:pPr>
            <w:r>
              <w:rPr>
                <w:rFonts w:ascii="宋体" w:hAnsi="宋体" w:eastAsia="宋体"/>
                <w:sz w:val="16"/>
              </w:rPr>
              <w:t>按期完成全县2550家次各类食品经营主体安全监督检查工作，完成全县88家次药品经营企业安全监督检查工作，确保校园食堂、大中型餐饮“明厨亮灶”全覆盖，推进食品药品安全监管。完成市场环境规范管理和监管执法工作，推进市场监管现代化建设。按期完成特种设备安全检查工作，守住特种设备安全监管底线。加强产品质量安全监管工作，加大质量违法行为曝光力度。坚守“四大安全”底线，巩固和维护了岳普湖县市场健康良好秩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FB3887">
            <w:pPr>
              <w:jc w:val="both"/>
            </w:pPr>
            <w:r>
              <w:rPr>
                <w:rFonts w:ascii="宋体" w:hAnsi="宋体" w:eastAsia="宋体"/>
                <w:sz w:val="16"/>
              </w:rPr>
              <w:t>岳普湖县市场监督管理局本年度已完成全县2590家次各类食品经营主体安全监督检查工作，深入开展食品安全监管，已完成校园食堂、大中型餐饮“明厨亮灶”全覆盖工作，深入推进食品安全排查整治专项行动，持续推动餐饮环节质量提升。已完成全县89家次药品经营企业安全监督检查工作，强化抽检不合格后处理力度，扎实推进药品安全监管，提高药品安全整体管理水平。已完成特种设备安全检查工作，强化重点场所特种设备安全隐患排查整治力度，确保特种设备零事故、特种设备检验全覆盖。已完成产品质量安全监管工作，强化重点工业产品质量监管力度，严厉打击制售假冒伪劣产品违法行为。已完成本年度市场环境规范管理和监管执法工作，推进市场监管现代化建设。坚守“四大安全”底线，巩固和维护了岳普湖县市场健康良好秩序。</w:t>
            </w:r>
          </w:p>
        </w:tc>
      </w:tr>
      <w:tr w14:paraId="0CE690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DB70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00D7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7B1A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A884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CA03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DCE1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4BCF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8932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9378A">
            <w:pPr>
              <w:jc w:val="center"/>
            </w:pPr>
            <w:r>
              <w:rPr>
                <w:rFonts w:ascii="宋体" w:hAnsi="宋体" w:eastAsia="宋体"/>
                <w:sz w:val="16"/>
              </w:rPr>
              <w:t>得分</w:t>
            </w:r>
          </w:p>
        </w:tc>
      </w:tr>
      <w:tr w14:paraId="2DBD00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C856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4A7F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06751">
            <w:pPr>
              <w:jc w:val="center"/>
            </w:pPr>
            <w:r>
              <w:rPr>
                <w:rFonts w:ascii="宋体" w:hAnsi="宋体" w:eastAsia="宋体"/>
                <w:sz w:val="16"/>
              </w:rPr>
              <w:t>食品安全监督检查经营主体数量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2FF88">
            <w:pPr>
              <w:jc w:val="center"/>
            </w:pPr>
            <w:r>
              <w:rPr>
                <w:rFonts w:ascii="宋体" w:hAnsi="宋体" w:eastAsia="宋体"/>
                <w:sz w:val="16"/>
              </w:rPr>
              <w:t>&gt;=2550家次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141FB">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DFBC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B1425">
            <w:pPr>
              <w:jc w:val="center"/>
            </w:pPr>
            <w:r>
              <w:rPr>
                <w:rFonts w:ascii="宋体" w:hAnsi="宋体" w:eastAsia="宋体"/>
                <w:sz w:val="16"/>
              </w:rPr>
              <w:t>2590家次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C2D90">
            <w:pPr>
              <w:jc w:val="center"/>
            </w:pPr>
            <w:r>
              <w:rPr>
                <w:rFonts w:ascii="宋体" w:hAnsi="宋体" w:eastAsia="宋体"/>
                <w:sz w:val="16"/>
              </w:rPr>
              <w:t>101.57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92757">
            <w:pPr>
              <w:jc w:val="center"/>
            </w:pPr>
            <w:r>
              <w:rPr>
                <w:rFonts w:ascii="宋体" w:hAnsi="宋体" w:eastAsia="宋体"/>
                <w:sz w:val="16"/>
              </w:rPr>
              <w:t>15</w:t>
            </w:r>
          </w:p>
        </w:tc>
      </w:tr>
      <w:tr w14:paraId="588375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6D9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A64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6B347">
            <w:pPr>
              <w:jc w:val="center"/>
            </w:pPr>
            <w:r>
              <w:rPr>
                <w:rFonts w:ascii="宋体" w:hAnsi="宋体" w:eastAsia="宋体"/>
                <w:sz w:val="16"/>
              </w:rPr>
              <w:t>全年药品检查经营主体数量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EABBF">
            <w:pPr>
              <w:jc w:val="center"/>
            </w:pPr>
            <w:r>
              <w:rPr>
                <w:rFonts w:ascii="宋体" w:hAnsi="宋体" w:eastAsia="宋体"/>
                <w:sz w:val="16"/>
              </w:rPr>
              <w:t>&gt;=88家次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EF64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F139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26DE5">
            <w:pPr>
              <w:jc w:val="center"/>
            </w:pPr>
            <w:r>
              <w:rPr>
                <w:rFonts w:ascii="宋体" w:hAnsi="宋体" w:eastAsia="宋体"/>
                <w:sz w:val="16"/>
              </w:rPr>
              <w:t>89家次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45750">
            <w:pPr>
              <w:jc w:val="center"/>
            </w:pPr>
            <w:r>
              <w:rPr>
                <w:rFonts w:ascii="宋体" w:hAnsi="宋体" w:eastAsia="宋体"/>
                <w:sz w:val="16"/>
              </w:rPr>
              <w:t>101.14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8752">
            <w:pPr>
              <w:jc w:val="center"/>
            </w:pPr>
            <w:r>
              <w:rPr>
                <w:rFonts w:ascii="宋体" w:hAnsi="宋体" w:eastAsia="宋体"/>
                <w:sz w:val="16"/>
              </w:rPr>
              <w:t>15</w:t>
            </w:r>
          </w:p>
        </w:tc>
      </w:tr>
      <w:tr w14:paraId="1C7581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5CCE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879A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FFC84">
            <w:pPr>
              <w:jc w:val="center"/>
            </w:pPr>
            <w:r>
              <w:rPr>
                <w:rFonts w:ascii="宋体" w:hAnsi="宋体" w:eastAsia="宋体"/>
                <w:sz w:val="16"/>
              </w:rPr>
              <w:t>特种设备安全检查完成率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4B7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42E10">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367D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312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B44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77938">
            <w:pPr>
              <w:jc w:val="center"/>
            </w:pPr>
            <w:r>
              <w:rPr>
                <w:rFonts w:ascii="宋体" w:hAnsi="宋体" w:eastAsia="宋体"/>
                <w:sz w:val="16"/>
              </w:rPr>
              <w:t>15</w:t>
            </w:r>
          </w:p>
        </w:tc>
      </w:tr>
      <w:tr w14:paraId="564D9B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97C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DE8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D8EF7">
            <w:pPr>
              <w:jc w:val="center"/>
            </w:pPr>
            <w:r>
              <w:rPr>
                <w:rFonts w:ascii="宋体" w:hAnsi="宋体" w:eastAsia="宋体"/>
                <w:sz w:val="16"/>
              </w:rPr>
              <w:t>产品质量安全监管工作完成率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B51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197E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61FE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1F0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D22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A312F">
            <w:pPr>
              <w:jc w:val="center"/>
            </w:pPr>
            <w:r>
              <w:rPr>
                <w:rFonts w:ascii="宋体" w:hAnsi="宋体" w:eastAsia="宋体"/>
                <w:sz w:val="16"/>
              </w:rPr>
              <w:t>15</w:t>
            </w:r>
          </w:p>
        </w:tc>
      </w:tr>
      <w:tr w14:paraId="2B5E2D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6D2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23F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EFE18">
            <w:pPr>
              <w:jc w:val="center"/>
            </w:pPr>
            <w:r>
              <w:rPr>
                <w:rFonts w:ascii="宋体" w:hAnsi="宋体" w:eastAsia="宋体"/>
                <w:sz w:val="16"/>
              </w:rPr>
              <w:t>市场环境规范管理工作完成率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9D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C3363">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C726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0F8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8E1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6756B">
            <w:pPr>
              <w:jc w:val="center"/>
            </w:pPr>
            <w:r>
              <w:rPr>
                <w:rFonts w:ascii="宋体" w:hAnsi="宋体" w:eastAsia="宋体"/>
                <w:sz w:val="16"/>
              </w:rPr>
              <w:t>15</w:t>
            </w:r>
          </w:p>
        </w:tc>
      </w:tr>
      <w:tr w14:paraId="22ED32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FDC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D42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1A16F">
            <w:pPr>
              <w:jc w:val="center"/>
            </w:pPr>
            <w:r>
              <w:rPr>
                <w:rFonts w:ascii="宋体" w:hAnsi="宋体" w:eastAsia="宋体"/>
                <w:sz w:val="16"/>
              </w:rPr>
              <w:t>校园食堂、大中型餐饮“明厨亮灶”覆盖率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B2D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C0EA">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424B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6D2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FC4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63DF5">
            <w:pPr>
              <w:jc w:val="center"/>
            </w:pPr>
            <w:r>
              <w:rPr>
                <w:rFonts w:ascii="宋体" w:hAnsi="宋体" w:eastAsia="宋体"/>
                <w:sz w:val="16"/>
              </w:rPr>
              <w:t>15</w:t>
            </w:r>
          </w:p>
        </w:tc>
      </w:tr>
    </w:tbl>
    <w:p w14:paraId="501E77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24296C4">
        <w:tblPrEx>
          <w:tblCellMar>
            <w:top w:w="0" w:type="dxa"/>
            <w:left w:w="108" w:type="dxa"/>
            <w:bottom w:w="0" w:type="dxa"/>
            <w:right w:w="108" w:type="dxa"/>
          </w:tblCellMar>
        </w:tblPrEx>
        <w:tc>
          <w:tcPr>
            <w:tcW w:w="8848" w:type="dxa"/>
            <w:gridSpan w:val="14"/>
            <w:vAlign w:val="center"/>
          </w:tcPr>
          <w:p w14:paraId="6660CBBC">
            <w:pPr>
              <w:jc w:val="center"/>
            </w:pPr>
            <w:r>
              <w:rPr>
                <w:rFonts w:ascii="宋体" w:hAnsi="宋体" w:eastAsia="宋体"/>
                <w:sz w:val="24"/>
              </w:rPr>
              <w:t>项目支出绩效自评表</w:t>
            </w:r>
          </w:p>
        </w:tc>
      </w:tr>
      <w:tr w14:paraId="573F1366">
        <w:tblPrEx>
          <w:tblCellMar>
            <w:top w:w="0" w:type="dxa"/>
            <w:left w:w="108" w:type="dxa"/>
            <w:bottom w:w="0" w:type="dxa"/>
            <w:right w:w="108" w:type="dxa"/>
          </w:tblCellMar>
        </w:tblPrEx>
        <w:tc>
          <w:tcPr>
            <w:tcW w:w="8848" w:type="dxa"/>
            <w:gridSpan w:val="14"/>
            <w:vAlign w:val="center"/>
          </w:tcPr>
          <w:p w14:paraId="1B466046">
            <w:pPr>
              <w:jc w:val="center"/>
            </w:pPr>
            <w:r>
              <w:rPr>
                <w:rFonts w:ascii="宋体" w:hAnsi="宋体" w:eastAsia="宋体"/>
                <w:sz w:val="24"/>
              </w:rPr>
              <w:t>(2024年度)</w:t>
            </w:r>
          </w:p>
        </w:tc>
      </w:tr>
      <w:tr w14:paraId="748B99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02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277821">
            <w:pPr>
              <w:jc w:val="center"/>
            </w:pPr>
            <w:r>
              <w:rPr>
                <w:rFonts w:ascii="宋体" w:hAnsi="宋体" w:eastAsia="宋体"/>
                <w:sz w:val="16"/>
              </w:rPr>
              <w:t>2023年度自治区药品补助监督经费项目</w:t>
            </w:r>
          </w:p>
        </w:tc>
      </w:tr>
      <w:tr w14:paraId="4E64FF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59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AB563">
            <w:pPr>
              <w:jc w:val="center"/>
            </w:pPr>
            <w:r>
              <w:rPr>
                <w:rFonts w:ascii="宋体" w:hAnsi="宋体" w:eastAsia="宋体"/>
                <w:sz w:val="16"/>
              </w:rPr>
              <w:t>岳普湖县市场监督管理局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83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A75212">
            <w:pPr>
              <w:jc w:val="center"/>
            </w:pPr>
            <w:r>
              <w:rPr>
                <w:rFonts w:ascii="宋体" w:hAnsi="宋体" w:eastAsia="宋体"/>
                <w:sz w:val="16"/>
              </w:rPr>
              <w:t>岳普湖县市场监督管理局</w:t>
            </w:r>
          </w:p>
        </w:tc>
      </w:tr>
      <w:tr w14:paraId="2B37D1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C74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4E1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68B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095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E42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8AD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F9A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4671">
            <w:pPr>
              <w:jc w:val="center"/>
            </w:pPr>
            <w:r>
              <w:rPr>
                <w:rFonts w:ascii="宋体" w:hAnsi="宋体" w:eastAsia="宋体"/>
                <w:sz w:val="16"/>
              </w:rPr>
              <w:t>得分</w:t>
            </w:r>
          </w:p>
        </w:tc>
      </w:tr>
      <w:tr w14:paraId="7E6FA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7C1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6AD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64848">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A78E0">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48850">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440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DCB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1A08">
            <w:pPr>
              <w:jc w:val="center"/>
            </w:pPr>
            <w:r>
              <w:rPr>
                <w:rFonts w:ascii="宋体" w:hAnsi="宋体" w:eastAsia="宋体"/>
                <w:sz w:val="16"/>
              </w:rPr>
              <w:t>10.00分</w:t>
            </w:r>
          </w:p>
        </w:tc>
      </w:tr>
      <w:tr w14:paraId="052C4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780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9EB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876FD">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BFB90">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E5947">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2F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CCE9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DE69">
            <w:pPr>
              <w:jc w:val="center"/>
            </w:pPr>
            <w:r>
              <w:rPr>
                <w:rFonts w:ascii="宋体" w:hAnsi="宋体" w:eastAsia="宋体"/>
                <w:sz w:val="16"/>
              </w:rPr>
              <w:t>—</w:t>
            </w:r>
          </w:p>
        </w:tc>
      </w:tr>
      <w:tr w14:paraId="22234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9EC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79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691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1D5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147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209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E733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744A">
            <w:pPr>
              <w:jc w:val="center"/>
            </w:pPr>
            <w:r>
              <w:rPr>
                <w:rFonts w:ascii="宋体" w:hAnsi="宋体" w:eastAsia="宋体"/>
                <w:sz w:val="16"/>
              </w:rPr>
              <w:t>—</w:t>
            </w:r>
          </w:p>
        </w:tc>
      </w:tr>
      <w:tr w14:paraId="7DE693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8D1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D44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D30C32">
            <w:pPr>
              <w:jc w:val="center"/>
            </w:pPr>
            <w:r>
              <w:rPr>
                <w:rFonts w:ascii="宋体" w:hAnsi="宋体" w:eastAsia="宋体"/>
                <w:sz w:val="16"/>
              </w:rPr>
              <w:t>实际完成情况</w:t>
            </w:r>
          </w:p>
        </w:tc>
      </w:tr>
      <w:tr w14:paraId="06E24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1F9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6CF53">
            <w:pPr>
              <w:jc w:val="both"/>
            </w:pPr>
            <w:r>
              <w:rPr>
                <w:rFonts w:ascii="宋体" w:hAnsi="宋体" w:eastAsia="宋体"/>
                <w:sz w:val="16"/>
              </w:rPr>
              <w:t>根据岳普湖县实际情况，为响应自治区文件要求，认真贯彻全国药品</w:t>
            </w:r>
            <w:r>
              <w:rPr>
                <w:rFonts w:hint="eastAsia" w:ascii="宋体" w:hAnsi="宋体"/>
                <w:sz w:val="16"/>
                <w:lang w:eastAsia="zh-CN"/>
              </w:rPr>
              <w:t>监督管理</w:t>
            </w:r>
            <w:r>
              <w:rPr>
                <w:rFonts w:ascii="宋体" w:hAnsi="宋体" w:eastAsia="宋体"/>
                <w:sz w:val="16"/>
              </w:rPr>
              <w:t>工作会议部署和自治区药监局药品监管重点工作安排，进一步做好省级药品、医疗器械和化妆品抽检工作，有效发挥抽检工作的风险防控和技术支撑作用，努力提高监管能力和监管水平。对岳普湖县9个批次的药品进行抽样、检验工作。通过项目的实施提升“两品一械”监管服务水平，减少假冒伪劣“两品一械”制售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C7D33">
            <w:pPr>
              <w:jc w:val="both"/>
            </w:pPr>
            <w:r>
              <w:rPr>
                <w:rFonts w:ascii="宋体" w:hAnsi="宋体" w:eastAsia="宋体"/>
                <w:sz w:val="16"/>
              </w:rPr>
              <w:t>项目已完成岳普湖县市场监督管理局9个批次的药品进行抽样、检验工作。预算执行率100%。通过项目的实施有效提升“两品一械”监管服务水平，减少假冒伪劣“两品一械”制售行为。项目的受益人员满意度为100%。</w:t>
            </w:r>
          </w:p>
        </w:tc>
      </w:tr>
      <w:tr w14:paraId="44107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26D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67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3B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68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E3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AF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F1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DA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BB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25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94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78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DD122">
            <w:pPr>
              <w:jc w:val="center"/>
            </w:pPr>
            <w:r>
              <w:rPr>
                <w:rFonts w:ascii="宋体" w:hAnsi="宋体" w:eastAsia="宋体"/>
                <w:sz w:val="16"/>
              </w:rPr>
              <w:t>偏差原因分析及改进措施</w:t>
            </w:r>
          </w:p>
        </w:tc>
      </w:tr>
      <w:tr w14:paraId="1BD3EB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07C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A230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5BB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F76A">
            <w:pPr>
              <w:jc w:val="center"/>
            </w:pPr>
            <w:r>
              <w:rPr>
                <w:rFonts w:ascii="宋体" w:hAnsi="宋体" w:eastAsia="宋体"/>
                <w:sz w:val="16"/>
              </w:rPr>
              <w:t>药品生产流通环节（含医院抽检）抽检批次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6AD6">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B3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9B7B">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6E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4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E3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62D2">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D13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75B0E">
            <w:pPr>
              <w:jc w:val="center"/>
            </w:pPr>
          </w:p>
        </w:tc>
      </w:tr>
      <w:tr w14:paraId="09C0C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BD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20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0B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6A2C">
            <w:pPr>
              <w:jc w:val="center"/>
            </w:pPr>
            <w:r>
              <w:rPr>
                <w:rFonts w:ascii="宋体" w:hAnsi="宋体" w:eastAsia="宋体"/>
                <w:sz w:val="16"/>
              </w:rPr>
              <w:t>中药饮片生产流通环境抽检批次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B36D">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F1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5285">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05D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73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FF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DF7B">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9CF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E49B">
            <w:pPr>
              <w:jc w:val="center"/>
            </w:pPr>
          </w:p>
        </w:tc>
      </w:tr>
      <w:tr w14:paraId="6335F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A2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17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4E4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CCD1">
            <w:pPr>
              <w:jc w:val="center"/>
            </w:pPr>
            <w:r>
              <w:rPr>
                <w:rFonts w:ascii="宋体" w:hAnsi="宋体" w:eastAsia="宋体"/>
                <w:sz w:val="16"/>
              </w:rPr>
              <w:t>医疗器械监督抽检任务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9C7A">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47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750A">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45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4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92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FC93">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051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8987">
            <w:pPr>
              <w:jc w:val="center"/>
            </w:pPr>
          </w:p>
        </w:tc>
      </w:tr>
      <w:tr w14:paraId="0BA5D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CD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0B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6B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8AB3">
            <w:pPr>
              <w:jc w:val="center"/>
            </w:pPr>
            <w:r>
              <w:rPr>
                <w:rFonts w:ascii="宋体" w:hAnsi="宋体" w:eastAsia="宋体"/>
                <w:sz w:val="16"/>
              </w:rPr>
              <w:t>化妆品监督抽检任务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6109">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1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E0CC">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BE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9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66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5CDB">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C21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58360">
            <w:pPr>
              <w:jc w:val="center"/>
            </w:pPr>
          </w:p>
        </w:tc>
      </w:tr>
      <w:tr w14:paraId="267D2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76A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3F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AF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3992">
            <w:pPr>
              <w:jc w:val="center"/>
            </w:pPr>
            <w:r>
              <w:rPr>
                <w:rFonts w:ascii="宋体" w:hAnsi="宋体" w:eastAsia="宋体"/>
                <w:sz w:val="16"/>
              </w:rPr>
              <w:t>药品评价抽样批次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AE8C">
            <w:pPr>
              <w:jc w:val="center"/>
            </w:pPr>
            <w:r>
              <w:rPr>
                <w:rFonts w:ascii="宋体" w:hAnsi="宋体" w:eastAsia="宋体"/>
                <w:sz w:val="16"/>
              </w:rPr>
              <w:t>&gt;=9批次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B0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CC33">
            <w:pPr>
              <w:jc w:val="center"/>
            </w:pPr>
            <w:r>
              <w:rPr>
                <w:rFonts w:ascii="宋体" w:hAnsi="宋体" w:eastAsia="宋体"/>
                <w:sz w:val="16"/>
              </w:rPr>
              <w: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3F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49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A8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0386">
            <w:pPr>
              <w:jc w:val="center"/>
            </w:pPr>
            <w:r>
              <w:rPr>
                <w:rFonts w:ascii="宋体" w:hAnsi="宋体" w:eastAsia="宋体"/>
                <w:sz w:val="16"/>
              </w:rPr>
              <w: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C57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DBB71">
            <w:pPr>
              <w:jc w:val="center"/>
            </w:pPr>
          </w:p>
        </w:tc>
      </w:tr>
      <w:tr w14:paraId="27254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FD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B0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A4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3F08">
            <w:pPr>
              <w:jc w:val="center"/>
            </w:pPr>
            <w:r>
              <w:rPr>
                <w:rFonts w:ascii="宋体" w:hAnsi="宋体" w:eastAsia="宋体"/>
                <w:sz w:val="16"/>
              </w:rPr>
              <w:t>药品评价检验批次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8A4B">
            <w:pPr>
              <w:jc w:val="center"/>
            </w:pPr>
            <w:r>
              <w:rPr>
                <w:rFonts w:ascii="宋体" w:hAnsi="宋体" w:eastAsia="宋体"/>
                <w:sz w:val="16"/>
              </w:rPr>
              <w:t>&gt;=9批次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B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21EC">
            <w:pPr>
              <w:jc w:val="center"/>
            </w:pPr>
            <w:r>
              <w:rPr>
                <w:rFonts w:ascii="宋体" w:hAnsi="宋体" w:eastAsia="宋体"/>
                <w:sz w:val="16"/>
              </w:rPr>
              <w: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56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01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24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779E">
            <w:pPr>
              <w:jc w:val="center"/>
            </w:pPr>
            <w:r>
              <w:rPr>
                <w:rFonts w:ascii="宋体" w:hAnsi="宋体" w:eastAsia="宋体"/>
                <w:sz w:val="16"/>
              </w:rPr>
              <w: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29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72484">
            <w:pPr>
              <w:jc w:val="center"/>
            </w:pPr>
          </w:p>
        </w:tc>
      </w:tr>
      <w:tr w14:paraId="36C17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89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2B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A2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B501">
            <w:pPr>
              <w:jc w:val="center"/>
            </w:pPr>
            <w:r>
              <w:rPr>
                <w:rFonts w:ascii="宋体" w:hAnsi="宋体" w:eastAsia="宋体"/>
                <w:sz w:val="16"/>
              </w:rPr>
              <w:t>“两品一械”抽检覆盖率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2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8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9A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F6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0E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B9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9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BD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BD2D7">
            <w:pPr>
              <w:jc w:val="center"/>
            </w:pPr>
          </w:p>
        </w:tc>
      </w:tr>
      <w:tr w14:paraId="47A85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0B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13C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A11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8F16">
            <w:pPr>
              <w:jc w:val="center"/>
            </w:pPr>
            <w:r>
              <w:rPr>
                <w:rFonts w:ascii="宋体" w:hAnsi="宋体" w:eastAsia="宋体"/>
                <w:sz w:val="16"/>
              </w:rPr>
              <w:t>抽样检验任务按期完成率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1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2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65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ED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4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B2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2C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3F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3428">
            <w:pPr>
              <w:jc w:val="center"/>
            </w:pPr>
          </w:p>
        </w:tc>
      </w:tr>
      <w:tr w14:paraId="5E326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EF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70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A5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4E0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50FB">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90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8A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AF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42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6D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DA38">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CC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7581F">
            <w:pPr>
              <w:jc w:val="center"/>
            </w:pPr>
          </w:p>
        </w:tc>
      </w:tr>
      <w:tr w14:paraId="5A0CD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8F3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BD66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B3D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F312">
            <w:pPr>
              <w:jc w:val="center"/>
            </w:pPr>
            <w:r>
              <w:rPr>
                <w:rFonts w:ascii="宋体" w:hAnsi="宋体" w:eastAsia="宋体"/>
                <w:sz w:val="16"/>
              </w:rPr>
              <w:t>药品抽样检验经费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DD17">
            <w:pPr>
              <w:jc w:val="center"/>
            </w:pPr>
            <w:r>
              <w:rPr>
                <w:rFonts w:ascii="宋体" w:hAnsi="宋体" w:eastAsia="宋体"/>
                <w:sz w:val="16"/>
              </w:rPr>
              <w:t>&lt;=0.14万元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20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1BAE">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1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2E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FB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F98C">
            <w:pPr>
              <w:jc w:val="center"/>
            </w:pPr>
            <w:r>
              <w:rPr>
                <w:rFonts w:ascii="宋体" w:hAnsi="宋体" w:eastAsia="宋体"/>
                <w:sz w:val="16"/>
              </w:rPr>
              <w: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F9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6FEC0">
            <w:pPr>
              <w:jc w:val="center"/>
            </w:pPr>
          </w:p>
        </w:tc>
      </w:tr>
      <w:tr w14:paraId="07B47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07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2A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9E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E07A">
            <w:pPr>
              <w:jc w:val="center"/>
            </w:pPr>
            <w:r>
              <w:rPr>
                <w:rFonts w:ascii="宋体" w:hAnsi="宋体" w:eastAsia="宋体"/>
                <w:sz w:val="16"/>
              </w:rPr>
              <w:t>药品宣传费预算控制数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535A">
            <w:pPr>
              <w:jc w:val="center"/>
            </w:pPr>
            <w:r>
              <w:rPr>
                <w:rFonts w:ascii="宋体" w:hAnsi="宋体" w:eastAsia="宋体"/>
                <w:sz w:val="16"/>
              </w:rPr>
              <w:t>&lt;=1.70万元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0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EBC6">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85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C7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03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D8E6">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0B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71C89">
            <w:pPr>
              <w:jc w:val="center"/>
            </w:pPr>
          </w:p>
        </w:tc>
      </w:tr>
      <w:tr w14:paraId="532DF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71C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2F22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78A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88B4">
            <w:pPr>
              <w:jc w:val="center"/>
            </w:pPr>
            <w:r>
              <w:rPr>
                <w:rFonts w:ascii="宋体" w:hAnsi="宋体" w:eastAsia="宋体"/>
                <w:sz w:val="16"/>
              </w:rPr>
              <w:t>提升“两品一械”监管服务水平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686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A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A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58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0F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F3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498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E3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BC8BC">
            <w:pPr>
              <w:jc w:val="center"/>
            </w:pPr>
          </w:p>
        </w:tc>
      </w:tr>
      <w:tr w14:paraId="30623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590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BC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C8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B0D4">
            <w:pPr>
              <w:jc w:val="center"/>
            </w:pPr>
            <w:r>
              <w:rPr>
                <w:rFonts w:ascii="宋体" w:hAnsi="宋体" w:eastAsia="宋体"/>
                <w:sz w:val="16"/>
              </w:rPr>
              <w:t>减少假冒伪劣“两品一械”制售行为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3272">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AD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40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18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84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B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95C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72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C1C83">
            <w:pPr>
              <w:jc w:val="center"/>
            </w:pPr>
          </w:p>
        </w:tc>
      </w:tr>
      <w:tr w14:paraId="143EA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A18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CE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4A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C097">
            <w:pPr>
              <w:jc w:val="center"/>
            </w:pPr>
            <w:r>
              <w:rPr>
                <w:rFonts w:ascii="宋体" w:hAnsi="宋体" w:eastAsia="宋体"/>
                <w:sz w:val="16"/>
              </w:rPr>
              <w:t>公众对药品安全的满意度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F22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9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60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34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91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9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E4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35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B85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6913F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4AC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53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627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5C6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A6E6EA"/>
        </w:tc>
      </w:tr>
    </w:tbl>
    <w:p w14:paraId="14E682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7F4489E">
        <w:tblPrEx>
          <w:tblCellMar>
            <w:top w:w="0" w:type="dxa"/>
            <w:left w:w="108" w:type="dxa"/>
            <w:bottom w:w="0" w:type="dxa"/>
            <w:right w:w="108" w:type="dxa"/>
          </w:tblCellMar>
        </w:tblPrEx>
        <w:tc>
          <w:tcPr>
            <w:tcW w:w="8848" w:type="dxa"/>
            <w:gridSpan w:val="14"/>
            <w:vAlign w:val="center"/>
          </w:tcPr>
          <w:p w14:paraId="28A51384">
            <w:pPr>
              <w:jc w:val="center"/>
            </w:pPr>
            <w:r>
              <w:rPr>
                <w:rFonts w:ascii="宋体" w:hAnsi="宋体" w:eastAsia="宋体"/>
                <w:sz w:val="24"/>
              </w:rPr>
              <w:t>项目支出绩效自评表</w:t>
            </w:r>
          </w:p>
        </w:tc>
      </w:tr>
      <w:tr w14:paraId="6976FA40">
        <w:tblPrEx>
          <w:tblCellMar>
            <w:top w:w="0" w:type="dxa"/>
            <w:left w:w="108" w:type="dxa"/>
            <w:bottom w:w="0" w:type="dxa"/>
            <w:right w:w="108" w:type="dxa"/>
          </w:tblCellMar>
        </w:tblPrEx>
        <w:tc>
          <w:tcPr>
            <w:tcW w:w="8848" w:type="dxa"/>
            <w:gridSpan w:val="14"/>
            <w:vAlign w:val="center"/>
          </w:tcPr>
          <w:p w14:paraId="774C7603">
            <w:pPr>
              <w:jc w:val="center"/>
            </w:pPr>
            <w:r>
              <w:rPr>
                <w:rFonts w:ascii="宋体" w:hAnsi="宋体" w:eastAsia="宋体"/>
                <w:sz w:val="24"/>
              </w:rPr>
              <w:t>(2024年度)</w:t>
            </w:r>
          </w:p>
        </w:tc>
      </w:tr>
      <w:tr w14:paraId="2E82F9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D9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A72D55">
            <w:pPr>
              <w:jc w:val="center"/>
            </w:pPr>
            <w:r>
              <w:rPr>
                <w:rFonts w:ascii="宋体" w:hAnsi="宋体" w:eastAsia="宋体"/>
                <w:sz w:val="16"/>
              </w:rPr>
              <w:t>2024年度第二批食品药品监督补助经费项目（食品部分）</w:t>
            </w:r>
          </w:p>
        </w:tc>
      </w:tr>
      <w:tr w14:paraId="535856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78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80BE4">
            <w:pPr>
              <w:jc w:val="center"/>
            </w:pPr>
            <w:r>
              <w:rPr>
                <w:rFonts w:ascii="宋体" w:hAnsi="宋体" w:eastAsia="宋体"/>
                <w:sz w:val="16"/>
              </w:rPr>
              <w:t>岳普湖县市场监督管理局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C7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E241B2">
            <w:pPr>
              <w:jc w:val="center"/>
            </w:pPr>
            <w:r>
              <w:rPr>
                <w:rFonts w:ascii="宋体" w:hAnsi="宋体" w:eastAsia="宋体"/>
                <w:sz w:val="16"/>
              </w:rPr>
              <w:t>岳普湖县市场监督管理局</w:t>
            </w:r>
          </w:p>
        </w:tc>
      </w:tr>
      <w:tr w14:paraId="63CA9E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C41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880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EC0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3C6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D7F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C1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4E1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872A">
            <w:pPr>
              <w:jc w:val="center"/>
            </w:pPr>
            <w:r>
              <w:rPr>
                <w:rFonts w:ascii="宋体" w:hAnsi="宋体" w:eastAsia="宋体"/>
                <w:sz w:val="16"/>
              </w:rPr>
              <w:t>得分</w:t>
            </w:r>
          </w:p>
        </w:tc>
      </w:tr>
      <w:tr w14:paraId="5BB19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44B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B2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322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B749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9520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A8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53E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8615">
            <w:pPr>
              <w:jc w:val="center"/>
            </w:pPr>
            <w:r>
              <w:rPr>
                <w:rFonts w:ascii="宋体" w:hAnsi="宋体" w:eastAsia="宋体"/>
                <w:sz w:val="16"/>
              </w:rPr>
              <w:t>10.00分</w:t>
            </w:r>
          </w:p>
        </w:tc>
      </w:tr>
      <w:tr w14:paraId="7256D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028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533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503B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A789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77E5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22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A831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0F27">
            <w:pPr>
              <w:jc w:val="center"/>
            </w:pPr>
            <w:r>
              <w:rPr>
                <w:rFonts w:ascii="宋体" w:hAnsi="宋体" w:eastAsia="宋体"/>
                <w:sz w:val="16"/>
              </w:rPr>
              <w:t>—</w:t>
            </w:r>
          </w:p>
        </w:tc>
      </w:tr>
      <w:tr w14:paraId="36581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4DC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36B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113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A73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D5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913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AC96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C923">
            <w:pPr>
              <w:jc w:val="center"/>
            </w:pPr>
            <w:r>
              <w:rPr>
                <w:rFonts w:ascii="宋体" w:hAnsi="宋体" w:eastAsia="宋体"/>
                <w:sz w:val="16"/>
              </w:rPr>
              <w:t>—</w:t>
            </w:r>
          </w:p>
        </w:tc>
      </w:tr>
      <w:tr w14:paraId="1F708D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261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49F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4F7C12">
            <w:pPr>
              <w:jc w:val="center"/>
            </w:pPr>
            <w:r>
              <w:rPr>
                <w:rFonts w:ascii="宋体" w:hAnsi="宋体" w:eastAsia="宋体"/>
                <w:sz w:val="16"/>
              </w:rPr>
              <w:t>实际完成情况</w:t>
            </w:r>
          </w:p>
        </w:tc>
      </w:tr>
      <w:tr w14:paraId="1FDC4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DA0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D224B">
            <w:pPr>
              <w:jc w:val="both"/>
            </w:pPr>
            <w:r>
              <w:rPr>
                <w:rFonts w:ascii="宋体" w:hAnsi="宋体" w:eastAsia="宋体"/>
                <w:sz w:val="16"/>
              </w:rPr>
              <w:t>根据岳普湖县实际情况，为完成食品安全监管任务，在岳普湖县开展食品安全监督抽检32批次，覆盖辖区食品种类7个，开展食品安全培训6场次，购置食品农产品快速检测化学试剂1批。通过项目的实施提高辖区内公众食品安全科普知识素养，降低假冒伪劣食品制售行为，提高队伍素质和装备配置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A3AC71">
            <w:pPr>
              <w:jc w:val="both"/>
            </w:pPr>
            <w:r>
              <w:rPr>
                <w:rFonts w:ascii="宋体" w:hAnsi="宋体" w:eastAsia="宋体"/>
                <w:sz w:val="16"/>
              </w:rPr>
              <w:t>项目已完成岳普湖县市场监督管理局食品监督补助经费保障任务，开展食品安全监督抽检32批次，覆盖辖区食品种类7个，开展食品安全培训6场次，购置食品农产品快速检测化学试剂1批。预算执行率100%。通过项目的实施逐步提高辖区内公众食品安全科普知识素养，不断降低假冒伪劣食品制售行为，不断提高队伍素质和装备配置水平。项目的受益人员满意度为100%。</w:t>
            </w:r>
          </w:p>
        </w:tc>
      </w:tr>
      <w:tr w14:paraId="6246B7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F12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2A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34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8C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6B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FC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E2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82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30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85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D1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BA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A6FB4">
            <w:pPr>
              <w:jc w:val="center"/>
            </w:pPr>
            <w:r>
              <w:rPr>
                <w:rFonts w:ascii="宋体" w:hAnsi="宋体" w:eastAsia="宋体"/>
                <w:sz w:val="16"/>
              </w:rPr>
              <w:t>偏差原因分析及改进措施</w:t>
            </w:r>
          </w:p>
        </w:tc>
      </w:tr>
      <w:tr w14:paraId="79F823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1B3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DBB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DAD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F046">
            <w:pPr>
              <w:jc w:val="center"/>
            </w:pPr>
            <w:r>
              <w:rPr>
                <w:rFonts w:ascii="宋体" w:hAnsi="宋体" w:eastAsia="宋体"/>
                <w:sz w:val="16"/>
              </w:rPr>
              <w:t>完成国家食品安全监督抽检批次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A436">
            <w:pPr>
              <w:jc w:val="center"/>
            </w:pPr>
            <w:r>
              <w:rPr>
                <w:rFonts w:ascii="宋体" w:hAnsi="宋体" w:eastAsia="宋体"/>
                <w:sz w:val="16"/>
              </w:rPr>
              <w:t>&gt;=32批次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0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C2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26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BE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AB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1A4C">
            <w:pPr>
              <w:jc w:val="center"/>
            </w:pPr>
            <w:r>
              <w:rPr>
                <w:rFonts w:ascii="宋体" w:hAnsi="宋体" w:eastAsia="宋体"/>
                <w:sz w:val="16"/>
              </w:rPr>
              <w:t>=32批次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09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E5434">
            <w:pPr>
              <w:jc w:val="center"/>
            </w:pPr>
          </w:p>
        </w:tc>
      </w:tr>
      <w:tr w14:paraId="0F055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81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66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1A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0752">
            <w:pPr>
              <w:jc w:val="center"/>
            </w:pPr>
            <w:r>
              <w:rPr>
                <w:rFonts w:ascii="宋体" w:hAnsi="宋体" w:eastAsia="宋体"/>
                <w:sz w:val="16"/>
              </w:rPr>
              <w:t>落实总局抽检任务，覆盖辖区食品种类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AC17">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5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BA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03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09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1F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D057">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39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6370E">
            <w:pPr>
              <w:jc w:val="center"/>
            </w:pPr>
          </w:p>
        </w:tc>
      </w:tr>
      <w:tr w14:paraId="08740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56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63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02A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A51A">
            <w:pPr>
              <w:jc w:val="center"/>
            </w:pPr>
            <w:r>
              <w:rPr>
                <w:rFonts w:ascii="宋体" w:hAnsi="宋体" w:eastAsia="宋体"/>
                <w:sz w:val="16"/>
              </w:rPr>
              <w:t>辖区食品安全监管类业务培训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C5AC">
            <w:pPr>
              <w:jc w:val="center"/>
            </w:pPr>
            <w:r>
              <w:rPr>
                <w:rFonts w:ascii="宋体" w:hAnsi="宋体" w:eastAsia="宋体"/>
                <w:sz w:val="16"/>
              </w:rPr>
              <w:t>&gt;=6场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6E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23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9E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A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66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5BA7">
            <w:pPr>
              <w:jc w:val="center"/>
            </w:pPr>
            <w:r>
              <w:rPr>
                <w:rFonts w:ascii="宋体" w:hAnsi="宋体" w:eastAsia="宋体"/>
                <w:sz w:val="16"/>
              </w:rPr>
              <w: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83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B15E6">
            <w:pPr>
              <w:jc w:val="center"/>
            </w:pPr>
          </w:p>
        </w:tc>
      </w:tr>
      <w:tr w14:paraId="2BB37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863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B58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FC9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38AD">
            <w:pPr>
              <w:jc w:val="center"/>
            </w:pPr>
            <w:r>
              <w:rPr>
                <w:rFonts w:ascii="宋体" w:hAnsi="宋体" w:eastAsia="宋体"/>
                <w:sz w:val="16"/>
              </w:rPr>
              <w:t>抽检不合格食品核查处置率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80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E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67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93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7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BB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98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06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41663">
            <w:pPr>
              <w:jc w:val="center"/>
            </w:pPr>
          </w:p>
        </w:tc>
      </w:tr>
      <w:tr w14:paraId="7A1CF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FF9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83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D9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B8FD">
            <w:pPr>
              <w:jc w:val="center"/>
            </w:pPr>
            <w:r>
              <w:rPr>
                <w:rFonts w:ascii="宋体" w:hAnsi="宋体" w:eastAsia="宋体"/>
                <w:sz w:val="16"/>
              </w:rPr>
              <w:t>食品安全投诉举报处置率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1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7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F4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7D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0F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29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E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22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2B0B">
            <w:pPr>
              <w:jc w:val="center"/>
            </w:pPr>
          </w:p>
        </w:tc>
      </w:tr>
      <w:tr w14:paraId="0766D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D6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8D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87E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97DB">
            <w:pPr>
              <w:jc w:val="center"/>
            </w:pPr>
            <w:r>
              <w:rPr>
                <w:rFonts w:ascii="宋体" w:hAnsi="宋体" w:eastAsia="宋体"/>
                <w:sz w:val="16"/>
              </w:rPr>
              <w:t>食品抽检应公布信息的公布率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AC5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8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CF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71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22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48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48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A0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ED56">
            <w:pPr>
              <w:jc w:val="center"/>
            </w:pPr>
          </w:p>
        </w:tc>
      </w:tr>
      <w:tr w14:paraId="3173C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A2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E5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4E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016A">
            <w:pPr>
              <w:jc w:val="center"/>
            </w:pPr>
            <w:r>
              <w:rPr>
                <w:rFonts w:ascii="宋体" w:hAnsi="宋体" w:eastAsia="宋体"/>
                <w:sz w:val="16"/>
              </w:rPr>
              <w:t>抽检监测结果系统录入率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26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2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6A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F0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B4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7B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31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96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54BB7">
            <w:pPr>
              <w:jc w:val="center"/>
            </w:pPr>
          </w:p>
        </w:tc>
      </w:tr>
      <w:tr w14:paraId="0F4BA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20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2C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05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2866">
            <w:pPr>
              <w:jc w:val="center"/>
            </w:pPr>
            <w:r>
              <w:rPr>
                <w:rFonts w:ascii="宋体" w:hAnsi="宋体" w:eastAsia="宋体"/>
                <w:sz w:val="16"/>
              </w:rPr>
              <w:t>抽检监测任务完成时间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0033">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02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A3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6C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74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A4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467C">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7D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A8F9A">
            <w:pPr>
              <w:jc w:val="center"/>
            </w:pPr>
          </w:p>
        </w:tc>
      </w:tr>
      <w:tr w14:paraId="0EF97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73E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348D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A92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C433">
            <w:pPr>
              <w:jc w:val="center"/>
            </w:pPr>
            <w:r>
              <w:rPr>
                <w:rFonts w:ascii="宋体" w:hAnsi="宋体" w:eastAsia="宋体"/>
                <w:sz w:val="16"/>
              </w:rPr>
              <w:t>抽检经费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C2AF">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A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80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04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D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6F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E1D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6C5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0E3F7">
            <w:pPr>
              <w:jc w:val="center"/>
            </w:pPr>
          </w:p>
        </w:tc>
      </w:tr>
      <w:tr w14:paraId="55843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D2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C59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3B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DE9F">
            <w:pPr>
              <w:jc w:val="center"/>
            </w:pPr>
            <w:r>
              <w:rPr>
                <w:rFonts w:ascii="宋体" w:hAnsi="宋体" w:eastAsia="宋体"/>
                <w:sz w:val="16"/>
              </w:rPr>
              <w:t>食品安全业务培训预算控制数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1FE2">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F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2D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11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6E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02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6693">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9D1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60329">
            <w:pPr>
              <w:jc w:val="center"/>
            </w:pPr>
          </w:p>
        </w:tc>
      </w:tr>
      <w:tr w14:paraId="2E320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B1E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FB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E1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E21F">
            <w:pPr>
              <w:jc w:val="center"/>
            </w:pPr>
            <w:r>
              <w:rPr>
                <w:rFonts w:ascii="宋体" w:hAnsi="宋体" w:eastAsia="宋体"/>
                <w:sz w:val="16"/>
              </w:rPr>
              <w:t>检测试剂购置预算控制数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5886">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7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75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DE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C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10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9F2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C73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73BD9">
            <w:pPr>
              <w:jc w:val="center"/>
            </w:pPr>
          </w:p>
        </w:tc>
      </w:tr>
      <w:tr w14:paraId="2BD48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E6D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AEE6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DF1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7A7A">
            <w:pPr>
              <w:jc w:val="center"/>
            </w:pPr>
            <w:r>
              <w:rPr>
                <w:rFonts w:ascii="宋体" w:hAnsi="宋体" w:eastAsia="宋体"/>
                <w:sz w:val="16"/>
              </w:rPr>
              <w:t>辖区内与补助资金相关的重大食品安全监管责任事故发生数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65D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DF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2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4B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6D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DE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6BF0">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9B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30A05">
            <w:pPr>
              <w:jc w:val="center"/>
            </w:pPr>
          </w:p>
        </w:tc>
      </w:tr>
      <w:tr w14:paraId="4ECAC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F4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51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7C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38EB">
            <w:pPr>
              <w:jc w:val="center"/>
            </w:pPr>
            <w:r>
              <w:rPr>
                <w:rFonts w:ascii="宋体" w:hAnsi="宋体" w:eastAsia="宋体"/>
                <w:sz w:val="16"/>
              </w:rPr>
              <w:t>辖区内公众食品安全科普知识素养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C1C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BB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05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5F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27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D9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0A0D">
            <w:pPr>
              <w:jc w:val="center"/>
            </w:pPr>
            <w:r>
              <w:rPr>
                <w:rFonts w:ascii="宋体" w:hAnsi="宋体" w:eastAsia="宋体"/>
                <w:sz w:val="16"/>
              </w:rPr>
              <w:t>逐步提高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E7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5CB4A">
            <w:pPr>
              <w:jc w:val="center"/>
            </w:pPr>
          </w:p>
        </w:tc>
      </w:tr>
      <w:tr w14:paraId="6D099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156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A2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F4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2077">
            <w:pPr>
              <w:jc w:val="center"/>
            </w:pPr>
            <w:r>
              <w:rPr>
                <w:rFonts w:ascii="宋体" w:hAnsi="宋体" w:eastAsia="宋体"/>
                <w:sz w:val="16"/>
              </w:rPr>
              <w:t>假冒伪劣食品制售行为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254B">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9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4E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46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22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8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8B90">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BF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FCCCF">
            <w:pPr>
              <w:jc w:val="center"/>
            </w:pPr>
          </w:p>
        </w:tc>
      </w:tr>
      <w:tr w14:paraId="221B4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F11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C4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9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9E03">
            <w:pPr>
              <w:jc w:val="center"/>
            </w:pPr>
            <w:r>
              <w:rPr>
                <w:rFonts w:ascii="宋体" w:hAnsi="宋体" w:eastAsia="宋体"/>
                <w:sz w:val="16"/>
              </w:rPr>
              <w:t>队伍素质和装备配置水平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38D6">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F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0D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98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F5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54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9309">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DA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32DA9">
            <w:pPr>
              <w:jc w:val="center"/>
            </w:pPr>
          </w:p>
        </w:tc>
      </w:tr>
      <w:tr w14:paraId="644B0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45B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4013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52D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544E">
            <w:pPr>
              <w:jc w:val="center"/>
            </w:pPr>
            <w:r>
              <w:rPr>
                <w:rFonts w:ascii="宋体" w:hAnsi="宋体" w:eastAsia="宋体"/>
                <w:sz w:val="16"/>
              </w:rPr>
              <w:t>抽检企业的满意度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7E9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3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07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42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E6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A7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F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6D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783E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518B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44D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805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3F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E8CC">
            <w:pPr>
              <w:jc w:val="center"/>
            </w:pPr>
            <w:r>
              <w:rPr>
                <w:rFonts w:ascii="宋体" w:hAnsi="宋体" w:eastAsia="宋体"/>
                <w:sz w:val="16"/>
              </w:rPr>
              <w:t>培训对象对培训工作的满意度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338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92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0C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74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04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91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43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A4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41B7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08308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6C7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7D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7AF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7DD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01921E"/>
        </w:tc>
      </w:tr>
    </w:tbl>
    <w:p w14:paraId="70DBCD9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F003B43">
        <w:tblPrEx>
          <w:tblCellMar>
            <w:top w:w="0" w:type="dxa"/>
            <w:left w:w="108" w:type="dxa"/>
            <w:bottom w:w="0" w:type="dxa"/>
            <w:right w:w="108" w:type="dxa"/>
          </w:tblCellMar>
        </w:tblPrEx>
        <w:tc>
          <w:tcPr>
            <w:tcW w:w="8848" w:type="dxa"/>
            <w:gridSpan w:val="14"/>
            <w:vAlign w:val="center"/>
          </w:tcPr>
          <w:p w14:paraId="3B4EFCED">
            <w:pPr>
              <w:jc w:val="center"/>
            </w:pPr>
            <w:r>
              <w:rPr>
                <w:rFonts w:ascii="宋体" w:hAnsi="宋体" w:eastAsia="宋体"/>
                <w:sz w:val="24"/>
              </w:rPr>
              <w:t>项目支出绩效自评表</w:t>
            </w:r>
          </w:p>
        </w:tc>
      </w:tr>
      <w:tr w14:paraId="52DF9F85">
        <w:tblPrEx>
          <w:tblCellMar>
            <w:top w:w="0" w:type="dxa"/>
            <w:left w:w="108" w:type="dxa"/>
            <w:bottom w:w="0" w:type="dxa"/>
            <w:right w:w="108" w:type="dxa"/>
          </w:tblCellMar>
        </w:tblPrEx>
        <w:tc>
          <w:tcPr>
            <w:tcW w:w="8848" w:type="dxa"/>
            <w:gridSpan w:val="14"/>
            <w:vAlign w:val="center"/>
          </w:tcPr>
          <w:p w14:paraId="723D296A">
            <w:pPr>
              <w:jc w:val="center"/>
            </w:pPr>
            <w:r>
              <w:rPr>
                <w:rFonts w:ascii="宋体" w:hAnsi="宋体" w:eastAsia="宋体"/>
                <w:sz w:val="24"/>
              </w:rPr>
              <w:t>(2024年度)</w:t>
            </w:r>
          </w:p>
        </w:tc>
      </w:tr>
      <w:tr w14:paraId="01428F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46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98AD99">
            <w:pPr>
              <w:jc w:val="center"/>
            </w:pPr>
            <w:r>
              <w:rPr>
                <w:rFonts w:ascii="宋体" w:hAnsi="宋体" w:eastAsia="宋体"/>
                <w:sz w:val="16"/>
              </w:rPr>
              <w:t>市场监督管理局对口支援监管经费项目</w:t>
            </w:r>
          </w:p>
        </w:tc>
      </w:tr>
      <w:tr w14:paraId="089D9D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B0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896FC">
            <w:pPr>
              <w:jc w:val="center"/>
            </w:pPr>
            <w:r>
              <w:rPr>
                <w:rFonts w:ascii="宋体" w:hAnsi="宋体" w:eastAsia="宋体"/>
                <w:sz w:val="16"/>
              </w:rPr>
              <w:t>岳普湖县市场监督管理局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62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D4DC9F">
            <w:pPr>
              <w:jc w:val="center"/>
            </w:pPr>
            <w:r>
              <w:rPr>
                <w:rFonts w:ascii="宋体" w:hAnsi="宋体" w:eastAsia="宋体"/>
                <w:sz w:val="16"/>
              </w:rPr>
              <w:t>岳普湖县市场监督管理局</w:t>
            </w:r>
          </w:p>
        </w:tc>
      </w:tr>
      <w:tr w14:paraId="3B163A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66D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8C0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90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F62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818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58E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C3E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4A3E">
            <w:pPr>
              <w:jc w:val="center"/>
            </w:pPr>
            <w:r>
              <w:rPr>
                <w:rFonts w:ascii="宋体" w:hAnsi="宋体" w:eastAsia="宋体"/>
                <w:sz w:val="16"/>
              </w:rPr>
              <w:t>得分</w:t>
            </w:r>
          </w:p>
        </w:tc>
      </w:tr>
      <w:tr w14:paraId="522ED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A12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1C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A8DA7">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31FD7">
            <w:pPr>
              <w:jc w:val="center"/>
            </w:pPr>
            <w:r>
              <w:rPr>
                <w:rFonts w:ascii="宋体" w:hAnsi="宋体" w:eastAsia="宋体"/>
                <w:sz w:val="16"/>
              </w:rPr>
              <w:t>35.87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4DBCD">
            <w:pPr>
              <w:jc w:val="center"/>
            </w:pPr>
            <w:r>
              <w:rPr>
                <w:rFonts w:ascii="宋体" w:hAnsi="宋体" w:eastAsia="宋体"/>
                <w:sz w:val="16"/>
              </w:rPr>
              <w:t>35.87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FA3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FE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6850">
            <w:pPr>
              <w:jc w:val="center"/>
            </w:pPr>
            <w:r>
              <w:rPr>
                <w:rFonts w:ascii="宋体" w:hAnsi="宋体" w:eastAsia="宋体"/>
                <w:sz w:val="16"/>
              </w:rPr>
              <w:t>10.00分</w:t>
            </w:r>
          </w:p>
        </w:tc>
      </w:tr>
      <w:tr w14:paraId="5BD39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6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DAF0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83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921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BD0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ED6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3C0B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68B6">
            <w:pPr>
              <w:jc w:val="center"/>
            </w:pPr>
            <w:r>
              <w:rPr>
                <w:rFonts w:ascii="宋体" w:hAnsi="宋体" w:eastAsia="宋体"/>
                <w:sz w:val="16"/>
              </w:rPr>
              <w:t>—</w:t>
            </w:r>
          </w:p>
        </w:tc>
      </w:tr>
      <w:tr w14:paraId="31991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190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8D8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216B0">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F60DE">
            <w:pPr>
              <w:jc w:val="center"/>
            </w:pPr>
            <w:r>
              <w:rPr>
                <w:rFonts w:ascii="宋体" w:hAnsi="宋体" w:eastAsia="宋体"/>
                <w:sz w:val="16"/>
              </w:rPr>
              <w:t>35.87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DE8D">
            <w:pPr>
              <w:jc w:val="center"/>
            </w:pPr>
            <w:r>
              <w:rPr>
                <w:rFonts w:ascii="宋体" w:hAnsi="宋体" w:eastAsia="宋体"/>
                <w:sz w:val="16"/>
              </w:rPr>
              <w:t>35.87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B9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8EC3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59EA">
            <w:pPr>
              <w:jc w:val="center"/>
            </w:pPr>
            <w:r>
              <w:rPr>
                <w:rFonts w:ascii="宋体" w:hAnsi="宋体" w:eastAsia="宋体"/>
                <w:sz w:val="16"/>
              </w:rPr>
              <w:t>—</w:t>
            </w:r>
          </w:p>
        </w:tc>
      </w:tr>
      <w:tr w14:paraId="0C8E01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5AA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CEB8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DC4F5">
            <w:pPr>
              <w:jc w:val="center"/>
            </w:pPr>
            <w:r>
              <w:rPr>
                <w:rFonts w:ascii="宋体" w:hAnsi="宋体" w:eastAsia="宋体"/>
                <w:sz w:val="16"/>
              </w:rPr>
              <w:t>实际完成情况</w:t>
            </w:r>
          </w:p>
        </w:tc>
      </w:tr>
      <w:tr w14:paraId="1DDAF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927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7A89D">
            <w:pPr>
              <w:jc w:val="both"/>
            </w:pPr>
            <w:r>
              <w:rPr>
                <w:rFonts w:ascii="宋体" w:hAnsi="宋体" w:eastAsia="宋体"/>
                <w:sz w:val="16"/>
              </w:rPr>
              <w:t>根据岳普湖县实际情况，力争在短时间内使岳普湖县局市场监管能力达到西部地区平均水平，泰安市市场监督管理局为岳普湖县市场监督管理局提供监管经费支援，经费保障单位数量1个。通过项目的实施提升对社会公众服务能力，保障单位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BF63AD">
            <w:pPr>
              <w:jc w:val="both"/>
            </w:pPr>
            <w:r>
              <w:rPr>
                <w:rFonts w:ascii="宋体" w:hAnsi="宋体" w:eastAsia="宋体"/>
                <w:sz w:val="16"/>
              </w:rPr>
              <w:t>项目已完成泰安市市场监督管理局为岳普湖县市场监督管理局提供监管经费支援任务，经费保障单位数量1个。预算执行率100%。通过项目的实施有效提升对社会公众服务能力，保障单位正常运转。</w:t>
            </w:r>
          </w:p>
        </w:tc>
      </w:tr>
      <w:tr w14:paraId="2DE9FA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2A9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3C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6C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7D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29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22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3E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18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45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AB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35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41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B2F08">
            <w:pPr>
              <w:jc w:val="center"/>
            </w:pPr>
            <w:r>
              <w:rPr>
                <w:rFonts w:ascii="宋体" w:hAnsi="宋体" w:eastAsia="宋体"/>
                <w:sz w:val="16"/>
              </w:rPr>
              <w:t>偏差原因分析及改进措施</w:t>
            </w:r>
          </w:p>
        </w:tc>
      </w:tr>
      <w:tr w14:paraId="2ECE22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04D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2F6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D4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C487">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93A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FC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F2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56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85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5F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FCB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D1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C49CD">
            <w:pPr>
              <w:jc w:val="center"/>
            </w:pPr>
          </w:p>
        </w:tc>
      </w:tr>
      <w:tr w14:paraId="32332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BD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EDD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589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4F73">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6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19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E8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93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FB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86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7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51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FC1A4">
            <w:pPr>
              <w:jc w:val="center"/>
            </w:pPr>
          </w:p>
        </w:tc>
      </w:tr>
      <w:tr w14:paraId="1D862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37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D4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2D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830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D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6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53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EA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46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19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7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A1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1870E">
            <w:pPr>
              <w:jc w:val="center"/>
            </w:pPr>
          </w:p>
        </w:tc>
      </w:tr>
      <w:tr w14:paraId="0A491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210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6B7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5DC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6C96">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80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70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03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4E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9E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D0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6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372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DB53C">
            <w:pPr>
              <w:jc w:val="center"/>
            </w:pPr>
          </w:p>
        </w:tc>
      </w:tr>
      <w:tr w14:paraId="11724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F5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2C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8F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77A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1C7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2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17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FC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93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94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0684">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BD0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22F8">
            <w:pPr>
              <w:jc w:val="center"/>
            </w:pPr>
          </w:p>
        </w:tc>
      </w:tr>
      <w:tr w14:paraId="75B77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BE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13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5B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EEB2">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C1C2">
            <w:pPr>
              <w:jc w:val="center"/>
            </w:pPr>
            <w:r>
              <w:rPr>
                <w:rFonts w:ascii="宋体" w:hAnsi="宋体" w:eastAsia="宋体"/>
                <w:sz w:val="16"/>
              </w:rPr>
              <w:t>&lt;=35.87万元/个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9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5C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B4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63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C6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3A67">
            <w:pPr>
              <w:jc w:val="center"/>
            </w:pPr>
            <w:r>
              <w:rPr>
                <w:rFonts w:ascii="宋体" w:hAnsi="宋体" w:eastAsia="宋体"/>
                <w:sz w:val="16"/>
              </w:rPr>
              <w:t>=35.87万元/个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EF8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4176">
            <w:pPr>
              <w:jc w:val="center"/>
            </w:pPr>
          </w:p>
        </w:tc>
      </w:tr>
      <w:tr w14:paraId="229D6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E1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2D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FA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58DA">
            <w:pPr>
              <w:jc w:val="center"/>
            </w:pPr>
            <w:r>
              <w:rPr>
                <w:rFonts w:ascii="宋体" w:hAnsi="宋体" w:eastAsia="宋体"/>
                <w:sz w:val="16"/>
              </w:rPr>
              <w:t>提升对社会公众服务能力，保障单位正常运转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4B4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2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B3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8CA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BA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01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F1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98F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D5746">
            <w:pPr>
              <w:jc w:val="center"/>
            </w:pPr>
          </w:p>
        </w:tc>
      </w:tr>
      <w:tr w14:paraId="53AA3E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0EFE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2C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7C2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345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1B0BF6"/>
        </w:tc>
      </w:tr>
    </w:tbl>
    <w:p w14:paraId="3F934D18">
      <w:r>
        <w:br w:type="page"/>
      </w:r>
    </w:p>
    <w:p w14:paraId="4F62022D">
      <w:pPr>
        <w:spacing w:line="640" w:lineRule="exact"/>
        <w:ind w:firstLine="640"/>
        <w:jc w:val="both"/>
        <w:outlineLvl w:val="2"/>
      </w:pPr>
      <w:r>
        <w:rPr>
          <w:rFonts w:ascii="黑体" w:hAnsi="黑体" w:eastAsia="黑体"/>
          <w:sz w:val="32"/>
        </w:rPr>
        <w:t>十二、其他需说明的事项</w:t>
      </w:r>
    </w:p>
    <w:p w14:paraId="0D8475B8">
      <w:pPr>
        <w:spacing w:line="580" w:lineRule="exact"/>
        <w:ind w:firstLine="640"/>
        <w:jc w:val="both"/>
      </w:pPr>
      <w:r>
        <w:rPr>
          <w:rFonts w:ascii="仿宋_GB2312" w:hAnsi="仿宋_GB2312" w:eastAsia="仿宋_GB2312"/>
          <w:b w:val="0"/>
          <w:sz w:val="32"/>
        </w:rPr>
        <w:t>本单位无其他需说明的事项。</w:t>
      </w:r>
    </w:p>
    <w:p w14:paraId="5BAC4282">
      <w:r>
        <w:br w:type="page"/>
      </w:r>
    </w:p>
    <w:p w14:paraId="117A1771">
      <w:pPr>
        <w:spacing w:line="240" w:lineRule="auto"/>
        <w:jc w:val="center"/>
        <w:outlineLvl w:val="1"/>
      </w:pPr>
      <w:r>
        <w:rPr>
          <w:rFonts w:ascii="黑体" w:hAnsi="黑体" w:eastAsia="黑体"/>
          <w:sz w:val="32"/>
        </w:rPr>
        <w:t>第三部分 专业名词解释</w:t>
      </w:r>
    </w:p>
    <w:p w14:paraId="2208D6F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72835F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26CD5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E52A8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5071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780F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9AB19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0DC4D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61A28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7183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AD46E5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1B0B5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4E4C3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E6ECB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F0D9E5">
      <w:r>
        <w:br w:type="page"/>
      </w:r>
    </w:p>
    <w:p w14:paraId="203704B7">
      <w:pPr>
        <w:spacing w:line="240" w:lineRule="auto"/>
        <w:jc w:val="center"/>
        <w:outlineLvl w:val="1"/>
      </w:pPr>
      <w:r>
        <w:rPr>
          <w:rFonts w:ascii="黑体" w:hAnsi="黑体" w:eastAsia="黑体"/>
          <w:sz w:val="32"/>
        </w:rPr>
        <w:t>第四部分 部门决算报表（见附表）</w:t>
      </w:r>
    </w:p>
    <w:p w14:paraId="412C48B4">
      <w:pPr>
        <w:spacing w:line="240" w:lineRule="auto"/>
        <w:ind w:firstLine="640"/>
        <w:jc w:val="both"/>
      </w:pPr>
      <w:r>
        <w:rPr>
          <w:rFonts w:ascii="仿宋_GB2312" w:hAnsi="仿宋_GB2312" w:eastAsia="仿宋_GB2312"/>
          <w:b w:val="0"/>
          <w:sz w:val="32"/>
        </w:rPr>
        <w:t>一、《收入支出决算总表》</w:t>
      </w:r>
    </w:p>
    <w:p w14:paraId="34F86C8A">
      <w:pPr>
        <w:spacing w:line="240" w:lineRule="auto"/>
        <w:ind w:firstLine="640"/>
        <w:jc w:val="both"/>
      </w:pPr>
      <w:r>
        <w:rPr>
          <w:rFonts w:ascii="仿宋_GB2312" w:hAnsi="仿宋_GB2312" w:eastAsia="仿宋_GB2312"/>
          <w:b w:val="0"/>
          <w:sz w:val="32"/>
        </w:rPr>
        <w:t>二、《收入决算表》</w:t>
      </w:r>
    </w:p>
    <w:p w14:paraId="43D565CF">
      <w:pPr>
        <w:spacing w:line="240" w:lineRule="auto"/>
        <w:ind w:firstLine="640"/>
        <w:jc w:val="both"/>
      </w:pPr>
      <w:r>
        <w:rPr>
          <w:rFonts w:ascii="仿宋_GB2312" w:hAnsi="仿宋_GB2312" w:eastAsia="仿宋_GB2312"/>
          <w:b w:val="0"/>
          <w:sz w:val="32"/>
        </w:rPr>
        <w:t>三、《支出决算表》</w:t>
      </w:r>
    </w:p>
    <w:p w14:paraId="6B11815E">
      <w:pPr>
        <w:spacing w:line="240" w:lineRule="auto"/>
        <w:ind w:firstLine="640"/>
        <w:jc w:val="both"/>
      </w:pPr>
      <w:r>
        <w:rPr>
          <w:rFonts w:ascii="仿宋_GB2312" w:hAnsi="仿宋_GB2312" w:eastAsia="仿宋_GB2312"/>
          <w:b w:val="0"/>
          <w:sz w:val="32"/>
        </w:rPr>
        <w:t>四、《财政拨款收入支出决算总表》</w:t>
      </w:r>
    </w:p>
    <w:p w14:paraId="0CA21922">
      <w:pPr>
        <w:spacing w:line="240" w:lineRule="auto"/>
        <w:ind w:firstLine="640"/>
        <w:jc w:val="both"/>
      </w:pPr>
      <w:r>
        <w:rPr>
          <w:rFonts w:ascii="仿宋_GB2312" w:hAnsi="仿宋_GB2312" w:eastAsia="仿宋_GB2312"/>
          <w:b w:val="0"/>
          <w:sz w:val="32"/>
        </w:rPr>
        <w:t>五、《一般公共预算财政拨款支出决算表》</w:t>
      </w:r>
    </w:p>
    <w:p w14:paraId="253768EE">
      <w:pPr>
        <w:spacing w:line="240" w:lineRule="auto"/>
        <w:ind w:firstLine="640"/>
        <w:jc w:val="both"/>
      </w:pPr>
      <w:r>
        <w:rPr>
          <w:rFonts w:ascii="仿宋_GB2312" w:hAnsi="仿宋_GB2312" w:eastAsia="仿宋_GB2312"/>
          <w:b w:val="0"/>
          <w:sz w:val="32"/>
        </w:rPr>
        <w:t>六、《一般公共预算财政拨款基本支出决算表》</w:t>
      </w:r>
    </w:p>
    <w:p w14:paraId="3190C7BE">
      <w:pPr>
        <w:spacing w:line="240" w:lineRule="auto"/>
        <w:ind w:firstLine="640"/>
        <w:jc w:val="both"/>
      </w:pPr>
      <w:r>
        <w:rPr>
          <w:rFonts w:ascii="仿宋_GB2312" w:hAnsi="仿宋_GB2312" w:eastAsia="仿宋_GB2312"/>
          <w:b w:val="0"/>
          <w:sz w:val="32"/>
        </w:rPr>
        <w:t>七、《政府性基金预算财政拨款收入支出决算表》</w:t>
      </w:r>
    </w:p>
    <w:p w14:paraId="15D64E49">
      <w:pPr>
        <w:spacing w:line="240" w:lineRule="auto"/>
        <w:ind w:firstLine="640"/>
        <w:jc w:val="both"/>
      </w:pPr>
      <w:r>
        <w:rPr>
          <w:rFonts w:ascii="仿宋_GB2312" w:hAnsi="仿宋_GB2312" w:eastAsia="仿宋_GB2312"/>
          <w:b w:val="0"/>
          <w:sz w:val="32"/>
        </w:rPr>
        <w:t>八、《国有资本经营预算财政拨款收入支出决算表》</w:t>
      </w:r>
    </w:p>
    <w:p w14:paraId="400F1BFC">
      <w:pPr>
        <w:spacing w:line="240" w:lineRule="auto"/>
        <w:ind w:firstLine="640"/>
        <w:jc w:val="both"/>
      </w:pPr>
      <w:r>
        <w:rPr>
          <w:rFonts w:ascii="仿宋_GB2312" w:hAnsi="仿宋_GB2312" w:eastAsia="仿宋_GB2312"/>
          <w:b w:val="0"/>
          <w:sz w:val="32"/>
        </w:rPr>
        <w:t>九、《财政拨款“三公”经费支出决算表》</w:t>
      </w:r>
    </w:p>
    <w:p w14:paraId="14A88D4C">
      <w:pPr>
        <w:spacing w:line="240" w:lineRule="auto"/>
        <w:ind w:firstLine="640"/>
        <w:jc w:val="both"/>
      </w:pPr>
    </w:p>
    <w:p w14:paraId="21490B6A">
      <w:pPr>
        <w:spacing w:line="240" w:lineRule="auto"/>
        <w:ind w:firstLine="640"/>
        <w:jc w:val="both"/>
      </w:pPr>
    </w:p>
    <w:p w14:paraId="44D1152F">
      <w:pPr>
        <w:spacing w:line="240" w:lineRule="auto"/>
        <w:ind w:firstLine="640"/>
        <w:jc w:val="both"/>
      </w:pPr>
    </w:p>
    <w:p w14:paraId="5EC443F9">
      <w:pPr>
        <w:spacing w:line="240" w:lineRule="auto"/>
        <w:ind w:firstLine="640"/>
        <w:jc w:val="both"/>
      </w:pPr>
    </w:p>
    <w:p w14:paraId="7FEE81E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11B7EB-E97E-4AD5-AE2C-C2B1C5807E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72435B5-899E-4BA8-8767-079B7B7436AA}"/>
  </w:font>
  <w:font w:name="仿宋_GB2312">
    <w:altName w:val="仿宋"/>
    <w:panose1 w:val="02010609030101010101"/>
    <w:charset w:val="86"/>
    <w:family w:val="modern"/>
    <w:pitch w:val="default"/>
    <w:sig w:usb0="00000000" w:usb1="00000000" w:usb2="00000000" w:usb3="00000000" w:csb0="00040000" w:csb1="00000000"/>
    <w:embedRegular r:id="rId3" w:fontKey="{9F6A1095-9051-4916-9624-FFD87EC3AC3E}"/>
  </w:font>
  <w:font w:name="楷体_GB2312">
    <w:altName w:val="楷体"/>
    <w:panose1 w:val="02010609030101010101"/>
    <w:charset w:val="86"/>
    <w:family w:val="auto"/>
    <w:pitch w:val="default"/>
    <w:sig w:usb0="00000000" w:usb1="00000000" w:usb2="00000000" w:usb3="00000000" w:csb0="00040000" w:csb1="00000000"/>
    <w:embedRegular r:id="rId4" w:fontKey="{71BF2E12-C5FB-4515-80F2-9F32EDB7E8A7}"/>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BB4AAD"/>
    <w:rsid w:val="6B68175F"/>
    <w:rsid w:val="6B8B5C99"/>
    <w:rsid w:val="6BF14FC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5221</Words>
  <Characters>5924</Characters>
  <Lines>0</Lines>
  <Paragraphs>0</Paragraphs>
  <TotalTime>6</TotalTime>
  <ScaleCrop>false</ScaleCrop>
  <LinksUpToDate>false</LinksUpToDate>
  <CharactersWithSpaces>5932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