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88FA3C">
      <w:r>
        <w:br w:type="page"/>
      </w:r>
    </w:p>
    <w:p w14:paraId="6BE8877F">
      <w:pPr>
        <w:spacing w:line="640" w:lineRule="exact"/>
        <w:jc w:val="center"/>
        <w:outlineLvl w:val="1"/>
      </w:pPr>
      <w:r>
        <w:rPr>
          <w:rFonts w:ascii="黑体" w:hAnsi="黑体" w:eastAsia="黑体"/>
          <w:sz w:val="32"/>
        </w:rPr>
        <w:t>第一部分 单位概况</w:t>
      </w:r>
    </w:p>
    <w:p w14:paraId="54704737">
      <w:pPr>
        <w:spacing w:line="640" w:lineRule="exact"/>
        <w:ind w:firstLine="640"/>
        <w:jc w:val="both"/>
        <w:outlineLvl w:val="2"/>
      </w:pPr>
      <w:r>
        <w:rPr>
          <w:rFonts w:ascii="黑体" w:hAnsi="黑体" w:eastAsia="黑体"/>
          <w:sz w:val="32"/>
        </w:rPr>
        <w:t>一、主要职能</w:t>
      </w:r>
    </w:p>
    <w:p w14:paraId="2EB5CFB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和上级工会及全县工会代表大会的决议，根据县委、市总工会的部署，结合全县实际，确定工会的指导思想、目标任务，指导全县各级工会开展好各项工作和活动。开展工运理论研究，全心全意为基层、为职工服务。</w:t>
      </w:r>
    </w:p>
    <w:p w14:paraId="0BCF15C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工会自身改革和建设，督促全县党政群机关、企事业单位和各类新建企业(新经济组织)依法建立工会组织，完善工作制度，健全工作机制，开展工会工作;督促、指导基层工会按期换届，坚定不移地推动党的全心全意依靠工人阶级根本指导方针的贯彻落实;代表和维护职工的合法权益，突出和履行维护职能，保护、调动和发挥广大职工的积极性、创造性;协助各级党委做好工会干部的配备、管理和培训工作;围绕有关职工合法权益的重大问题进行调查研究，向县委、县政府和市总工会反映职工群众的思想、愿望和要求，提出合理意见;指导考核全县各级工会工作，增强基层工会活力，提高工会工作整体水平。</w:t>
      </w:r>
    </w:p>
    <w:p w14:paraId="61B8F64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负责全县工会经费的收缴、管理、审查、审计工作，管理县总工会资产，参与研究、制定兴办职工福利事业的有关制度和规定。</w:t>
      </w:r>
    </w:p>
    <w:p w14:paraId="5592256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协助县委、县政府和有关部门做好促进就业再就业工作，开展冬送温暖、夏送清凉、春送岗位、秋送助学和困难职工帮扶活动，管好用好送温暖专项资金和困难职工帮扶中心资金。为全县基层工会会员(职工)提供政策和法律援助服务，促进依法治会。</w:t>
      </w:r>
    </w:p>
    <w:p w14:paraId="021D4685">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承办县委、县政府和市总工会交办的其他工作。</w:t>
      </w:r>
    </w:p>
    <w:p w14:paraId="0C56A2E0">
      <w:pPr>
        <w:spacing w:line="640" w:lineRule="exact"/>
        <w:ind w:firstLine="640"/>
        <w:jc w:val="both"/>
        <w:outlineLvl w:val="2"/>
      </w:pPr>
      <w:r>
        <w:rPr>
          <w:rFonts w:ascii="黑体" w:hAnsi="黑体" w:eastAsia="黑体"/>
          <w:sz w:val="32"/>
        </w:rPr>
        <w:t>二、机构设置及人员情况</w:t>
      </w:r>
    </w:p>
    <w:p w14:paraId="60DAE7ED">
      <w:pPr>
        <w:spacing w:line="580" w:lineRule="exact"/>
        <w:ind w:firstLine="640"/>
        <w:jc w:val="both"/>
      </w:pPr>
      <w:r>
        <w:rPr>
          <w:rFonts w:ascii="仿宋_GB2312" w:hAnsi="仿宋_GB2312" w:eastAsia="仿宋_GB2312"/>
          <w:sz w:val="32"/>
        </w:rPr>
        <w:t>岳普湖县总工会2024年度，实有人数10人，其中：在职人员5人，增加0人；离休人员0人，增加0人；退休人员5人,增加0人。</w:t>
      </w:r>
    </w:p>
    <w:p w14:paraId="2E52FDC7">
      <w:pPr>
        <w:spacing w:line="580" w:lineRule="exact"/>
        <w:ind w:firstLine="640"/>
        <w:jc w:val="both"/>
      </w:pPr>
      <w:r>
        <w:rPr>
          <w:rFonts w:ascii="仿宋_GB2312" w:hAnsi="仿宋_GB2312" w:eastAsia="仿宋_GB2312"/>
          <w:sz w:val="32"/>
        </w:rPr>
        <w:t>岳普湖县总工会无下属预算单位，下设4个科室，分别是：行政办公室、业务办公室、财务室、档案室。</w:t>
      </w:r>
    </w:p>
    <w:p w14:paraId="1CEF2B6C">
      <w:r>
        <w:br w:type="page"/>
      </w:r>
    </w:p>
    <w:p w14:paraId="44FAB325">
      <w:pPr>
        <w:spacing w:line="240" w:lineRule="auto"/>
        <w:jc w:val="center"/>
        <w:outlineLvl w:val="1"/>
      </w:pPr>
      <w:r>
        <w:rPr>
          <w:rFonts w:ascii="黑体" w:hAnsi="黑体" w:eastAsia="黑体"/>
          <w:sz w:val="32"/>
        </w:rPr>
        <w:t>第二部分 部门决算情况说明</w:t>
      </w:r>
    </w:p>
    <w:p w14:paraId="64EB4F36">
      <w:pPr>
        <w:spacing w:line="640" w:lineRule="exact"/>
        <w:ind w:firstLine="640"/>
        <w:jc w:val="both"/>
        <w:outlineLvl w:val="2"/>
      </w:pPr>
      <w:r>
        <w:rPr>
          <w:rFonts w:ascii="黑体" w:hAnsi="黑体" w:eastAsia="黑体"/>
          <w:sz w:val="32"/>
        </w:rPr>
        <w:t>一、收入支出决算总体情况说明</w:t>
      </w:r>
    </w:p>
    <w:p w14:paraId="01DE5B77">
      <w:pPr>
        <w:spacing w:line="580" w:lineRule="exact"/>
        <w:ind w:firstLine="640"/>
        <w:jc w:val="both"/>
      </w:pPr>
      <w:r>
        <w:rPr>
          <w:rFonts w:ascii="仿宋_GB2312" w:hAnsi="仿宋_GB2312" w:eastAsia="仿宋_GB2312"/>
          <w:b/>
          <w:sz w:val="32"/>
        </w:rPr>
        <w:t>2024年度收入总计135.27万元，</w:t>
      </w:r>
      <w:r>
        <w:rPr>
          <w:rFonts w:ascii="仿宋_GB2312" w:hAnsi="仿宋_GB2312" w:eastAsia="仿宋_GB2312"/>
          <w:b w:val="0"/>
          <w:sz w:val="32"/>
        </w:rPr>
        <w:t>其中：本年收入合计135.27万元，使用非财政拨款结余（含专用结余）0.00万元，年初结转和结余0.00万元。</w:t>
      </w:r>
    </w:p>
    <w:p w14:paraId="6B316A5E">
      <w:pPr>
        <w:spacing w:line="580" w:lineRule="exact"/>
        <w:ind w:firstLine="640"/>
        <w:jc w:val="both"/>
      </w:pPr>
      <w:r>
        <w:rPr>
          <w:rFonts w:ascii="仿宋_GB2312" w:hAnsi="仿宋_GB2312" w:eastAsia="仿宋_GB2312"/>
          <w:b/>
          <w:sz w:val="32"/>
        </w:rPr>
        <w:t>2024年度支出总计135.27万元，</w:t>
      </w:r>
      <w:r>
        <w:rPr>
          <w:rFonts w:ascii="仿宋_GB2312" w:hAnsi="仿宋_GB2312" w:eastAsia="仿宋_GB2312"/>
          <w:b w:val="0"/>
          <w:sz w:val="32"/>
        </w:rPr>
        <w:t>其中：本年支出合计135.27万元，结余分配0.00万元，年末结转和结余0.00万元。</w:t>
      </w:r>
    </w:p>
    <w:p w14:paraId="6FB15CE4">
      <w:pPr>
        <w:spacing w:line="580" w:lineRule="exact"/>
        <w:ind w:firstLine="640"/>
        <w:jc w:val="both"/>
      </w:pPr>
      <w:r>
        <w:rPr>
          <w:rFonts w:ascii="仿宋_GB2312" w:hAnsi="仿宋_GB2312" w:eastAsia="仿宋_GB2312"/>
          <w:b w:val="0"/>
          <w:sz w:val="32"/>
        </w:rPr>
        <w:t>收入支出总体与上年相比，增加4.99万元，增长3.83%，主要原因是：本年增加岳普湖县开展“文化润疆”建设项目（山东泰安工会系统及劳模代表赴喀什岳普湖县开展交流参访活动）、岳普湖县开展“文化浸润”建设项目（岳普湖县打造中华文化符号和中华民族视觉形象示范点项目之2024年中华文化符号进万家暨对岳普湖县部分职工开展表彰激励活动）项目。</w:t>
      </w:r>
    </w:p>
    <w:p w14:paraId="3CAA4C5D">
      <w:pPr>
        <w:spacing w:line="640" w:lineRule="exact"/>
        <w:ind w:firstLine="640"/>
        <w:jc w:val="both"/>
        <w:outlineLvl w:val="2"/>
      </w:pPr>
      <w:r>
        <w:rPr>
          <w:rFonts w:ascii="黑体" w:hAnsi="黑体" w:eastAsia="黑体"/>
          <w:sz w:val="32"/>
        </w:rPr>
        <w:t>二、收入决算情况说明</w:t>
      </w:r>
    </w:p>
    <w:p w14:paraId="5C2D75B4">
      <w:pPr>
        <w:spacing w:line="580" w:lineRule="exact"/>
        <w:ind w:firstLine="640"/>
        <w:jc w:val="both"/>
      </w:pPr>
      <w:r>
        <w:rPr>
          <w:rFonts w:ascii="仿宋_GB2312" w:hAnsi="仿宋_GB2312" w:eastAsia="仿宋_GB2312"/>
          <w:b/>
          <w:sz w:val="32"/>
        </w:rPr>
        <w:t>本年收入135.27万元，</w:t>
      </w:r>
      <w:r>
        <w:rPr>
          <w:rFonts w:ascii="仿宋_GB2312" w:hAnsi="仿宋_GB2312" w:eastAsia="仿宋_GB2312"/>
          <w:b w:val="0"/>
          <w:sz w:val="32"/>
        </w:rPr>
        <w:t>其中：财政拨款收入96.81万元，占71.57%；上级补助收入0.00万元，占0.00%；事业收入0.00万元，占0.00%；经营收入0.00万元，占0.00%；附属单位上缴收入0.00万元，占0.00%；其他收入38.46万元，占28.43%。</w:t>
      </w:r>
    </w:p>
    <w:p w14:paraId="51F05C47">
      <w:pPr>
        <w:spacing w:line="640" w:lineRule="exact"/>
        <w:ind w:firstLine="640"/>
        <w:jc w:val="both"/>
        <w:outlineLvl w:val="2"/>
      </w:pPr>
      <w:r>
        <w:rPr>
          <w:rFonts w:ascii="黑体" w:hAnsi="黑体" w:eastAsia="黑体"/>
          <w:sz w:val="32"/>
        </w:rPr>
        <w:t>三、支出决算情况说明</w:t>
      </w:r>
    </w:p>
    <w:p w14:paraId="144DCDE0">
      <w:pPr>
        <w:spacing w:line="580" w:lineRule="exact"/>
        <w:ind w:firstLine="640"/>
        <w:jc w:val="both"/>
      </w:pPr>
      <w:r>
        <w:rPr>
          <w:rFonts w:ascii="仿宋_GB2312" w:hAnsi="仿宋_GB2312" w:eastAsia="仿宋_GB2312"/>
          <w:b/>
          <w:sz w:val="32"/>
        </w:rPr>
        <w:t>本年支出135.27万元，</w:t>
      </w:r>
      <w:r>
        <w:rPr>
          <w:rFonts w:ascii="仿宋_GB2312" w:hAnsi="仿宋_GB2312" w:eastAsia="仿宋_GB2312"/>
          <w:b w:val="0"/>
          <w:sz w:val="32"/>
        </w:rPr>
        <w:t>其中：基本支出96.81万元，占71.57%；项目支出38.46万元，占28.43%；上缴上级支出0.00万元，占0.00%；经营支出0.00万元，占0.00%；对附属单位补助支出0.00万元，占0.00%。</w:t>
      </w:r>
    </w:p>
    <w:p w14:paraId="692AAC25">
      <w:pPr>
        <w:spacing w:line="640" w:lineRule="exact"/>
        <w:ind w:firstLine="640"/>
        <w:jc w:val="both"/>
        <w:outlineLvl w:val="2"/>
      </w:pPr>
      <w:r>
        <w:rPr>
          <w:rFonts w:ascii="黑体" w:hAnsi="黑体" w:eastAsia="黑体"/>
          <w:sz w:val="32"/>
        </w:rPr>
        <w:t>四、财政拨款收入支出决算总体情况说明</w:t>
      </w:r>
    </w:p>
    <w:p w14:paraId="19ADC8BE">
      <w:pPr>
        <w:spacing w:line="580" w:lineRule="exact"/>
        <w:ind w:firstLine="640"/>
        <w:jc w:val="both"/>
      </w:pPr>
      <w:r>
        <w:rPr>
          <w:rFonts w:ascii="仿宋_GB2312" w:hAnsi="仿宋_GB2312" w:eastAsia="仿宋_GB2312"/>
          <w:b/>
          <w:sz w:val="32"/>
        </w:rPr>
        <w:t>2024年度财政拨款收入总计96.81万元，</w:t>
      </w:r>
      <w:r>
        <w:rPr>
          <w:rFonts w:ascii="仿宋_GB2312" w:hAnsi="仿宋_GB2312" w:eastAsia="仿宋_GB2312"/>
          <w:b w:val="0"/>
          <w:sz w:val="32"/>
        </w:rPr>
        <w:t>其中：年初财政拨款结转和结余0.00万元，本年财政拨款收入96.81万元。</w:t>
      </w:r>
      <w:r>
        <w:rPr>
          <w:rFonts w:ascii="仿宋_GB2312" w:hAnsi="仿宋_GB2312" w:eastAsia="仿宋_GB2312"/>
          <w:b/>
          <w:sz w:val="32"/>
        </w:rPr>
        <w:t>财政拨款支出总计96.81万元，</w:t>
      </w:r>
      <w:r>
        <w:rPr>
          <w:rFonts w:ascii="仿宋_GB2312" w:hAnsi="仿宋_GB2312" w:eastAsia="仿宋_GB2312"/>
          <w:b w:val="0"/>
          <w:sz w:val="32"/>
        </w:rPr>
        <w:t>其中：年末财政拨款结转和结余0.00万元，本年财政拨款支出96.81万元。</w:t>
      </w:r>
    </w:p>
    <w:p w14:paraId="370F30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减少33.47万元，下降25.69%，主要原因是：本年在职人员调入调出，人员职级不同，缴费基数不同，相关支出减少。</w:t>
      </w:r>
      <w:r>
        <w:rPr>
          <w:rFonts w:ascii="仿宋_GB2312" w:hAnsi="仿宋_GB2312" w:eastAsia="仿宋_GB2312"/>
          <w:b/>
          <w:sz w:val="32"/>
        </w:rPr>
        <w:t>与年初预算相比，</w:t>
      </w:r>
      <w:r>
        <w:rPr>
          <w:rFonts w:ascii="仿宋_GB2312" w:hAnsi="仿宋_GB2312" w:eastAsia="仿宋_GB2312"/>
          <w:b w:val="0"/>
          <w:sz w:val="32"/>
        </w:rPr>
        <w:t>年初预算数121.98万元，决算数96.81万元，预决算差异率-20.63%，主要原因是：本年在职人员调入调出，人员职级不同，缴费基数不同，年中调减人员经费，导致预决算存在差异。</w:t>
      </w:r>
    </w:p>
    <w:p w14:paraId="320224FD">
      <w:pPr>
        <w:spacing w:line="640" w:lineRule="exact"/>
        <w:ind w:firstLine="640"/>
        <w:jc w:val="both"/>
        <w:outlineLvl w:val="2"/>
      </w:pPr>
      <w:r>
        <w:rPr>
          <w:rFonts w:ascii="黑体" w:hAnsi="黑体" w:eastAsia="黑体"/>
          <w:sz w:val="32"/>
        </w:rPr>
        <w:t>五、一般公共预算财政拨款支出决算情况说明</w:t>
      </w:r>
    </w:p>
    <w:p w14:paraId="028E7800">
      <w:pPr>
        <w:spacing w:line="640" w:lineRule="exact"/>
        <w:ind w:firstLine="640"/>
        <w:jc w:val="both"/>
        <w:outlineLvl w:val="3"/>
      </w:pPr>
      <w:r>
        <w:rPr>
          <w:rFonts w:ascii="楷体_GB2312" w:hAnsi="楷体_GB2312" w:eastAsia="楷体_GB2312"/>
          <w:b/>
          <w:sz w:val="32"/>
        </w:rPr>
        <w:t>（一）一般公共预算财政拨款支出决算总体情况</w:t>
      </w:r>
    </w:p>
    <w:p w14:paraId="3E4A8F96">
      <w:pPr>
        <w:spacing w:line="580" w:lineRule="exact"/>
        <w:ind w:firstLine="640"/>
        <w:jc w:val="both"/>
      </w:pPr>
      <w:r>
        <w:rPr>
          <w:rFonts w:ascii="仿宋_GB2312" w:hAnsi="仿宋_GB2312" w:eastAsia="仿宋_GB2312"/>
          <w:b/>
          <w:sz w:val="32"/>
        </w:rPr>
        <w:t>2024年度一般公共预算财政拨款支出96.81万元，</w:t>
      </w:r>
      <w:r>
        <w:rPr>
          <w:rFonts w:ascii="仿宋_GB2312" w:hAnsi="仿宋_GB2312" w:eastAsia="仿宋_GB2312"/>
          <w:b w:val="0"/>
          <w:sz w:val="32"/>
        </w:rPr>
        <w:t>占本年支出合计的71.57%。</w:t>
      </w:r>
      <w:r>
        <w:rPr>
          <w:rFonts w:ascii="仿宋_GB2312" w:hAnsi="仿宋_GB2312" w:eastAsia="仿宋_GB2312"/>
          <w:b/>
          <w:sz w:val="32"/>
        </w:rPr>
        <w:t>与上年相比，</w:t>
      </w:r>
      <w:r>
        <w:rPr>
          <w:rFonts w:ascii="仿宋_GB2312" w:hAnsi="仿宋_GB2312" w:eastAsia="仿宋_GB2312"/>
          <w:b w:val="0"/>
          <w:sz w:val="32"/>
        </w:rPr>
        <w:t>减少33.47万元，下降25.69%，主要原因是：本年在职人员调入调出，人员职级不同，缴费基数不同，相关支出减少。</w:t>
      </w:r>
      <w:r>
        <w:rPr>
          <w:rFonts w:ascii="仿宋_GB2312" w:hAnsi="仿宋_GB2312" w:eastAsia="仿宋_GB2312"/>
          <w:b/>
          <w:sz w:val="32"/>
        </w:rPr>
        <w:t>与年初预算相比,</w:t>
      </w:r>
      <w:r>
        <w:rPr>
          <w:rFonts w:ascii="仿宋_GB2312" w:hAnsi="仿宋_GB2312" w:eastAsia="仿宋_GB2312"/>
          <w:b w:val="0"/>
          <w:sz w:val="32"/>
        </w:rPr>
        <w:t>年初预算数121.98万元，决算数96.81万元，预决算差异率-20.63%，主要原因是：本年在职人员调入调出，人员职级不同，缴费基数不同，年中调减人员经费，导致预决算存在差异。</w:t>
      </w:r>
    </w:p>
    <w:p w14:paraId="1F896897">
      <w:pPr>
        <w:spacing w:line="640" w:lineRule="exact"/>
        <w:ind w:firstLine="640"/>
        <w:jc w:val="both"/>
        <w:outlineLvl w:val="3"/>
      </w:pPr>
      <w:r>
        <w:rPr>
          <w:rFonts w:ascii="楷体_GB2312" w:hAnsi="楷体_GB2312" w:eastAsia="楷体_GB2312"/>
          <w:b/>
          <w:sz w:val="32"/>
        </w:rPr>
        <w:t>（二）一般公共预算财政拨款支出决算结构情况</w:t>
      </w:r>
    </w:p>
    <w:p w14:paraId="0C6178E2">
      <w:pPr>
        <w:spacing w:line="580" w:lineRule="exact"/>
        <w:ind w:firstLine="640"/>
        <w:jc w:val="both"/>
      </w:pPr>
      <w:r>
        <w:rPr>
          <w:rFonts w:ascii="仿宋_GB2312" w:hAnsi="仿宋_GB2312" w:eastAsia="仿宋_GB2312"/>
          <w:b w:val="0"/>
          <w:sz w:val="32"/>
        </w:rPr>
        <w:t>1.一般公共服务支出(类)70.21万元,占72.52%。</w:t>
      </w:r>
    </w:p>
    <w:p w14:paraId="29F24179">
      <w:pPr>
        <w:spacing w:line="580" w:lineRule="exact"/>
        <w:ind w:firstLine="640"/>
        <w:jc w:val="both"/>
      </w:pPr>
      <w:r>
        <w:rPr>
          <w:rFonts w:ascii="仿宋_GB2312" w:hAnsi="仿宋_GB2312" w:eastAsia="仿宋_GB2312"/>
          <w:b w:val="0"/>
          <w:sz w:val="32"/>
        </w:rPr>
        <w:t>2.社会保障和就业支出(类)14.94万元,占15.43%。</w:t>
      </w:r>
    </w:p>
    <w:p w14:paraId="175AAE81">
      <w:pPr>
        <w:spacing w:line="580" w:lineRule="exact"/>
        <w:ind w:firstLine="640"/>
        <w:jc w:val="both"/>
      </w:pPr>
      <w:r>
        <w:rPr>
          <w:rFonts w:ascii="仿宋_GB2312" w:hAnsi="仿宋_GB2312" w:eastAsia="仿宋_GB2312"/>
          <w:b w:val="0"/>
          <w:sz w:val="32"/>
        </w:rPr>
        <w:t>3.卫生健康支出(类)4.41万元,占4.56%。</w:t>
      </w:r>
    </w:p>
    <w:p w14:paraId="255AC090">
      <w:pPr>
        <w:spacing w:line="580" w:lineRule="exact"/>
        <w:ind w:firstLine="640"/>
        <w:jc w:val="both"/>
      </w:pPr>
      <w:r>
        <w:rPr>
          <w:rFonts w:ascii="仿宋_GB2312" w:hAnsi="仿宋_GB2312" w:eastAsia="仿宋_GB2312"/>
          <w:b w:val="0"/>
          <w:sz w:val="32"/>
        </w:rPr>
        <w:t>4.住房保障支出(类)7.25万元,占7.49%。</w:t>
      </w:r>
    </w:p>
    <w:p w14:paraId="26916950">
      <w:pPr>
        <w:spacing w:line="640" w:lineRule="exact"/>
        <w:ind w:firstLine="640"/>
        <w:jc w:val="both"/>
        <w:outlineLvl w:val="3"/>
      </w:pPr>
      <w:r>
        <w:rPr>
          <w:rFonts w:ascii="楷体_GB2312" w:hAnsi="楷体_GB2312" w:eastAsia="楷体_GB2312"/>
          <w:b/>
          <w:sz w:val="32"/>
        </w:rPr>
        <w:t>（三）一般公共预算财政拨款支出决算具体情况</w:t>
      </w:r>
    </w:p>
    <w:p w14:paraId="7F984971">
      <w:pPr>
        <w:spacing w:line="580" w:lineRule="exact"/>
        <w:ind w:firstLine="640"/>
        <w:jc w:val="both"/>
      </w:pPr>
      <w:r>
        <w:rPr>
          <w:rFonts w:ascii="仿宋_GB2312" w:hAnsi="仿宋_GB2312" w:eastAsia="仿宋_GB2312"/>
          <w:b w:val="0"/>
          <w:sz w:val="32"/>
        </w:rPr>
        <w:t>1.一般公共服务支出(类)群众团体事务(款)行政运行(项):支出决算数为70.21万元，比上年决算减少19.62万元，下降21.84%,主要原因是：本年在职人员调入调出，人员职级不同，缴费基数不同，相关支出减少。</w:t>
      </w:r>
    </w:p>
    <w:p w14:paraId="77954B0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2.社会保障和就业支出(类)行政事业单位养老支出(款)行政单位离退休(项):支出决算数为6.20万元，比上年决算增加1.74万元，增长39.01%,主要原因是：本年退休人员绩效增加，退休费支出增加。</w:t>
      </w:r>
    </w:p>
    <w:p w14:paraId="3AB0E47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8.74万元，比上年决算减少0.68万元，下降7.22%,主要原因是：本年在职人员调入调出，人员职级不同，缴费基数不同，导致养老保险缴费较上年减少。</w:t>
      </w:r>
    </w:p>
    <w:p w14:paraId="31FE25E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4.社会保障和就业支出(类)行政事业单位养老支出(款)机关事业单位职业年金缴费支出(项):支出决算数为0.00万元，比上年决算减少12.03万元，下降100.00%,主要原因是：本年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新增退休人员，职业年金缴费较上年减少。</w:t>
      </w:r>
    </w:p>
    <w:p w14:paraId="6F8D9274">
      <w:pPr>
        <w:spacing w:line="580" w:lineRule="exact"/>
        <w:ind w:firstLine="640"/>
        <w:jc w:val="both"/>
      </w:pPr>
      <w:r>
        <w:rPr>
          <w:rFonts w:ascii="仿宋_GB2312" w:hAnsi="仿宋_GB2312" w:eastAsia="仿宋_GB2312"/>
          <w:b w:val="0"/>
          <w:sz w:val="32"/>
        </w:rPr>
        <w:t>5.卫生健康支出(类)行政事业单位医疗(款)行政单位医疗(项):支出决算数为3.72万元，比上年决算减少2.02万元，下降35.19%,主要原因是：本年在职人员调入调出，人员职级不同，缴费基数不同，导致行政单位医疗较上年减少。</w:t>
      </w:r>
    </w:p>
    <w:p w14:paraId="5722079D">
      <w:pPr>
        <w:spacing w:line="580" w:lineRule="exact"/>
        <w:ind w:firstLine="640"/>
        <w:jc w:val="both"/>
      </w:pPr>
      <w:r>
        <w:rPr>
          <w:rFonts w:ascii="仿宋_GB2312" w:hAnsi="仿宋_GB2312" w:eastAsia="仿宋_GB2312"/>
          <w:b w:val="0"/>
          <w:sz w:val="32"/>
        </w:rPr>
        <w:t>6.卫生健康支出(类)行政事业单位医疗(款)公务员医疗补助(项):支出决算数为0.70万元，比上年决算减少0.66万元，下降48.53%,主要原因是：本年在职人员调入调出，人员职级不同，缴费基数不同，导致公务员医疗补助较上年减少。</w:t>
      </w:r>
    </w:p>
    <w:p w14:paraId="2A52C0AC">
      <w:pPr>
        <w:spacing w:line="580" w:lineRule="exact"/>
        <w:ind w:firstLine="640"/>
        <w:jc w:val="both"/>
      </w:pPr>
      <w:r>
        <w:rPr>
          <w:rFonts w:ascii="仿宋_GB2312" w:hAnsi="仿宋_GB2312" w:eastAsia="仿宋_GB2312"/>
          <w:b w:val="0"/>
          <w:sz w:val="32"/>
        </w:rPr>
        <w:t>7.住房保障支出(类)住房改革支出(款)住房公积金(项):支出决算数为7.25万元，比上年决算减少0.19万元，下降2.55%,主要原因是：本年在职人员调入调出，人员职级不同，缴费基数不同，导致住房公积金较上年减少。</w:t>
      </w:r>
    </w:p>
    <w:p w14:paraId="53309357">
      <w:pPr>
        <w:spacing w:line="640" w:lineRule="exact"/>
        <w:ind w:firstLine="640"/>
        <w:jc w:val="both"/>
        <w:outlineLvl w:val="2"/>
      </w:pPr>
      <w:r>
        <w:rPr>
          <w:rFonts w:ascii="黑体" w:hAnsi="黑体" w:eastAsia="黑体"/>
          <w:sz w:val="32"/>
        </w:rPr>
        <w:t>六、一般公共预算财政拨款基本支出决算情况说明</w:t>
      </w:r>
    </w:p>
    <w:p w14:paraId="0AADD6DA">
      <w:pPr>
        <w:spacing w:line="580" w:lineRule="exact"/>
        <w:ind w:firstLine="640"/>
        <w:jc w:val="both"/>
      </w:pPr>
      <w:r>
        <w:rPr>
          <w:rFonts w:ascii="仿宋_GB2312" w:hAnsi="仿宋_GB2312" w:eastAsia="仿宋_GB2312"/>
          <w:b w:val="0"/>
          <w:sz w:val="32"/>
        </w:rPr>
        <w:t>2024年度一般公共预算财政拨款基本支出96.81万元，其中：</w:t>
      </w:r>
      <w:r>
        <w:rPr>
          <w:rFonts w:ascii="仿宋_GB2312" w:hAnsi="仿宋_GB2312" w:eastAsia="仿宋_GB2312"/>
          <w:b/>
          <w:sz w:val="32"/>
        </w:rPr>
        <w:t>人员经费92.69万元，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6FF4811C">
      <w:pPr>
        <w:spacing w:line="580" w:lineRule="exact"/>
        <w:ind w:firstLine="640"/>
        <w:jc w:val="both"/>
      </w:pPr>
      <w:r>
        <w:rPr>
          <w:rFonts w:ascii="仿宋_GB2312" w:hAnsi="仿宋_GB2312" w:eastAsia="仿宋_GB2312"/>
          <w:b/>
          <w:sz w:val="32"/>
        </w:rPr>
        <w:t>公用经费4.12万元，</w:t>
      </w:r>
      <w:r>
        <w:rPr>
          <w:rFonts w:ascii="仿宋_GB2312" w:hAnsi="仿宋_GB2312" w:eastAsia="仿宋_GB2312"/>
          <w:b w:val="0"/>
          <w:sz w:val="32"/>
        </w:rPr>
        <w:t>包括：办公费、电费、邮电费、取暖费、物业管理费、差旅费、公务用车运行维护费。</w:t>
      </w:r>
    </w:p>
    <w:p w14:paraId="5D75B65F">
      <w:pPr>
        <w:spacing w:line="640" w:lineRule="exact"/>
        <w:ind w:firstLine="640"/>
        <w:jc w:val="both"/>
        <w:outlineLvl w:val="2"/>
      </w:pPr>
      <w:r>
        <w:rPr>
          <w:rFonts w:ascii="黑体" w:hAnsi="黑体" w:eastAsia="黑体"/>
          <w:sz w:val="32"/>
        </w:rPr>
        <w:t>七、政府性基金预算财政拨款收入支出决算情况说明</w:t>
      </w:r>
    </w:p>
    <w:p w14:paraId="6F3D62C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BDAC979">
      <w:pPr>
        <w:spacing w:line="640" w:lineRule="exact"/>
        <w:ind w:firstLine="640"/>
        <w:jc w:val="both"/>
        <w:outlineLvl w:val="2"/>
      </w:pPr>
      <w:r>
        <w:rPr>
          <w:rFonts w:ascii="黑体" w:hAnsi="黑体" w:eastAsia="黑体"/>
          <w:sz w:val="32"/>
        </w:rPr>
        <w:t>八、国有资本经营预算财政拨款收入支出决算情况说明</w:t>
      </w:r>
    </w:p>
    <w:p w14:paraId="615EF0B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38E8FF">
      <w:pPr>
        <w:spacing w:line="640" w:lineRule="exact"/>
        <w:ind w:firstLine="640"/>
        <w:jc w:val="both"/>
        <w:outlineLvl w:val="2"/>
      </w:pPr>
      <w:r>
        <w:rPr>
          <w:rFonts w:ascii="黑体" w:hAnsi="黑体" w:eastAsia="黑体"/>
          <w:sz w:val="32"/>
        </w:rPr>
        <w:t>九、财政拨款“三公”经费支出决算情况说明</w:t>
      </w:r>
    </w:p>
    <w:p w14:paraId="777EC32A">
      <w:pPr>
        <w:spacing w:line="580" w:lineRule="exact"/>
        <w:ind w:firstLine="640"/>
        <w:jc w:val="both"/>
      </w:pPr>
      <w:r>
        <w:rPr>
          <w:rFonts w:ascii="仿宋_GB2312" w:hAnsi="仿宋_GB2312" w:eastAsia="仿宋_GB2312"/>
          <w:b/>
          <w:sz w:val="32"/>
        </w:rPr>
        <w:t>2024年度财政拨款“三公”经费支出1.84万元，</w:t>
      </w:r>
      <w:r>
        <w:rPr>
          <w:rFonts w:ascii="仿宋_GB2312" w:hAnsi="仿宋_GB2312" w:eastAsia="仿宋_GB2312"/>
          <w:b w:val="0"/>
          <w:sz w:val="32"/>
        </w:rPr>
        <w:t>比上年增加0.69万元，增长60.00%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1.84万元，占100.00%，比上年增加0.69万元，增长60.00%，主要原因是：本年因业务需求，用车次数增加，燃油费增加，导致公务用车运行维护费较上年增加。公务接待费支出0.00万元，占0.00%，比上年增加0.00万元，增长0.00%，主要原因是：2023年与2024年均未安排公务接待费支出。</w:t>
      </w:r>
    </w:p>
    <w:p w14:paraId="07C9F5DB">
      <w:pPr>
        <w:spacing w:line="580" w:lineRule="exact"/>
        <w:ind w:firstLine="640"/>
        <w:jc w:val="both"/>
      </w:pPr>
      <w:r>
        <w:rPr>
          <w:rFonts w:ascii="仿宋_GB2312" w:hAnsi="仿宋_GB2312" w:eastAsia="仿宋_GB2312"/>
          <w:b/>
          <w:sz w:val="32"/>
        </w:rPr>
        <w:t>具体情况如下：</w:t>
      </w:r>
    </w:p>
    <w:p w14:paraId="2CD7B2F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EBDC24">
      <w:pPr>
        <w:spacing w:line="580" w:lineRule="exact"/>
        <w:ind w:firstLine="640"/>
        <w:jc w:val="both"/>
      </w:pPr>
      <w:r>
        <w:rPr>
          <w:rFonts w:ascii="仿宋_GB2312" w:hAnsi="仿宋_GB2312" w:eastAsia="仿宋_GB2312"/>
          <w:b w:val="0"/>
          <w:sz w:val="32"/>
        </w:rPr>
        <w:t>公务用车购置及运行维护费1.84万元，其中：公务用车购置费0.00</w:t>
      </w:r>
      <w:bookmarkStart w:id="0" w:name="_GoBack"/>
      <w:r>
        <w:rPr>
          <w:rFonts w:ascii="仿宋_GB2312" w:hAnsi="仿宋_GB2312" w:eastAsia="仿宋_GB2312"/>
          <w:b w:val="0"/>
          <w:sz w:val="32"/>
        </w:rPr>
        <w:t>万元，公务用车运行维护费1.84万元。公务用车运行维护费开支内容包括公务用车燃油费、公务用车保险费及公务用车车辆检测费。公务用车购置数0辆，公务用车保有量1辆。国有资产占用情况中固定资产车辆1辆，与公务用车保有量差异原因是：本单位固定资产车辆与公务用车保有量一致无差异。</w:t>
      </w:r>
    </w:p>
    <w:p w14:paraId="3A9A4678">
      <w:pPr>
        <w:spacing w:line="580" w:lineRule="exact"/>
        <w:ind w:firstLine="640"/>
        <w:jc w:val="both"/>
      </w:pPr>
      <w:r>
        <w:rPr>
          <w:rFonts w:ascii="仿宋_GB2312" w:hAnsi="仿宋_GB2312" w:eastAsia="仿宋_GB2312"/>
          <w:b w:val="0"/>
          <w:sz w:val="32"/>
        </w:rPr>
        <w:t>公务接待费0.00万元，开支内容包括本单位无</w:t>
      </w:r>
      <w:bookmarkEnd w:id="0"/>
      <w:r>
        <w:rPr>
          <w:rFonts w:ascii="仿宋_GB2312" w:hAnsi="仿宋_GB2312" w:eastAsia="仿宋_GB2312"/>
          <w:b w:val="0"/>
          <w:sz w:val="32"/>
        </w:rPr>
        <w:t>公务接待费。单位全年安排的国内公务接待0批次，0人次。</w:t>
      </w:r>
    </w:p>
    <w:p w14:paraId="0DAC27B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1.84万元，决算数1.84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1.84万元，决算数1.84万元，预决算差异率0.00%，主要原因是：严格按照预算执行，预决算无差异。公务接待费全年预算数0.00万元，决算数0.00万元，预决算差异率0.00%，主要原因是：本单位无公务接待费。</w:t>
      </w:r>
    </w:p>
    <w:p w14:paraId="5E459BEC">
      <w:pPr>
        <w:spacing w:line="640" w:lineRule="exact"/>
        <w:ind w:firstLine="640"/>
        <w:jc w:val="both"/>
        <w:outlineLvl w:val="2"/>
      </w:pPr>
      <w:r>
        <w:rPr>
          <w:rFonts w:ascii="黑体" w:hAnsi="黑体" w:eastAsia="黑体"/>
          <w:sz w:val="32"/>
        </w:rPr>
        <w:t>十、其他重要事项的情况说明</w:t>
      </w:r>
    </w:p>
    <w:p w14:paraId="4CB0204A">
      <w:pPr>
        <w:spacing w:line="640" w:lineRule="exact"/>
        <w:ind w:firstLine="640"/>
        <w:jc w:val="both"/>
        <w:outlineLvl w:val="3"/>
      </w:pPr>
      <w:r>
        <w:rPr>
          <w:rFonts w:ascii="楷体_GB2312" w:hAnsi="楷体_GB2312" w:eastAsia="楷体_GB2312"/>
          <w:b/>
          <w:sz w:val="32"/>
        </w:rPr>
        <w:t>（一）机关运行经费及公用经费支出情况</w:t>
      </w:r>
    </w:p>
    <w:p w14:paraId="3345716D">
      <w:pPr>
        <w:spacing w:line="580" w:lineRule="exact"/>
        <w:ind w:firstLine="640"/>
        <w:jc w:val="both"/>
      </w:pPr>
      <w:r>
        <w:rPr>
          <w:rFonts w:ascii="仿宋_GB2312" w:hAnsi="仿宋_GB2312" w:eastAsia="仿宋_GB2312"/>
          <w:b w:val="0"/>
          <w:sz w:val="32"/>
        </w:rPr>
        <w:t>2024年度岳普湖县总工会（行政单位和参照公务员法管理事业单位）机关运行经费支出4.12万元，比上年减少0.02万元，下降0.48%，主要原因是：严格控制公用经费，合理节约办公用品，减少不必要开支。</w:t>
      </w:r>
    </w:p>
    <w:p w14:paraId="53F6720E">
      <w:pPr>
        <w:spacing w:line="640" w:lineRule="exact"/>
        <w:ind w:firstLine="640"/>
        <w:jc w:val="both"/>
        <w:outlineLvl w:val="3"/>
      </w:pPr>
      <w:r>
        <w:rPr>
          <w:rFonts w:ascii="楷体_GB2312" w:hAnsi="楷体_GB2312" w:eastAsia="楷体_GB2312"/>
          <w:b/>
          <w:sz w:val="32"/>
        </w:rPr>
        <w:t>（二）政府采购情况</w:t>
      </w:r>
    </w:p>
    <w:p w14:paraId="72C23938">
      <w:pPr>
        <w:spacing w:line="580" w:lineRule="exact"/>
        <w:ind w:firstLine="640"/>
        <w:jc w:val="both"/>
      </w:pPr>
      <w:r>
        <w:rPr>
          <w:rFonts w:ascii="仿宋_GB2312" w:hAnsi="仿宋_GB2312" w:eastAsia="仿宋_GB2312"/>
          <w:b w:val="0"/>
          <w:sz w:val="32"/>
        </w:rPr>
        <w:t>2024年度政府采购支出总额65.07万元，其中：政府采购货物支出12.75万元、政府采购工程支出15.48万元、政府采购服务支出36.84万元。</w:t>
      </w:r>
    </w:p>
    <w:p w14:paraId="5CA8F814">
      <w:pPr>
        <w:spacing w:line="580" w:lineRule="exact"/>
        <w:ind w:firstLine="640"/>
        <w:jc w:val="both"/>
      </w:pPr>
      <w:r>
        <w:rPr>
          <w:rFonts w:ascii="仿宋_GB2312" w:hAnsi="仿宋_GB2312" w:eastAsia="仿宋_GB2312"/>
          <w:b w:val="0"/>
          <w:sz w:val="32"/>
        </w:rPr>
        <w:t>授予中小企业合同金额63.12万元，占政府采购支出总额的97.00%，其中：授予小微企业合同金额62.92万元，占政府采购支出总额的96.70%。</w:t>
      </w:r>
    </w:p>
    <w:p w14:paraId="4C596182">
      <w:pPr>
        <w:spacing w:line="640" w:lineRule="exact"/>
        <w:ind w:firstLine="640"/>
        <w:jc w:val="both"/>
        <w:outlineLvl w:val="3"/>
      </w:pPr>
      <w:r>
        <w:rPr>
          <w:rFonts w:ascii="楷体_GB2312" w:hAnsi="楷体_GB2312" w:eastAsia="楷体_GB2312"/>
          <w:b/>
          <w:sz w:val="32"/>
        </w:rPr>
        <w:t>（三）国有资产占用情况说明</w:t>
      </w:r>
    </w:p>
    <w:p w14:paraId="5B9386FE">
      <w:pPr>
        <w:spacing w:line="580" w:lineRule="exact"/>
        <w:ind w:firstLine="640"/>
        <w:jc w:val="both"/>
      </w:pPr>
      <w:r>
        <w:rPr>
          <w:rFonts w:ascii="仿宋_GB2312" w:hAnsi="仿宋_GB2312" w:eastAsia="仿宋_GB2312"/>
          <w:b w:val="0"/>
          <w:sz w:val="32"/>
        </w:rPr>
        <w:t>截至2024年12月31日，房屋611.73平方米，价值131.28万元。车辆1辆，价值9.53万元，其中：副部（省）级及以上领导用车0辆、主要负责人用车0辆、机要通信用车0辆、应急保障用车0辆、执法执勤用车0辆、特种专业技术用车0辆、离退休干部服务用车0辆、其他用车1辆，其他用车主要是：用于开展业务工作、下乡走访、企业宣讲的业务用车。单价100万元（含）以上设备（不含车辆）0台（套）。</w:t>
      </w:r>
    </w:p>
    <w:p w14:paraId="7915A2B1">
      <w:pPr>
        <w:spacing w:line="640" w:lineRule="exact"/>
        <w:ind w:firstLine="640"/>
        <w:jc w:val="both"/>
        <w:outlineLvl w:val="2"/>
      </w:pPr>
      <w:r>
        <w:rPr>
          <w:rFonts w:ascii="黑体" w:hAnsi="黑体" w:eastAsia="黑体"/>
          <w:sz w:val="32"/>
        </w:rPr>
        <w:t>十一、预算绩效的情况说明</w:t>
      </w:r>
    </w:p>
    <w:p w14:paraId="151A00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135.27万元，实际执行总额135.27万元；预算绩效评价项目5个，全年预算数83.28万元，全年执行数83.24万元。预算绩效管理取得的成效：一是资金使用效益显著提升；二是资源配置更加合理；三是预算编制与执行更加规范；四是绩效管理一年深入人心；五是职工服务能力有效增强。发现的问题及原因：一是工会服务基层的主动性不高，服务能力不强；二是企业组建工会积极性不高；三是工会干部队伍专业能力有待提高。下一步改进措施：一是</w:t>
      </w:r>
      <w:r>
        <w:rPr>
          <w:rFonts w:hint="eastAsia" w:ascii="仿宋_GB2312" w:hAnsi="仿宋_GB2312" w:eastAsia="仿宋_GB2312"/>
          <w:b w:val="0"/>
          <w:sz w:val="32"/>
          <w:lang w:eastAsia="zh-CN"/>
        </w:rPr>
        <w:t>加快</w:t>
      </w:r>
      <w:r>
        <w:rPr>
          <w:rFonts w:ascii="仿宋_GB2312" w:hAnsi="仿宋_GB2312" w:eastAsia="仿宋_GB2312"/>
          <w:b w:val="0"/>
          <w:sz w:val="32"/>
        </w:rPr>
        <w:t>开展思想教育活动，扭转服务理念偏差；二是举办工会互动宣传活动；三是合理安排培训时间。具体附整体支出绩效自评表，项目支出绩效自评表和评价报告。</w:t>
      </w:r>
    </w:p>
    <w:p w14:paraId="08E733E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6D99735">
        <w:tblPrEx>
          <w:tblCellMar>
            <w:top w:w="0" w:type="dxa"/>
            <w:left w:w="108" w:type="dxa"/>
            <w:bottom w:w="0" w:type="dxa"/>
            <w:right w:w="108" w:type="dxa"/>
          </w:tblCellMar>
        </w:tblPrEx>
        <w:tc>
          <w:tcPr>
            <w:tcW w:w="8847" w:type="dxa"/>
            <w:gridSpan w:val="9"/>
            <w:vAlign w:val="center"/>
          </w:tcPr>
          <w:p w14:paraId="336B46D2">
            <w:pPr>
              <w:jc w:val="center"/>
            </w:pPr>
            <w:r>
              <w:rPr>
                <w:rFonts w:ascii="宋体" w:hAnsi="宋体" w:eastAsia="宋体"/>
                <w:sz w:val="24"/>
              </w:rPr>
              <w:t>单位整体支出绩效自评表</w:t>
            </w:r>
          </w:p>
        </w:tc>
      </w:tr>
      <w:tr w14:paraId="4D56C1E1">
        <w:tblPrEx>
          <w:tblCellMar>
            <w:top w:w="0" w:type="dxa"/>
            <w:left w:w="108" w:type="dxa"/>
            <w:bottom w:w="0" w:type="dxa"/>
            <w:right w:w="108" w:type="dxa"/>
          </w:tblCellMar>
        </w:tblPrEx>
        <w:tc>
          <w:tcPr>
            <w:tcW w:w="8847" w:type="dxa"/>
            <w:gridSpan w:val="9"/>
            <w:vAlign w:val="center"/>
          </w:tcPr>
          <w:p w14:paraId="3F0AC926">
            <w:pPr>
              <w:jc w:val="center"/>
            </w:pPr>
            <w:r>
              <w:rPr>
                <w:rFonts w:ascii="宋体" w:hAnsi="宋体" w:eastAsia="宋体"/>
                <w:sz w:val="24"/>
              </w:rPr>
              <w:t>（2024年度）</w:t>
            </w:r>
          </w:p>
        </w:tc>
      </w:tr>
      <w:tr w14:paraId="601504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D24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0742C3">
            <w:pPr>
              <w:jc w:val="center"/>
            </w:pPr>
            <w:r>
              <w:rPr>
                <w:rFonts w:ascii="宋体" w:hAnsi="宋体" w:eastAsia="宋体"/>
                <w:sz w:val="16"/>
              </w:rPr>
              <w:t>岳普湖县总工会</w:t>
            </w:r>
          </w:p>
        </w:tc>
      </w:tr>
      <w:tr w14:paraId="1F864E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608C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5497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09BC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AC46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687C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C1F9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8D2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65EB">
            <w:pPr>
              <w:jc w:val="center"/>
            </w:pPr>
            <w:r>
              <w:rPr>
                <w:rFonts w:ascii="宋体" w:hAnsi="宋体" w:eastAsia="宋体"/>
                <w:sz w:val="16"/>
              </w:rPr>
              <w:t>得分</w:t>
            </w:r>
          </w:p>
        </w:tc>
      </w:tr>
      <w:tr w14:paraId="121377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AA2D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3859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0E80A">
            <w:pPr>
              <w:jc w:val="center"/>
            </w:pPr>
            <w:r>
              <w:rPr>
                <w:rFonts w:ascii="宋体" w:hAnsi="宋体" w:eastAsia="宋体"/>
                <w:sz w:val="16"/>
              </w:rPr>
              <w:t>121.98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DD18B">
            <w:pPr>
              <w:jc w:val="center"/>
            </w:pPr>
            <w:r>
              <w:rPr>
                <w:rFonts w:ascii="宋体" w:hAnsi="宋体" w:eastAsia="宋体"/>
                <w:sz w:val="16"/>
              </w:rPr>
              <w:t>135.27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182B">
            <w:pPr>
              <w:jc w:val="center"/>
            </w:pPr>
            <w:r>
              <w:rPr>
                <w:rFonts w:ascii="宋体" w:hAnsi="宋体" w:eastAsia="宋体"/>
                <w:sz w:val="16"/>
              </w:rPr>
              <w:t>135.27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E7D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5776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700F">
            <w:pPr>
              <w:jc w:val="center"/>
            </w:pPr>
            <w:r>
              <w:rPr>
                <w:rFonts w:ascii="宋体" w:hAnsi="宋体" w:eastAsia="宋体"/>
                <w:sz w:val="16"/>
              </w:rPr>
              <w:t>10</w:t>
            </w:r>
          </w:p>
        </w:tc>
      </w:tr>
      <w:tr w14:paraId="1C7587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1727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F225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0AF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33C2F">
            <w:pPr>
              <w:jc w:val="center"/>
            </w:pPr>
            <w:r>
              <w:rPr>
                <w:rFonts w:ascii="宋体" w:hAnsi="宋体" w:eastAsia="宋体"/>
                <w:sz w:val="16"/>
              </w:rPr>
              <w:t>1.26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4AFFF">
            <w:pPr>
              <w:jc w:val="center"/>
            </w:pPr>
            <w:r>
              <w:rPr>
                <w:rFonts w:ascii="宋体" w:hAnsi="宋体" w:eastAsia="宋体"/>
                <w:sz w:val="16"/>
              </w:rPr>
              <w:t>1.26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DDF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4371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0BE47">
            <w:pPr>
              <w:jc w:val="center"/>
            </w:pPr>
            <w:r>
              <w:rPr>
                <w:rFonts w:ascii="宋体" w:hAnsi="宋体" w:eastAsia="宋体"/>
                <w:sz w:val="16"/>
              </w:rPr>
              <w:t>—</w:t>
            </w:r>
          </w:p>
        </w:tc>
      </w:tr>
      <w:tr w14:paraId="24200D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82FD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0012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6AF86">
            <w:pPr>
              <w:jc w:val="center"/>
            </w:pPr>
            <w:r>
              <w:rPr>
                <w:rFonts w:ascii="宋体" w:hAnsi="宋体" w:eastAsia="宋体"/>
                <w:sz w:val="16"/>
              </w:rPr>
              <w:t>121.98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1ED5A">
            <w:pPr>
              <w:jc w:val="center"/>
            </w:pPr>
            <w:r>
              <w:rPr>
                <w:rFonts w:ascii="宋体" w:hAnsi="宋体" w:eastAsia="宋体"/>
                <w:sz w:val="16"/>
              </w:rPr>
              <w:t>95.55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0B60A">
            <w:pPr>
              <w:jc w:val="center"/>
            </w:pPr>
            <w:r>
              <w:rPr>
                <w:rFonts w:ascii="宋体" w:hAnsi="宋体" w:eastAsia="宋体"/>
                <w:sz w:val="16"/>
              </w:rPr>
              <w:t>95.55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CDC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1EC2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A5C9">
            <w:pPr>
              <w:jc w:val="center"/>
            </w:pPr>
            <w:r>
              <w:rPr>
                <w:rFonts w:ascii="宋体" w:hAnsi="宋体" w:eastAsia="宋体"/>
                <w:sz w:val="16"/>
              </w:rPr>
              <w:t>—</w:t>
            </w:r>
          </w:p>
        </w:tc>
      </w:tr>
      <w:tr w14:paraId="0E6D3A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B97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45BB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1F8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9E0BB">
            <w:pPr>
              <w:jc w:val="center"/>
            </w:pPr>
            <w:r>
              <w:rPr>
                <w:rFonts w:ascii="宋体" w:hAnsi="宋体" w:eastAsia="宋体"/>
                <w:sz w:val="16"/>
              </w:rPr>
              <w:t>38.46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B510F">
            <w:pPr>
              <w:jc w:val="center"/>
            </w:pPr>
            <w:r>
              <w:rPr>
                <w:rFonts w:ascii="宋体" w:hAnsi="宋体" w:eastAsia="宋体"/>
                <w:sz w:val="16"/>
              </w:rPr>
              <w:t>38.46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BF7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CCDD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6899C">
            <w:pPr>
              <w:jc w:val="center"/>
            </w:pPr>
            <w:r>
              <w:rPr>
                <w:rFonts w:ascii="宋体" w:hAnsi="宋体" w:eastAsia="宋体"/>
                <w:sz w:val="16"/>
              </w:rPr>
              <w:t>—</w:t>
            </w:r>
          </w:p>
        </w:tc>
      </w:tr>
      <w:tr w14:paraId="3EBF55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DDB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56C98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F3100">
            <w:pPr>
              <w:jc w:val="center"/>
            </w:pPr>
            <w:r>
              <w:rPr>
                <w:rFonts w:ascii="宋体" w:hAnsi="宋体" w:eastAsia="宋体"/>
                <w:sz w:val="16"/>
              </w:rPr>
              <w:t>实际完成情况</w:t>
            </w:r>
          </w:p>
        </w:tc>
      </w:tr>
      <w:tr w14:paraId="20DB42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46DA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481993">
            <w:pPr>
              <w:jc w:val="both"/>
            </w:pPr>
            <w:r>
              <w:rPr>
                <w:rFonts w:ascii="宋体" w:hAnsi="宋体" w:eastAsia="宋体"/>
                <w:sz w:val="16"/>
              </w:rPr>
              <w:t>管理工会驿站数量8个，落实普惠制的职工技能培训，做好农民工、新就业形态劳动者的职业培训工作。加强基层工会建设，确保基层工会组建规范，增强基层工会活力，提高工会工作整体水平。</w:t>
            </w:r>
            <w:r>
              <w:rPr>
                <w:rFonts w:hint="eastAsia" w:ascii="宋体" w:hAnsi="宋体"/>
                <w:sz w:val="16"/>
                <w:lang w:eastAsia="zh-CN"/>
              </w:rPr>
              <w:t>调解</w:t>
            </w:r>
            <w:r>
              <w:rPr>
                <w:rFonts w:ascii="宋体" w:hAnsi="宋体" w:eastAsia="宋体"/>
                <w:sz w:val="16"/>
              </w:rPr>
              <w:t>化解职工矛盾，做好困难职工的帮扶工作，职工医疗互助保障工作。做好职工保障权益政策宣传，保障职工权益，提升工会在基层的影响力。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1C3EDE">
            <w:pPr>
              <w:jc w:val="both"/>
            </w:pPr>
            <w:r>
              <w:rPr>
                <w:rFonts w:ascii="宋体" w:hAnsi="宋体" w:eastAsia="宋体"/>
                <w:sz w:val="16"/>
              </w:rPr>
              <w:t>管理工会驿站数量全年达到了8个。普惠制职工技能培训全面有效落实，2024年度进一步加强了基层工会建设，规范了基层工会组建改选，增强了基层工会活力，提高了工会工作整体水平。及时</w:t>
            </w:r>
            <w:r>
              <w:rPr>
                <w:rFonts w:hint="eastAsia" w:ascii="宋体" w:hAnsi="宋体"/>
                <w:sz w:val="16"/>
                <w:lang w:eastAsia="zh-CN"/>
              </w:rPr>
              <w:t>调解</w:t>
            </w:r>
            <w:r>
              <w:rPr>
                <w:rFonts w:ascii="宋体" w:hAnsi="宋体" w:eastAsia="宋体"/>
                <w:sz w:val="16"/>
              </w:rPr>
              <w:t>化解了职工矛盾，做好了困难职工的帮扶工作，强化了职工医疗互助保障工作。职工保障权益政策得到了全面宣传，有效保障了职工权益，提升了工会在基层的影响力。</w:t>
            </w:r>
          </w:p>
        </w:tc>
      </w:tr>
      <w:tr w14:paraId="0BBB40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298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200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AFB9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26D9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F5DB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2DFC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5D7C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0481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21A7A">
            <w:pPr>
              <w:jc w:val="center"/>
            </w:pPr>
            <w:r>
              <w:rPr>
                <w:rFonts w:ascii="宋体" w:hAnsi="宋体" w:eastAsia="宋体"/>
                <w:sz w:val="16"/>
              </w:rPr>
              <w:t>得分</w:t>
            </w:r>
          </w:p>
        </w:tc>
      </w:tr>
      <w:tr w14:paraId="3E889F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6F630">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691C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53933">
            <w:pPr>
              <w:jc w:val="center"/>
            </w:pPr>
            <w:r>
              <w:rPr>
                <w:rFonts w:ascii="宋体" w:hAnsi="宋体" w:eastAsia="宋体"/>
                <w:sz w:val="16"/>
              </w:rPr>
              <w:t>管理工会驿站数量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83AC0">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6B8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3D30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B9260">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EB8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098B5">
            <w:pPr>
              <w:jc w:val="center"/>
            </w:pPr>
            <w:r>
              <w:rPr>
                <w:rFonts w:ascii="宋体" w:hAnsi="宋体" w:eastAsia="宋体"/>
                <w:sz w:val="16"/>
              </w:rPr>
              <w:t>18</w:t>
            </w:r>
          </w:p>
        </w:tc>
      </w:tr>
      <w:tr w14:paraId="0F14AE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5A0E8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4449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0F963">
            <w:pPr>
              <w:jc w:val="center"/>
            </w:pPr>
            <w:r>
              <w:rPr>
                <w:rFonts w:ascii="宋体" w:hAnsi="宋体" w:eastAsia="宋体"/>
                <w:sz w:val="16"/>
              </w:rPr>
              <w:t>普惠制职工技能培训落实率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3D9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D031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BCFE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895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46D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5D4EB">
            <w:pPr>
              <w:jc w:val="center"/>
            </w:pPr>
            <w:r>
              <w:rPr>
                <w:rFonts w:ascii="宋体" w:hAnsi="宋体" w:eastAsia="宋体"/>
                <w:sz w:val="16"/>
              </w:rPr>
              <w:t>18</w:t>
            </w:r>
          </w:p>
        </w:tc>
      </w:tr>
      <w:tr w14:paraId="58105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562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580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89CB5">
            <w:pPr>
              <w:jc w:val="center"/>
            </w:pPr>
            <w:r>
              <w:rPr>
                <w:rFonts w:ascii="宋体" w:hAnsi="宋体" w:eastAsia="宋体"/>
                <w:sz w:val="16"/>
              </w:rPr>
              <w:t>困难职工帮扶救助率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61F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20AD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75BE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15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DCA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D228B">
            <w:pPr>
              <w:jc w:val="center"/>
            </w:pPr>
            <w:r>
              <w:rPr>
                <w:rFonts w:ascii="宋体" w:hAnsi="宋体" w:eastAsia="宋体"/>
                <w:sz w:val="16"/>
              </w:rPr>
              <w:t>18</w:t>
            </w:r>
          </w:p>
        </w:tc>
      </w:tr>
      <w:tr w14:paraId="55D5EC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0FB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0C0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85361">
            <w:pPr>
              <w:jc w:val="center"/>
            </w:pPr>
            <w:r>
              <w:rPr>
                <w:rFonts w:ascii="宋体" w:hAnsi="宋体" w:eastAsia="宋体"/>
                <w:sz w:val="16"/>
              </w:rPr>
              <w:t>基层工会组建规范性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AA7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503F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6895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F3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717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0DEEC">
            <w:pPr>
              <w:jc w:val="center"/>
            </w:pPr>
            <w:r>
              <w:rPr>
                <w:rFonts w:ascii="宋体" w:hAnsi="宋体" w:eastAsia="宋体"/>
                <w:sz w:val="16"/>
              </w:rPr>
              <w:t>18</w:t>
            </w:r>
          </w:p>
        </w:tc>
      </w:tr>
      <w:tr w14:paraId="58F770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96A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13CA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DFBFF">
            <w:pPr>
              <w:jc w:val="center"/>
            </w:pPr>
            <w:r>
              <w:rPr>
                <w:rFonts w:ascii="宋体" w:hAnsi="宋体" w:eastAsia="宋体"/>
                <w:sz w:val="16"/>
              </w:rPr>
              <w:t>职工矛盾</w:t>
            </w:r>
            <w:r>
              <w:rPr>
                <w:rFonts w:hint="eastAsia" w:ascii="宋体" w:hAnsi="宋体"/>
                <w:sz w:val="16"/>
                <w:lang w:eastAsia="zh-CN"/>
              </w:rPr>
              <w:t>调解</w:t>
            </w:r>
            <w:r>
              <w:rPr>
                <w:rFonts w:ascii="宋体" w:hAnsi="宋体" w:eastAsia="宋体"/>
                <w:sz w:val="16"/>
              </w:rPr>
              <w:t>化解及时率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50C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A73D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2747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61D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B9D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52335">
            <w:pPr>
              <w:jc w:val="center"/>
            </w:pPr>
            <w:r>
              <w:rPr>
                <w:rFonts w:ascii="宋体" w:hAnsi="宋体" w:eastAsia="宋体"/>
                <w:sz w:val="16"/>
              </w:rPr>
              <w:t>18</w:t>
            </w:r>
          </w:p>
        </w:tc>
      </w:tr>
    </w:tbl>
    <w:p w14:paraId="1063CF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F8CF40F">
        <w:tblPrEx>
          <w:tblCellMar>
            <w:top w:w="0" w:type="dxa"/>
            <w:left w:w="108" w:type="dxa"/>
            <w:bottom w:w="0" w:type="dxa"/>
            <w:right w:w="108" w:type="dxa"/>
          </w:tblCellMar>
        </w:tblPrEx>
        <w:tc>
          <w:tcPr>
            <w:tcW w:w="8848" w:type="dxa"/>
            <w:gridSpan w:val="14"/>
            <w:vAlign w:val="center"/>
          </w:tcPr>
          <w:p w14:paraId="657BF80A">
            <w:pPr>
              <w:jc w:val="center"/>
            </w:pPr>
            <w:r>
              <w:rPr>
                <w:rFonts w:ascii="宋体" w:hAnsi="宋体" w:eastAsia="宋体"/>
                <w:sz w:val="24"/>
              </w:rPr>
              <w:t>项目支出绩效自评表</w:t>
            </w:r>
          </w:p>
        </w:tc>
      </w:tr>
      <w:tr w14:paraId="22C074CE">
        <w:tblPrEx>
          <w:tblCellMar>
            <w:top w:w="0" w:type="dxa"/>
            <w:left w:w="108" w:type="dxa"/>
            <w:bottom w:w="0" w:type="dxa"/>
            <w:right w:w="108" w:type="dxa"/>
          </w:tblCellMar>
        </w:tblPrEx>
        <w:tc>
          <w:tcPr>
            <w:tcW w:w="8848" w:type="dxa"/>
            <w:gridSpan w:val="14"/>
            <w:vAlign w:val="center"/>
          </w:tcPr>
          <w:p w14:paraId="240EEA6C">
            <w:pPr>
              <w:jc w:val="center"/>
            </w:pPr>
            <w:r>
              <w:rPr>
                <w:rFonts w:ascii="宋体" w:hAnsi="宋体" w:eastAsia="宋体"/>
                <w:sz w:val="24"/>
              </w:rPr>
              <w:t>(2024年度)</w:t>
            </w:r>
          </w:p>
        </w:tc>
      </w:tr>
      <w:tr w14:paraId="0F6FC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97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4FF413">
            <w:pPr>
              <w:jc w:val="center"/>
            </w:pPr>
            <w:r>
              <w:rPr>
                <w:rFonts w:ascii="宋体" w:hAnsi="宋体" w:eastAsia="宋体"/>
                <w:sz w:val="16"/>
              </w:rPr>
              <w:t>困难职工及其家庭帮扶补助项目</w:t>
            </w:r>
          </w:p>
        </w:tc>
      </w:tr>
      <w:tr w14:paraId="398145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7B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5C06A">
            <w:pPr>
              <w:jc w:val="center"/>
            </w:pPr>
            <w:r>
              <w:rPr>
                <w:rFonts w:ascii="宋体" w:hAnsi="宋体" w:eastAsia="宋体"/>
                <w:sz w:val="16"/>
              </w:rPr>
              <w:t>岳普湖县总工会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B3D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3B00C3">
            <w:pPr>
              <w:jc w:val="center"/>
            </w:pPr>
            <w:r>
              <w:rPr>
                <w:rFonts w:ascii="宋体" w:hAnsi="宋体" w:eastAsia="宋体"/>
                <w:sz w:val="16"/>
              </w:rPr>
              <w:t>岳普湖县总工会</w:t>
            </w:r>
          </w:p>
        </w:tc>
      </w:tr>
      <w:tr w14:paraId="609F98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3B4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00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D4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114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068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EB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D4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44E8">
            <w:pPr>
              <w:jc w:val="center"/>
            </w:pPr>
            <w:r>
              <w:rPr>
                <w:rFonts w:ascii="宋体" w:hAnsi="宋体" w:eastAsia="宋体"/>
                <w:sz w:val="16"/>
              </w:rPr>
              <w:t>得分</w:t>
            </w:r>
          </w:p>
        </w:tc>
      </w:tr>
      <w:tr w14:paraId="0905F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FDC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0F0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2A7FB">
            <w:pPr>
              <w:jc w:val="center"/>
            </w:pPr>
            <w:r>
              <w:rPr>
                <w:rFonts w:ascii="宋体" w:hAnsi="宋体" w:eastAsia="宋体"/>
                <w:sz w:val="16"/>
              </w:rPr>
              <w:t>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A9D27">
            <w:pPr>
              <w:jc w:val="center"/>
            </w:pPr>
            <w:r>
              <w:rPr>
                <w:rFonts w:ascii="宋体" w:hAnsi="宋体" w:eastAsia="宋体"/>
                <w:sz w:val="16"/>
              </w:rPr>
              <w:t>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94F8">
            <w:pPr>
              <w:jc w:val="center"/>
            </w:pPr>
            <w:r>
              <w:rPr>
                <w:rFonts w:ascii="宋体" w:hAnsi="宋体" w:eastAsia="宋体"/>
                <w:sz w:val="16"/>
              </w:rPr>
              <w:t>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B6F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7B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FB59">
            <w:pPr>
              <w:jc w:val="center"/>
            </w:pPr>
            <w:r>
              <w:rPr>
                <w:rFonts w:ascii="宋体" w:hAnsi="宋体" w:eastAsia="宋体"/>
                <w:sz w:val="16"/>
              </w:rPr>
              <w:t>10.00分</w:t>
            </w:r>
          </w:p>
        </w:tc>
      </w:tr>
      <w:tr w14:paraId="78937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762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F33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86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E33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A0D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493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DA1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3405">
            <w:pPr>
              <w:jc w:val="center"/>
            </w:pPr>
            <w:r>
              <w:rPr>
                <w:rFonts w:ascii="宋体" w:hAnsi="宋体" w:eastAsia="宋体"/>
                <w:sz w:val="16"/>
              </w:rPr>
              <w:t>—</w:t>
            </w:r>
          </w:p>
        </w:tc>
      </w:tr>
      <w:tr w14:paraId="2CBDE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AD8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36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E1B42">
            <w:pPr>
              <w:jc w:val="center"/>
            </w:pPr>
            <w:r>
              <w:rPr>
                <w:rFonts w:ascii="宋体" w:hAnsi="宋体" w:eastAsia="宋体"/>
                <w:sz w:val="16"/>
              </w:rPr>
              <w:t>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2597B">
            <w:pPr>
              <w:jc w:val="center"/>
            </w:pPr>
            <w:r>
              <w:rPr>
                <w:rFonts w:ascii="宋体" w:hAnsi="宋体" w:eastAsia="宋体"/>
                <w:sz w:val="16"/>
              </w:rPr>
              <w:t>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33542">
            <w:pPr>
              <w:jc w:val="center"/>
            </w:pPr>
            <w:r>
              <w:rPr>
                <w:rFonts w:ascii="宋体" w:hAnsi="宋体" w:eastAsia="宋体"/>
                <w:sz w:val="16"/>
              </w:rPr>
              <w:t>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0D5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BDD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AB72">
            <w:pPr>
              <w:jc w:val="center"/>
            </w:pPr>
            <w:r>
              <w:rPr>
                <w:rFonts w:ascii="宋体" w:hAnsi="宋体" w:eastAsia="宋体"/>
                <w:sz w:val="16"/>
              </w:rPr>
              <w:t>—</w:t>
            </w:r>
          </w:p>
        </w:tc>
      </w:tr>
      <w:tr w14:paraId="468FA4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B73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F6C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40EAF">
            <w:pPr>
              <w:jc w:val="center"/>
            </w:pPr>
            <w:r>
              <w:rPr>
                <w:rFonts w:ascii="宋体" w:hAnsi="宋体" w:eastAsia="宋体"/>
                <w:sz w:val="16"/>
              </w:rPr>
              <w:t>实际完成情况</w:t>
            </w:r>
          </w:p>
        </w:tc>
      </w:tr>
      <w:tr w14:paraId="5FBE7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E6E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95D3F">
            <w:pPr>
              <w:jc w:val="both"/>
            </w:pPr>
            <w:r>
              <w:rPr>
                <w:rFonts w:ascii="宋体" w:hAnsi="宋体" w:eastAsia="宋体"/>
                <w:sz w:val="16"/>
              </w:rPr>
              <w:t>对岳普湖县在档困难职工及其家庭发放生活救助补助和取暖降温补贴。生活救助补助发放人员数量35人，补助发放标准为每人7800元，取暖降温补贴以家庭为单位发放，取暖降温补贴发放户数10户，补助发放标准为每户800元。通过项目的实施减轻困难职工家庭生活负担，改善困难职工家庭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C1A3E9">
            <w:pPr>
              <w:jc w:val="both"/>
            </w:pPr>
            <w:r>
              <w:rPr>
                <w:rFonts w:ascii="宋体" w:hAnsi="宋体" w:eastAsia="宋体"/>
                <w:sz w:val="16"/>
              </w:rPr>
              <w:t>已经对岳普湖县在档困难职工及其家庭发放了生活救助补助和取暖降温补贴。生活救助补助发放人员数量达到了35人，补助发放标准为每人7800元，取暖降温补贴以家庭为单位发放，取暖降温补贴发放户数达到了10户，补助发放标准为每户800元。项目预算执行率为100%。通过项目的实施有效减轻困难职工家庭生活负担，改善了困难职工家庭生活水平。享受帮扶补助人员满意度达到了100%。</w:t>
            </w:r>
          </w:p>
        </w:tc>
      </w:tr>
      <w:tr w14:paraId="7027CF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D39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22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8A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64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94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1E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FD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1E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AD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15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FC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19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946A6">
            <w:pPr>
              <w:jc w:val="center"/>
            </w:pPr>
            <w:r>
              <w:rPr>
                <w:rFonts w:ascii="宋体" w:hAnsi="宋体" w:eastAsia="宋体"/>
                <w:sz w:val="16"/>
              </w:rPr>
              <w:t>偏差原因分析及改进措施</w:t>
            </w:r>
          </w:p>
        </w:tc>
      </w:tr>
      <w:tr w14:paraId="4D71BF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C97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CDA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431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9D42">
            <w:pPr>
              <w:jc w:val="center"/>
            </w:pPr>
            <w:r>
              <w:rPr>
                <w:rFonts w:ascii="宋体" w:hAnsi="宋体" w:eastAsia="宋体"/>
                <w:sz w:val="16"/>
              </w:rPr>
              <w:t>生活救助补助发放人员数量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4B46">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F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88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DC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C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44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F537">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26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42E53">
            <w:pPr>
              <w:jc w:val="center"/>
            </w:pPr>
          </w:p>
        </w:tc>
      </w:tr>
      <w:tr w14:paraId="50F8A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D9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AA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A8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86DB">
            <w:pPr>
              <w:jc w:val="center"/>
            </w:pPr>
            <w:r>
              <w:rPr>
                <w:rFonts w:ascii="宋体" w:hAnsi="宋体" w:eastAsia="宋体"/>
                <w:sz w:val="16"/>
              </w:rPr>
              <w:t>取暖降温补贴发放户数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559A">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9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98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F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30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76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23A5">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C3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F2E14">
            <w:pPr>
              <w:jc w:val="center"/>
            </w:pPr>
          </w:p>
        </w:tc>
      </w:tr>
      <w:tr w14:paraId="6C5EE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3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BD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F6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1F6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5C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C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9D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A3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03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E7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D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68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D12E8">
            <w:pPr>
              <w:jc w:val="center"/>
            </w:pPr>
          </w:p>
        </w:tc>
      </w:tr>
      <w:tr w14:paraId="3E759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0D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B6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96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AF93">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CC1F">
            <w:pPr>
              <w:jc w:val="center"/>
            </w:pPr>
            <w:r>
              <w:rPr>
                <w:rFonts w:ascii="宋体" w:hAnsi="宋体" w:eastAsia="宋体"/>
                <w:sz w:val="16"/>
              </w:rPr>
              <w:t>=2024年10月25日前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7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2C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E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BC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31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532B">
            <w:pPr>
              <w:jc w:val="center"/>
            </w:pPr>
            <w:r>
              <w:rPr>
                <w:rFonts w:ascii="宋体" w:hAnsi="宋体" w:eastAsia="宋体"/>
                <w:sz w:val="16"/>
              </w:rPr>
              <w:t>=2024年9月13日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0D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D5ABE">
            <w:pPr>
              <w:jc w:val="center"/>
            </w:pPr>
          </w:p>
        </w:tc>
      </w:tr>
      <w:tr w14:paraId="46521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760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A68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FE6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819E">
            <w:pPr>
              <w:jc w:val="center"/>
            </w:pPr>
            <w:r>
              <w:rPr>
                <w:rFonts w:ascii="宋体" w:hAnsi="宋体" w:eastAsia="宋体"/>
                <w:sz w:val="16"/>
              </w:rPr>
              <w:t>生活救助补助发放标准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5D4B">
            <w:pPr>
              <w:jc w:val="center"/>
            </w:pPr>
            <w:r>
              <w:rPr>
                <w:rFonts w:ascii="宋体" w:hAnsi="宋体" w:eastAsia="宋体"/>
                <w:sz w:val="16"/>
              </w:rPr>
              <w:t>&lt;=7800元/人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22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8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FF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4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68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A826">
            <w:pPr>
              <w:jc w:val="center"/>
            </w:pPr>
            <w:r>
              <w:rPr>
                <w:rFonts w:ascii="宋体" w:hAnsi="宋体" w:eastAsia="宋体"/>
                <w:sz w:val="16"/>
              </w:rPr>
              <w:t>=7800元/人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A4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9984B">
            <w:pPr>
              <w:jc w:val="center"/>
            </w:pPr>
          </w:p>
        </w:tc>
      </w:tr>
      <w:tr w14:paraId="7F8C9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FA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68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A2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251A">
            <w:pPr>
              <w:jc w:val="center"/>
            </w:pPr>
            <w:r>
              <w:rPr>
                <w:rFonts w:ascii="宋体" w:hAnsi="宋体" w:eastAsia="宋体"/>
                <w:sz w:val="16"/>
              </w:rPr>
              <w:t>取暖降温补贴发放标准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89A0">
            <w:pPr>
              <w:jc w:val="center"/>
            </w:pPr>
            <w:r>
              <w:rPr>
                <w:rFonts w:ascii="宋体" w:hAnsi="宋体" w:eastAsia="宋体"/>
                <w:sz w:val="16"/>
              </w:rPr>
              <w:t>&lt;=800元/户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32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E0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F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C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81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2B20">
            <w:pPr>
              <w:jc w:val="center"/>
            </w:pPr>
            <w:r>
              <w:rPr>
                <w:rFonts w:ascii="宋体" w:hAnsi="宋体" w:eastAsia="宋体"/>
                <w:sz w:val="16"/>
              </w:rPr>
              <w:t>=800元/户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92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9CBF9">
            <w:pPr>
              <w:jc w:val="center"/>
            </w:pPr>
          </w:p>
        </w:tc>
      </w:tr>
      <w:tr w14:paraId="2D9A2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85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70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2E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EE4A">
            <w:pPr>
              <w:jc w:val="center"/>
            </w:pPr>
            <w:r>
              <w:rPr>
                <w:rFonts w:ascii="宋体" w:hAnsi="宋体" w:eastAsia="宋体"/>
                <w:sz w:val="16"/>
              </w:rPr>
              <w:t>减轻困难职工家庭生活负担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556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A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E2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80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67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A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307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63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4F3F6">
            <w:pPr>
              <w:jc w:val="center"/>
            </w:pPr>
          </w:p>
        </w:tc>
      </w:tr>
      <w:tr w14:paraId="30A64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C4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97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43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6ADD">
            <w:pPr>
              <w:jc w:val="center"/>
            </w:pPr>
            <w:r>
              <w:rPr>
                <w:rFonts w:ascii="宋体" w:hAnsi="宋体" w:eastAsia="宋体"/>
                <w:sz w:val="16"/>
              </w:rPr>
              <w:t>享受帮扶补助人员满意度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2EC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73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B6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3A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FC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96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7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A1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70C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B3553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141A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8E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0A9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5E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DAB73D"/>
        </w:tc>
      </w:tr>
    </w:tbl>
    <w:p w14:paraId="5BF67E04">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23"/>
        <w:gridCol w:w="776"/>
        <w:gridCol w:w="608"/>
        <w:gridCol w:w="608"/>
        <w:gridCol w:w="615"/>
        <w:gridCol w:w="608"/>
        <w:gridCol w:w="608"/>
        <w:gridCol w:w="936"/>
        <w:gridCol w:w="632"/>
        <w:gridCol w:w="578"/>
        <w:gridCol w:w="630"/>
      </w:tblGrid>
      <w:tr w14:paraId="4504B204">
        <w:tblPrEx>
          <w:tblCellMar>
            <w:top w:w="0" w:type="dxa"/>
            <w:left w:w="108" w:type="dxa"/>
            <w:bottom w:w="0" w:type="dxa"/>
            <w:right w:w="108" w:type="dxa"/>
          </w:tblCellMar>
        </w:tblPrEx>
        <w:tc>
          <w:tcPr>
            <w:tcW w:w="8848" w:type="dxa"/>
            <w:gridSpan w:val="14"/>
            <w:vAlign w:val="center"/>
          </w:tcPr>
          <w:p w14:paraId="6AEC9996">
            <w:pPr>
              <w:jc w:val="center"/>
            </w:pPr>
            <w:r>
              <w:rPr>
                <w:rFonts w:ascii="宋体" w:hAnsi="宋体" w:eastAsia="宋体"/>
                <w:sz w:val="24"/>
              </w:rPr>
              <w:t>项目支出绩效自评表</w:t>
            </w:r>
          </w:p>
        </w:tc>
      </w:tr>
      <w:tr w14:paraId="070E032C">
        <w:tblPrEx>
          <w:tblCellMar>
            <w:top w:w="0" w:type="dxa"/>
            <w:left w:w="108" w:type="dxa"/>
            <w:bottom w:w="0" w:type="dxa"/>
            <w:right w:w="108" w:type="dxa"/>
          </w:tblCellMar>
        </w:tblPrEx>
        <w:tc>
          <w:tcPr>
            <w:tcW w:w="8848" w:type="dxa"/>
            <w:gridSpan w:val="14"/>
            <w:vAlign w:val="center"/>
          </w:tcPr>
          <w:p w14:paraId="670A89E8">
            <w:pPr>
              <w:jc w:val="center"/>
            </w:pPr>
            <w:r>
              <w:rPr>
                <w:rFonts w:ascii="宋体" w:hAnsi="宋体" w:eastAsia="宋体"/>
                <w:sz w:val="24"/>
              </w:rPr>
              <w:t>(2024年度)</w:t>
            </w:r>
          </w:p>
        </w:tc>
      </w:tr>
      <w:tr w14:paraId="5D3F70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30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B6164B">
            <w:pPr>
              <w:jc w:val="center"/>
            </w:pPr>
            <w:r>
              <w:rPr>
                <w:rFonts w:ascii="宋体" w:hAnsi="宋体" w:eastAsia="宋体"/>
                <w:sz w:val="16"/>
              </w:rPr>
              <w:t>山东泰安工会系统及劳模代表团赴喀什岳普湖县交流参访活动项目</w:t>
            </w:r>
          </w:p>
        </w:tc>
      </w:tr>
      <w:tr w14:paraId="7B846B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E1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4C4F9">
            <w:pPr>
              <w:jc w:val="center"/>
            </w:pPr>
            <w:r>
              <w:rPr>
                <w:rFonts w:ascii="宋体" w:hAnsi="宋体" w:eastAsia="宋体"/>
                <w:sz w:val="16"/>
              </w:rPr>
              <w:t>岳普湖县总工会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7B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2A1B7A">
            <w:pPr>
              <w:jc w:val="center"/>
            </w:pPr>
            <w:r>
              <w:rPr>
                <w:rFonts w:ascii="宋体" w:hAnsi="宋体" w:eastAsia="宋体"/>
                <w:sz w:val="16"/>
              </w:rPr>
              <w:t>岳普湖县总工会</w:t>
            </w:r>
          </w:p>
        </w:tc>
      </w:tr>
      <w:tr w14:paraId="65B95D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11B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EC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1B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619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B82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8E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A3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9673">
            <w:pPr>
              <w:jc w:val="center"/>
            </w:pPr>
            <w:r>
              <w:rPr>
                <w:rFonts w:ascii="宋体" w:hAnsi="宋体" w:eastAsia="宋体"/>
                <w:sz w:val="16"/>
              </w:rPr>
              <w:t>得分</w:t>
            </w:r>
          </w:p>
        </w:tc>
      </w:tr>
      <w:tr w14:paraId="04BF6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A51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42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65028">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255D2">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9EAA">
            <w:pPr>
              <w:jc w:val="center"/>
            </w:pPr>
            <w:r>
              <w:rPr>
                <w:rFonts w:ascii="宋体" w:hAnsi="宋体" w:eastAsia="宋体"/>
                <w:sz w:val="16"/>
              </w:rPr>
              <w:t>28.46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83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1C25">
            <w:pPr>
              <w:jc w:val="center"/>
            </w:pPr>
            <w:r>
              <w:rPr>
                <w:rFonts w:ascii="宋体" w:hAnsi="宋体" w:eastAsia="宋体"/>
                <w:sz w:val="16"/>
              </w:rPr>
              <w:t>99.86%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F423">
            <w:pPr>
              <w:jc w:val="center"/>
            </w:pPr>
            <w:r>
              <w:rPr>
                <w:rFonts w:ascii="宋体" w:hAnsi="宋体" w:eastAsia="宋体"/>
                <w:sz w:val="16"/>
              </w:rPr>
              <w:t>10.00分</w:t>
            </w:r>
          </w:p>
        </w:tc>
      </w:tr>
      <w:tr w14:paraId="4C701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60B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8E2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349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0D6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76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773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F43F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2B0C">
            <w:pPr>
              <w:jc w:val="center"/>
            </w:pPr>
            <w:r>
              <w:rPr>
                <w:rFonts w:ascii="宋体" w:hAnsi="宋体" w:eastAsia="宋体"/>
                <w:sz w:val="16"/>
              </w:rPr>
              <w:t>—</w:t>
            </w:r>
          </w:p>
        </w:tc>
      </w:tr>
      <w:tr w14:paraId="7DC38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4F2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8C3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1674C">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C58B">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8D43B">
            <w:pPr>
              <w:jc w:val="center"/>
            </w:pPr>
            <w:r>
              <w:rPr>
                <w:rFonts w:ascii="宋体" w:hAnsi="宋体" w:eastAsia="宋体"/>
                <w:sz w:val="16"/>
              </w:rPr>
              <w:t>28.46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AFD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091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584A">
            <w:pPr>
              <w:jc w:val="center"/>
            </w:pPr>
            <w:r>
              <w:rPr>
                <w:rFonts w:ascii="宋体" w:hAnsi="宋体" w:eastAsia="宋体"/>
                <w:sz w:val="16"/>
              </w:rPr>
              <w:t>—</w:t>
            </w:r>
          </w:p>
        </w:tc>
      </w:tr>
      <w:tr w14:paraId="0D9DB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185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40F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B272E">
            <w:pPr>
              <w:jc w:val="center"/>
            </w:pPr>
            <w:r>
              <w:rPr>
                <w:rFonts w:ascii="宋体" w:hAnsi="宋体" w:eastAsia="宋体"/>
                <w:sz w:val="16"/>
              </w:rPr>
              <w:t>实际完成情况</w:t>
            </w:r>
          </w:p>
        </w:tc>
      </w:tr>
      <w:tr w14:paraId="6F341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6D6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7EA262">
            <w:pPr>
              <w:jc w:val="both"/>
            </w:pPr>
            <w:r>
              <w:rPr>
                <w:rFonts w:ascii="宋体" w:hAnsi="宋体" w:eastAsia="宋体"/>
                <w:sz w:val="16"/>
              </w:rPr>
              <w:t>组织山东泰安15名工会系统及劳模工匠代表到喀什及岳普湖县开展为期7天的交流交往活动，主要包括调研考察各类经济、文旅、教育、医疗等领域的援疆成果，资金主要用于支付交通、食宿、考察、文化交流活动组织等各类费用。通过项目的实施促进劳模精神的传承，提高泰安援疆工作的社会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A4B29D">
            <w:pPr>
              <w:jc w:val="both"/>
            </w:pPr>
            <w:r>
              <w:rPr>
                <w:rFonts w:ascii="宋体" w:hAnsi="宋体" w:eastAsia="宋体"/>
                <w:sz w:val="16"/>
              </w:rPr>
              <w:t>山东泰安15名工会系统及劳模工匠代表到喀什及岳普湖县已经顺利完成了为期7天的交流交往活动，主要包括调研考察各类经济、文旅、教育、医疗等领域的援疆成果。项目预算执行率为99.9%，项目已完成，剩余资金为采购预算结余。资金主要用于</w:t>
            </w:r>
            <w:r>
              <w:rPr>
                <w:rFonts w:hint="eastAsia" w:ascii="宋体" w:hAnsi="宋体"/>
                <w:sz w:val="16"/>
                <w:lang w:eastAsia="zh-CN"/>
              </w:rPr>
              <w:t>支付</w:t>
            </w:r>
            <w:r>
              <w:rPr>
                <w:rFonts w:ascii="宋体" w:hAnsi="宋体" w:eastAsia="宋体"/>
                <w:sz w:val="16"/>
              </w:rPr>
              <w:t>交通、食宿、考察、文化交流活动组织等各类费用。通过项目的实施有效促进了劳模精神的传承，进一步提高了泰安援疆工作的社会影响力。参与交流交往活动人员满意度达到了100%。</w:t>
            </w:r>
          </w:p>
        </w:tc>
      </w:tr>
      <w:tr w14:paraId="49DB2B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87F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77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AA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67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2D0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C5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EA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10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81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02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F8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25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91D1D">
            <w:pPr>
              <w:jc w:val="center"/>
            </w:pPr>
            <w:r>
              <w:rPr>
                <w:rFonts w:ascii="宋体" w:hAnsi="宋体" w:eastAsia="宋体"/>
                <w:sz w:val="16"/>
              </w:rPr>
              <w:t>偏差原因分析及改进措施</w:t>
            </w:r>
          </w:p>
        </w:tc>
      </w:tr>
      <w:tr w14:paraId="42B0B5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5CB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7D2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A4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C171">
            <w:pPr>
              <w:jc w:val="center"/>
            </w:pPr>
            <w:r>
              <w:rPr>
                <w:rFonts w:ascii="宋体" w:hAnsi="宋体" w:eastAsia="宋体"/>
                <w:sz w:val="16"/>
              </w:rPr>
              <w:t>交流交往活动人员数量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134B">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4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F3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4D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E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59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5925">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35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55E20">
            <w:pPr>
              <w:jc w:val="center"/>
            </w:pPr>
          </w:p>
        </w:tc>
      </w:tr>
      <w:tr w14:paraId="4F05B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D8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D7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E3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9B1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6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6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4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4E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2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6D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5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E0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51C81">
            <w:pPr>
              <w:jc w:val="center"/>
            </w:pPr>
          </w:p>
        </w:tc>
      </w:tr>
      <w:tr w14:paraId="2CFF1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71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AFB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264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879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7849">
            <w:pPr>
              <w:jc w:val="center"/>
            </w:pPr>
            <w:r>
              <w:rPr>
                <w:rFonts w:ascii="宋体" w:hAnsi="宋体" w:eastAsia="宋体"/>
                <w:sz w:val="16"/>
              </w:rPr>
              <w:t>=2024年8月25日前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7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63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2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35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AD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08CB">
            <w:pPr>
              <w:jc w:val="center"/>
            </w:pPr>
            <w:r>
              <w:rPr>
                <w:rFonts w:ascii="宋体" w:hAnsi="宋体" w:eastAsia="宋体"/>
                <w:sz w:val="16"/>
              </w:rPr>
              <w:t>=2024年7月29日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F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39A33">
            <w:pPr>
              <w:jc w:val="center"/>
            </w:pPr>
          </w:p>
        </w:tc>
      </w:tr>
      <w:tr w14:paraId="0EE3D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21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17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81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DBCC">
            <w:pPr>
              <w:jc w:val="center"/>
            </w:pPr>
            <w:r>
              <w:rPr>
                <w:rFonts w:ascii="宋体" w:hAnsi="宋体" w:eastAsia="宋体"/>
                <w:sz w:val="16"/>
              </w:rPr>
              <w:t>交流交往活动日程安排天数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EEED">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1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CE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E6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8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C5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0344">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90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92B2">
            <w:pPr>
              <w:jc w:val="center"/>
            </w:pPr>
          </w:p>
        </w:tc>
      </w:tr>
      <w:tr w14:paraId="08196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62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996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19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B55">
            <w:pPr>
              <w:jc w:val="center"/>
            </w:pPr>
            <w:r>
              <w:rPr>
                <w:rFonts w:ascii="宋体" w:hAnsi="宋体" w:eastAsia="宋体"/>
                <w:sz w:val="16"/>
              </w:rPr>
              <w:t>人均活动经费支出预算控制数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A561">
            <w:pPr>
              <w:jc w:val="center"/>
            </w:pPr>
            <w:r>
              <w:rPr>
                <w:rFonts w:ascii="宋体" w:hAnsi="宋体" w:eastAsia="宋体"/>
                <w:sz w:val="16"/>
              </w:rPr>
              <w:t>&lt;=19000元/人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B5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7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6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1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54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1299">
            <w:pPr>
              <w:jc w:val="center"/>
            </w:pPr>
            <w:r>
              <w:rPr>
                <w:rFonts w:ascii="宋体" w:hAnsi="宋体" w:eastAsia="宋体"/>
                <w:sz w:val="16"/>
              </w:rPr>
              <w:t>=18975.46元/人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C3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0FFEB">
            <w:pPr>
              <w:jc w:val="center"/>
            </w:pPr>
          </w:p>
        </w:tc>
      </w:tr>
      <w:tr w14:paraId="40325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21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77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D5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C815">
            <w:pPr>
              <w:jc w:val="center"/>
            </w:pPr>
            <w:r>
              <w:rPr>
                <w:rFonts w:ascii="宋体" w:hAnsi="宋体" w:eastAsia="宋体"/>
                <w:sz w:val="16"/>
              </w:rPr>
              <w:t>促进劳模精神的传承，提高泰安援疆工作的社会影响力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36A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5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A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0D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68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D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AAB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D0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779B">
            <w:pPr>
              <w:jc w:val="center"/>
            </w:pPr>
          </w:p>
        </w:tc>
      </w:tr>
      <w:tr w14:paraId="19B2D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DE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F1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6A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B3F6">
            <w:pPr>
              <w:jc w:val="center"/>
            </w:pPr>
            <w:r>
              <w:rPr>
                <w:rFonts w:ascii="宋体" w:hAnsi="宋体" w:eastAsia="宋体"/>
                <w:sz w:val="16"/>
              </w:rPr>
              <w:t>参与交流交往活动人员满意度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8E7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4B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3C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5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70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16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EB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4D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31C9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05619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0F7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20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676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BE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125350"/>
        </w:tc>
      </w:tr>
    </w:tbl>
    <w:p w14:paraId="50191133">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77"/>
        <w:gridCol w:w="731"/>
        <w:gridCol w:w="632"/>
        <w:gridCol w:w="632"/>
        <w:gridCol w:w="632"/>
        <w:gridCol w:w="632"/>
        <w:gridCol w:w="696"/>
        <w:gridCol w:w="632"/>
        <w:gridCol w:w="632"/>
        <w:gridCol w:w="632"/>
      </w:tblGrid>
      <w:tr w14:paraId="205D46A8">
        <w:tblPrEx>
          <w:tblCellMar>
            <w:top w:w="0" w:type="dxa"/>
            <w:left w:w="108" w:type="dxa"/>
            <w:bottom w:w="0" w:type="dxa"/>
            <w:right w:w="108" w:type="dxa"/>
          </w:tblCellMar>
        </w:tblPrEx>
        <w:tc>
          <w:tcPr>
            <w:tcW w:w="9056" w:type="dxa"/>
            <w:gridSpan w:val="14"/>
            <w:vAlign w:val="center"/>
          </w:tcPr>
          <w:p w14:paraId="38FBC610">
            <w:pPr>
              <w:jc w:val="center"/>
            </w:pPr>
            <w:r>
              <w:rPr>
                <w:rFonts w:ascii="宋体" w:hAnsi="宋体" w:eastAsia="宋体"/>
                <w:sz w:val="24"/>
              </w:rPr>
              <w:t>项目支出绩效自评表</w:t>
            </w:r>
          </w:p>
        </w:tc>
      </w:tr>
      <w:tr w14:paraId="5CA4678C">
        <w:tblPrEx>
          <w:tblCellMar>
            <w:top w:w="0" w:type="dxa"/>
            <w:left w:w="108" w:type="dxa"/>
            <w:bottom w:w="0" w:type="dxa"/>
            <w:right w:w="108" w:type="dxa"/>
          </w:tblCellMar>
        </w:tblPrEx>
        <w:tc>
          <w:tcPr>
            <w:tcW w:w="9056" w:type="dxa"/>
            <w:gridSpan w:val="14"/>
            <w:vAlign w:val="center"/>
          </w:tcPr>
          <w:p w14:paraId="20A19564">
            <w:pPr>
              <w:jc w:val="center"/>
            </w:pPr>
            <w:r>
              <w:rPr>
                <w:rFonts w:ascii="宋体" w:hAnsi="宋体" w:eastAsia="宋体"/>
                <w:sz w:val="24"/>
              </w:rPr>
              <w:t>(2024年度)</w:t>
            </w:r>
          </w:p>
        </w:tc>
      </w:tr>
      <w:tr w14:paraId="7B06B2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8C23">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B7DDDC">
            <w:pPr>
              <w:jc w:val="center"/>
            </w:pPr>
            <w:r>
              <w:rPr>
                <w:rFonts w:ascii="宋体" w:hAnsi="宋体" w:eastAsia="宋体"/>
                <w:sz w:val="16"/>
              </w:rPr>
              <w:t>岳普湖县总工会会议室改造项目</w:t>
            </w:r>
          </w:p>
        </w:tc>
      </w:tr>
      <w:tr w14:paraId="673F5B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134A">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84BA9">
            <w:pPr>
              <w:jc w:val="center"/>
            </w:pPr>
            <w:r>
              <w:rPr>
                <w:rFonts w:ascii="宋体" w:hAnsi="宋体" w:eastAsia="宋体"/>
                <w:sz w:val="16"/>
              </w:rPr>
              <w:t>岳普湖县总工会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F1F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F09267">
            <w:pPr>
              <w:jc w:val="center"/>
            </w:pPr>
            <w:r>
              <w:rPr>
                <w:rFonts w:ascii="宋体" w:hAnsi="宋体" w:eastAsia="宋体"/>
                <w:sz w:val="16"/>
              </w:rPr>
              <w:t>岳普湖县总工会</w:t>
            </w:r>
          </w:p>
        </w:tc>
      </w:tr>
      <w:tr w14:paraId="6AE25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B79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A5DAE">
            <w:pPr>
              <w:jc w:val="center"/>
            </w:pP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CADF5">
            <w:pPr>
              <w:jc w:val="center"/>
            </w:pPr>
            <w:r>
              <w:rPr>
                <w:rFonts w:ascii="宋体" w:hAnsi="宋体" w:eastAsia="宋体"/>
                <w:sz w:val="16"/>
              </w:rPr>
              <w:t>年初预算数</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BBE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12EA">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64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ABE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71C6">
            <w:pPr>
              <w:jc w:val="center"/>
            </w:pPr>
            <w:r>
              <w:rPr>
                <w:rFonts w:ascii="宋体" w:hAnsi="宋体" w:eastAsia="宋体"/>
                <w:sz w:val="16"/>
              </w:rPr>
              <w:t>得分</w:t>
            </w:r>
          </w:p>
        </w:tc>
      </w:tr>
      <w:tr w14:paraId="54037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F4A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9A403">
            <w:pPr>
              <w:jc w:val="center"/>
            </w:pPr>
            <w:r>
              <w:rPr>
                <w:rFonts w:ascii="宋体" w:hAnsi="宋体" w:eastAsia="宋体"/>
                <w:sz w:val="16"/>
              </w:rPr>
              <w:t>年度资金总额</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6C858">
            <w:pPr>
              <w:jc w:val="center"/>
            </w:pPr>
            <w:r>
              <w:rPr>
                <w:rFonts w:ascii="宋体" w:hAnsi="宋体" w:eastAsia="宋体"/>
                <w:sz w:val="16"/>
              </w:rPr>
              <w:t>15.48</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D8E6">
            <w:pPr>
              <w:jc w:val="center"/>
            </w:pPr>
            <w:r>
              <w:rPr>
                <w:rFonts w:ascii="宋体" w:hAnsi="宋体" w:eastAsia="宋体"/>
                <w:sz w:val="16"/>
              </w:rPr>
              <w:t>15.48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EB85">
            <w:pPr>
              <w:jc w:val="center"/>
            </w:pPr>
            <w:r>
              <w:rPr>
                <w:rFonts w:ascii="宋体" w:hAnsi="宋体" w:eastAsia="宋体"/>
                <w:sz w:val="16"/>
              </w:rPr>
              <w:t>15.48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3DF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57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05D4">
            <w:pPr>
              <w:jc w:val="center"/>
            </w:pPr>
            <w:r>
              <w:rPr>
                <w:rFonts w:ascii="宋体" w:hAnsi="宋体" w:eastAsia="宋体"/>
                <w:sz w:val="16"/>
              </w:rPr>
              <w:t>10.00分</w:t>
            </w:r>
          </w:p>
        </w:tc>
      </w:tr>
      <w:tr w14:paraId="0326C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549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4B9EE">
            <w:pPr>
              <w:jc w:val="center"/>
            </w:pPr>
            <w:r>
              <w:rPr>
                <w:rFonts w:ascii="宋体" w:hAnsi="宋体" w:eastAsia="宋体"/>
                <w:sz w:val="16"/>
              </w:rPr>
              <w:t>其中：当年财政拨款</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1F34">
            <w:pPr>
              <w:jc w:val="center"/>
            </w:pPr>
            <w:r>
              <w:rPr>
                <w:rFonts w:ascii="宋体" w:hAnsi="宋体" w:eastAsia="宋体"/>
                <w:sz w:val="16"/>
              </w:rPr>
              <w:t>0.00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E2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FBE0C">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03F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0252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3DA1">
            <w:pPr>
              <w:jc w:val="center"/>
            </w:pPr>
            <w:r>
              <w:rPr>
                <w:rFonts w:ascii="宋体" w:hAnsi="宋体" w:eastAsia="宋体"/>
                <w:sz w:val="16"/>
              </w:rPr>
              <w:t>—</w:t>
            </w:r>
          </w:p>
        </w:tc>
      </w:tr>
      <w:tr w14:paraId="51558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369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68E00">
            <w:pPr>
              <w:jc w:val="center"/>
            </w:pPr>
            <w:r>
              <w:rPr>
                <w:rFonts w:ascii="宋体" w:hAnsi="宋体" w:eastAsia="宋体"/>
                <w:sz w:val="16"/>
              </w:rPr>
              <w:t xml:space="preserve">  其他资金</w:t>
            </w:r>
          </w:p>
        </w:tc>
        <w:tc>
          <w:tcPr>
            <w:tcW w:w="13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A60D">
            <w:pPr>
              <w:jc w:val="center"/>
            </w:pPr>
            <w:r>
              <w:rPr>
                <w:rFonts w:ascii="宋体" w:hAnsi="宋体" w:eastAsia="宋体"/>
                <w:sz w:val="16"/>
              </w:rPr>
              <w:t>15.48</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48AED">
            <w:pPr>
              <w:jc w:val="center"/>
            </w:pPr>
            <w:r>
              <w:rPr>
                <w:rFonts w:ascii="宋体" w:hAnsi="宋体" w:eastAsia="宋体"/>
                <w:sz w:val="16"/>
              </w:rPr>
              <w:t>15.48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BD641">
            <w:pPr>
              <w:jc w:val="center"/>
            </w:pPr>
            <w:r>
              <w:rPr>
                <w:rFonts w:ascii="宋体" w:hAnsi="宋体" w:eastAsia="宋体"/>
                <w:sz w:val="16"/>
              </w:rPr>
              <w:t>15.48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529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A59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9832">
            <w:pPr>
              <w:jc w:val="center"/>
            </w:pPr>
            <w:r>
              <w:rPr>
                <w:rFonts w:ascii="宋体" w:hAnsi="宋体" w:eastAsia="宋体"/>
                <w:sz w:val="16"/>
              </w:rPr>
              <w:t>—</w:t>
            </w:r>
          </w:p>
        </w:tc>
      </w:tr>
      <w:tr w14:paraId="66B03D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4D49A">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58B18">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495D5">
            <w:pPr>
              <w:jc w:val="center"/>
            </w:pPr>
            <w:r>
              <w:rPr>
                <w:rFonts w:ascii="宋体" w:hAnsi="宋体" w:eastAsia="宋体"/>
                <w:sz w:val="16"/>
              </w:rPr>
              <w:t>实际完成情况</w:t>
            </w:r>
          </w:p>
        </w:tc>
      </w:tr>
      <w:tr w14:paraId="47369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9B002"/>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CD509">
            <w:pPr>
              <w:jc w:val="both"/>
            </w:pPr>
            <w:r>
              <w:rPr>
                <w:rFonts w:ascii="宋体" w:hAnsi="宋体" w:eastAsia="宋体"/>
                <w:sz w:val="16"/>
              </w:rPr>
              <w:t>对岳普湖县总工会会议室进行改造装修，采购装修工程服务1项，主要包括电路改造、背景墙找平、墙面涂料及配套相关设施设备等。通过项目的实施改善会议室工作环境，满足单位人员日常办公需求。</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8EDB36">
            <w:pPr>
              <w:jc w:val="both"/>
            </w:pPr>
            <w:r>
              <w:rPr>
                <w:rFonts w:ascii="宋体" w:hAnsi="宋体" w:eastAsia="宋体"/>
                <w:sz w:val="16"/>
              </w:rPr>
              <w:t>已经及时完成了对岳普湖县总工会会议室的改造装修，采购装修工程</w:t>
            </w:r>
            <w:r>
              <w:rPr>
                <w:rFonts w:hint="eastAsia" w:ascii="宋体" w:hAnsi="宋体"/>
                <w:sz w:val="16"/>
                <w:lang w:eastAsia="zh-CN"/>
              </w:rPr>
              <w:t>服务</w:t>
            </w:r>
            <w:r>
              <w:rPr>
                <w:rFonts w:ascii="宋体" w:hAnsi="宋体" w:eastAsia="宋体"/>
                <w:sz w:val="16"/>
              </w:rPr>
              <w:t>1项，主要包括电路改造、背景墙找平、墙面涂料及配套相关设施设备等。项目预算执行率为100%。通过项目的实施有效改善了会议室工作环境，进一步满足了单位人员日常办公需求。单位人员满意度达到了100%。</w:t>
            </w:r>
          </w:p>
        </w:tc>
      </w:tr>
      <w:tr w14:paraId="6D343A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3029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4E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DC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B441">
            <w:pPr>
              <w:jc w:val="center"/>
            </w:pPr>
            <w:r>
              <w:rPr>
                <w:rFonts w:ascii="宋体" w:hAnsi="宋体" w:eastAsia="宋体"/>
                <w:sz w:val="16"/>
              </w:rPr>
              <w:t>三级指标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196591B7">
            <w:pPr>
              <w:jc w:val="center"/>
            </w:pPr>
            <w:r>
              <w:rPr>
                <w:rFonts w:ascii="宋体" w:hAnsi="宋体" w:eastAsia="宋体"/>
                <w:sz w:val="16"/>
              </w:rPr>
              <w:t>年度指标值</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4A0869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3D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B5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4D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55E5">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64DE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AA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71261">
            <w:pPr>
              <w:jc w:val="center"/>
            </w:pPr>
            <w:r>
              <w:rPr>
                <w:rFonts w:ascii="宋体" w:hAnsi="宋体" w:eastAsia="宋体"/>
                <w:sz w:val="16"/>
              </w:rPr>
              <w:t>偏差原因分析及改进措施</w:t>
            </w:r>
          </w:p>
        </w:tc>
      </w:tr>
      <w:tr w14:paraId="6F7C8A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655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2FF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5D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6B8C">
            <w:pPr>
              <w:jc w:val="center"/>
            </w:pPr>
            <w:r>
              <w:rPr>
                <w:rFonts w:ascii="宋体" w:hAnsi="宋体" w:eastAsia="宋体"/>
                <w:sz w:val="16"/>
              </w:rPr>
              <w:t>采购装修工程服务数量</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9D96A7C">
            <w:pPr>
              <w:jc w:val="center"/>
            </w:pPr>
            <w:r>
              <w:rPr>
                <w:rFonts w:ascii="宋体" w:hAnsi="宋体" w:eastAsia="宋体"/>
                <w:sz w:val="16"/>
              </w:rPr>
              <w:t>=1项</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69A88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63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EF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5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B86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01FDC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95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047A">
            <w:pPr>
              <w:jc w:val="center"/>
            </w:pPr>
          </w:p>
        </w:tc>
      </w:tr>
      <w:tr w14:paraId="669CE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8E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8B1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8DD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E86C">
            <w:pPr>
              <w:jc w:val="center"/>
            </w:pPr>
            <w:r>
              <w:rPr>
                <w:rFonts w:ascii="宋体" w:hAnsi="宋体" w:eastAsia="宋体"/>
                <w:sz w:val="16"/>
              </w:rPr>
              <w:t>资金保障率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57EE1340">
            <w:pPr>
              <w:jc w:val="center"/>
            </w:pPr>
            <w:r>
              <w:rPr>
                <w:rFonts w:ascii="宋体" w:hAnsi="宋体" w:eastAsia="宋体"/>
                <w:sz w:val="16"/>
              </w:rPr>
              <w:t>=100%</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40ACBA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3E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8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6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E4B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F07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6B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480D9">
            <w:pPr>
              <w:jc w:val="center"/>
            </w:pPr>
          </w:p>
        </w:tc>
      </w:tr>
      <w:tr w14:paraId="7F9EC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DA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B7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0E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7424">
            <w:pPr>
              <w:jc w:val="center"/>
            </w:pPr>
            <w:r>
              <w:rPr>
                <w:rFonts w:ascii="宋体" w:hAnsi="宋体" w:eastAsia="宋体"/>
                <w:sz w:val="16"/>
              </w:rPr>
              <w:t>项目验收合格率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9CE4F15">
            <w:pPr>
              <w:jc w:val="center"/>
            </w:pPr>
            <w:r>
              <w:rPr>
                <w:rFonts w:ascii="宋体" w:hAnsi="宋体" w:eastAsia="宋体"/>
                <w:sz w:val="16"/>
              </w:rPr>
              <w:t>=100%</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35152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86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A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92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D4B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4E5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4A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8EF6">
            <w:pPr>
              <w:jc w:val="center"/>
            </w:pPr>
          </w:p>
        </w:tc>
      </w:tr>
      <w:tr w14:paraId="0D8E1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29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440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5D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D879">
            <w:pPr>
              <w:jc w:val="center"/>
            </w:pPr>
            <w:r>
              <w:rPr>
                <w:rFonts w:ascii="宋体" w:hAnsi="宋体" w:eastAsia="宋体"/>
                <w:sz w:val="16"/>
              </w:rPr>
              <w:t>项目验收时间</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220CDD1">
            <w:pPr>
              <w:jc w:val="center"/>
            </w:pPr>
            <w:r>
              <w:rPr>
                <w:rFonts w:ascii="宋体" w:hAnsi="宋体" w:eastAsia="宋体"/>
                <w:sz w:val="16"/>
              </w:rPr>
              <w:t>=2024年12月18日前</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79DEF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77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6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28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929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EFD8DC">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C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BB07">
            <w:pPr>
              <w:jc w:val="center"/>
            </w:pPr>
          </w:p>
        </w:tc>
      </w:tr>
      <w:tr w14:paraId="1D010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6B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CC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50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F753">
            <w:pPr>
              <w:jc w:val="center"/>
            </w:pPr>
            <w:r>
              <w:rPr>
                <w:rFonts w:ascii="宋体" w:hAnsi="宋体" w:eastAsia="宋体"/>
                <w:sz w:val="16"/>
              </w:rPr>
              <w:t>采购装修工程服务成本控制数</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F53B4F6">
            <w:pPr>
              <w:jc w:val="center"/>
            </w:pPr>
            <w:r>
              <w:rPr>
                <w:rFonts w:ascii="宋体" w:hAnsi="宋体" w:eastAsia="宋体"/>
                <w:sz w:val="16"/>
              </w:rPr>
              <w:t>&lt;=15.48万元/个</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554506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16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A6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9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5D6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9A25BF">
            <w:pPr>
              <w:jc w:val="center"/>
            </w:pPr>
            <w:r>
              <w:rPr>
                <w:rFonts w:ascii="宋体" w:hAnsi="宋体" w:eastAsia="宋体"/>
                <w:sz w:val="16"/>
              </w:rPr>
              <w:t>=15.48万元/个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76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230F">
            <w:pPr>
              <w:jc w:val="center"/>
            </w:pPr>
          </w:p>
        </w:tc>
      </w:tr>
      <w:tr w14:paraId="5C0A0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62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66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DA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5BF3">
            <w:pPr>
              <w:jc w:val="center"/>
            </w:pPr>
            <w:r>
              <w:rPr>
                <w:rFonts w:ascii="宋体" w:hAnsi="宋体" w:eastAsia="宋体"/>
                <w:sz w:val="16"/>
              </w:rPr>
              <w:t>改善会议室工作环境</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7208D39">
            <w:pPr>
              <w:jc w:val="center"/>
            </w:pPr>
            <w:r>
              <w:rPr>
                <w:rFonts w:ascii="宋体" w:hAnsi="宋体" w:eastAsia="宋体"/>
                <w:sz w:val="16"/>
              </w:rPr>
              <w:t>有效改善</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48E788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BE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48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3A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49C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5674D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42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2455A">
            <w:pPr>
              <w:jc w:val="center"/>
            </w:pPr>
          </w:p>
        </w:tc>
      </w:tr>
      <w:tr w14:paraId="72591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600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00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54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AD3F">
            <w:pPr>
              <w:jc w:val="center"/>
            </w:pPr>
            <w:r>
              <w:rPr>
                <w:rFonts w:ascii="宋体" w:hAnsi="宋体" w:eastAsia="宋体"/>
                <w:sz w:val="16"/>
              </w:rPr>
              <w:t>单位人员满意度</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1DC6FD6">
            <w:pPr>
              <w:jc w:val="center"/>
            </w:pPr>
            <w:r>
              <w:rPr>
                <w:rFonts w:ascii="宋体" w:hAnsi="宋体" w:eastAsia="宋体"/>
                <w:sz w:val="16"/>
              </w:rPr>
              <w:t>&gt;=98%</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4EA77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B1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F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FF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40C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0F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FE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CBC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994BF44">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481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648A">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ABCF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68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EA1262"/>
        </w:tc>
      </w:tr>
    </w:tbl>
    <w:p w14:paraId="543EA544">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597"/>
        <w:gridCol w:w="731"/>
        <w:gridCol w:w="632"/>
        <w:gridCol w:w="632"/>
        <w:gridCol w:w="632"/>
        <w:gridCol w:w="632"/>
        <w:gridCol w:w="632"/>
        <w:gridCol w:w="509"/>
        <w:gridCol w:w="755"/>
        <w:gridCol w:w="632"/>
      </w:tblGrid>
      <w:tr w14:paraId="776E2474">
        <w:tblPrEx>
          <w:tblCellMar>
            <w:top w:w="0" w:type="dxa"/>
            <w:left w:w="108" w:type="dxa"/>
            <w:bottom w:w="0" w:type="dxa"/>
            <w:right w:w="108" w:type="dxa"/>
          </w:tblCellMar>
        </w:tblPrEx>
        <w:tc>
          <w:tcPr>
            <w:tcW w:w="8912" w:type="dxa"/>
            <w:gridSpan w:val="14"/>
            <w:vAlign w:val="center"/>
          </w:tcPr>
          <w:p w14:paraId="38DBF494">
            <w:pPr>
              <w:jc w:val="center"/>
            </w:pPr>
            <w:r>
              <w:rPr>
                <w:rFonts w:ascii="宋体" w:hAnsi="宋体" w:eastAsia="宋体"/>
                <w:sz w:val="24"/>
              </w:rPr>
              <w:t>项目支出绩效自评表</w:t>
            </w:r>
          </w:p>
        </w:tc>
      </w:tr>
      <w:tr w14:paraId="4F76E74E">
        <w:tblPrEx>
          <w:tblCellMar>
            <w:top w:w="0" w:type="dxa"/>
            <w:left w:w="108" w:type="dxa"/>
            <w:bottom w:w="0" w:type="dxa"/>
            <w:right w:w="108" w:type="dxa"/>
          </w:tblCellMar>
        </w:tblPrEx>
        <w:tc>
          <w:tcPr>
            <w:tcW w:w="8912" w:type="dxa"/>
            <w:gridSpan w:val="14"/>
            <w:vAlign w:val="center"/>
          </w:tcPr>
          <w:p w14:paraId="70FEAAEF">
            <w:pPr>
              <w:jc w:val="center"/>
            </w:pPr>
            <w:r>
              <w:rPr>
                <w:rFonts w:ascii="宋体" w:hAnsi="宋体" w:eastAsia="宋体"/>
                <w:sz w:val="24"/>
              </w:rPr>
              <w:t>(2024年度)</w:t>
            </w:r>
          </w:p>
        </w:tc>
      </w:tr>
      <w:tr w14:paraId="5258E0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B25F">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F99D0">
            <w:pPr>
              <w:jc w:val="center"/>
            </w:pPr>
            <w:r>
              <w:rPr>
                <w:rFonts w:ascii="宋体" w:hAnsi="宋体" w:eastAsia="宋体"/>
                <w:sz w:val="16"/>
              </w:rPr>
              <w:t>岳普湖县文化沁润建设项目</w:t>
            </w:r>
          </w:p>
        </w:tc>
      </w:tr>
      <w:tr w14:paraId="583FA1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DCD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E924C">
            <w:pPr>
              <w:jc w:val="center"/>
            </w:pPr>
            <w:r>
              <w:rPr>
                <w:rFonts w:ascii="宋体" w:hAnsi="宋体" w:eastAsia="宋体"/>
                <w:sz w:val="16"/>
              </w:rPr>
              <w:t>岳普湖县总工会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04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2ABEA8">
            <w:pPr>
              <w:jc w:val="center"/>
            </w:pPr>
            <w:r>
              <w:rPr>
                <w:rFonts w:ascii="宋体" w:hAnsi="宋体" w:eastAsia="宋体"/>
                <w:sz w:val="16"/>
              </w:rPr>
              <w:t>岳普湖县总工会</w:t>
            </w:r>
          </w:p>
        </w:tc>
      </w:tr>
      <w:tr w14:paraId="72D8B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D0B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E3735">
            <w:pPr>
              <w:jc w:val="center"/>
            </w:pP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76FB7">
            <w:pPr>
              <w:jc w:val="center"/>
            </w:pPr>
            <w:r>
              <w:rPr>
                <w:rFonts w:ascii="宋体" w:hAnsi="宋体" w:eastAsia="宋体"/>
                <w:sz w:val="16"/>
              </w:rPr>
              <w:t>年初预算数</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49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F16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D4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AD4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B4C3">
            <w:pPr>
              <w:jc w:val="center"/>
            </w:pPr>
            <w:r>
              <w:rPr>
                <w:rFonts w:ascii="宋体" w:hAnsi="宋体" w:eastAsia="宋体"/>
                <w:sz w:val="16"/>
              </w:rPr>
              <w:t>得分</w:t>
            </w:r>
          </w:p>
        </w:tc>
      </w:tr>
      <w:tr w14:paraId="2E46E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0C8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D632">
            <w:pPr>
              <w:jc w:val="center"/>
            </w:pPr>
            <w:r>
              <w:rPr>
                <w:rFonts w:ascii="宋体" w:hAnsi="宋体" w:eastAsia="宋体"/>
                <w:sz w:val="16"/>
              </w:rPr>
              <w:t>年度资金总额</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8522F">
            <w:pPr>
              <w:jc w:val="center"/>
            </w:pPr>
            <w:r>
              <w:rPr>
                <w:rFonts w:ascii="宋体" w:hAnsi="宋体" w:eastAsia="宋体"/>
                <w:sz w:val="16"/>
              </w:rPr>
              <w:t>10.00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0334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7D0E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F33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249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4248">
            <w:pPr>
              <w:jc w:val="center"/>
            </w:pPr>
            <w:r>
              <w:rPr>
                <w:rFonts w:ascii="宋体" w:hAnsi="宋体" w:eastAsia="宋体"/>
                <w:sz w:val="16"/>
              </w:rPr>
              <w:t>10.00分</w:t>
            </w:r>
          </w:p>
        </w:tc>
      </w:tr>
      <w:tr w14:paraId="0B8CF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670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7FEF2">
            <w:pPr>
              <w:jc w:val="center"/>
            </w:pPr>
            <w:r>
              <w:rPr>
                <w:rFonts w:ascii="宋体" w:hAnsi="宋体" w:eastAsia="宋体"/>
                <w:sz w:val="16"/>
              </w:rPr>
              <w:t>其中：当年财政拨款</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B91D">
            <w:pPr>
              <w:jc w:val="center"/>
            </w:pPr>
            <w:r>
              <w:rPr>
                <w:rFonts w:ascii="宋体" w:hAnsi="宋体" w:eastAsia="宋体"/>
                <w:sz w:val="16"/>
              </w:rPr>
              <w:t>0.00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47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90A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FCC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2075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818E">
            <w:pPr>
              <w:jc w:val="center"/>
            </w:pPr>
            <w:r>
              <w:rPr>
                <w:rFonts w:ascii="宋体" w:hAnsi="宋体" w:eastAsia="宋体"/>
                <w:sz w:val="16"/>
              </w:rPr>
              <w:t>—</w:t>
            </w:r>
          </w:p>
        </w:tc>
      </w:tr>
      <w:tr w14:paraId="75AE4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853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FCA7C">
            <w:pPr>
              <w:jc w:val="center"/>
            </w:pPr>
            <w:r>
              <w:rPr>
                <w:rFonts w:ascii="宋体" w:hAnsi="宋体" w:eastAsia="宋体"/>
                <w:sz w:val="16"/>
              </w:rPr>
              <w:t xml:space="preserve">  其他资金</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E8B6">
            <w:pPr>
              <w:jc w:val="center"/>
            </w:pPr>
            <w:r>
              <w:rPr>
                <w:rFonts w:ascii="宋体" w:hAnsi="宋体" w:eastAsia="宋体"/>
                <w:sz w:val="16"/>
              </w:rPr>
              <w:t>10.00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68A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44A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BBE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CA3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A5B5">
            <w:pPr>
              <w:jc w:val="center"/>
            </w:pPr>
            <w:r>
              <w:rPr>
                <w:rFonts w:ascii="宋体" w:hAnsi="宋体" w:eastAsia="宋体"/>
                <w:sz w:val="16"/>
              </w:rPr>
              <w:t>—</w:t>
            </w:r>
          </w:p>
        </w:tc>
      </w:tr>
      <w:tr w14:paraId="18A718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EBDA3">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61D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73EC24">
            <w:pPr>
              <w:jc w:val="center"/>
            </w:pPr>
            <w:r>
              <w:rPr>
                <w:rFonts w:ascii="宋体" w:hAnsi="宋体" w:eastAsia="宋体"/>
                <w:sz w:val="16"/>
              </w:rPr>
              <w:t>实际完成情况</w:t>
            </w:r>
          </w:p>
        </w:tc>
      </w:tr>
      <w:tr w14:paraId="79214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D376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11E5C">
            <w:pPr>
              <w:jc w:val="both"/>
            </w:pPr>
            <w:r>
              <w:rPr>
                <w:rFonts w:ascii="宋体" w:hAnsi="宋体" w:eastAsia="宋体"/>
                <w:sz w:val="16"/>
              </w:rPr>
              <w:t>慰问机关、企事业单位新就业形态职工代表，发放带有中华文化符号和视觉形象及山东援疆标识的各类物品。采购慰问物品数量1000套。通过项目的实施提升职工代表凝聚力和文化认同感。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7C562A">
            <w:pPr>
              <w:jc w:val="both"/>
            </w:pPr>
            <w:r>
              <w:rPr>
                <w:rFonts w:ascii="宋体" w:hAnsi="宋体" w:eastAsia="宋体"/>
                <w:sz w:val="16"/>
              </w:rPr>
              <w:t>已经完成了机关、企事业单位新就业形态职工代表的慰问任务，已经发放了带有中华文化符号和视觉形象及山东援疆标识的各类物品。采购慰问物品数量达到了1000套。项目预算执行率为100%。通过项目的实施有效提升了职工代表凝聚力和文化认同感。被慰问人员满意度达到了100%。</w:t>
            </w:r>
          </w:p>
        </w:tc>
      </w:tr>
      <w:tr w14:paraId="1863C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9BD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B2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A3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9C02">
            <w:pPr>
              <w:jc w:val="center"/>
            </w:pPr>
            <w:r>
              <w:rPr>
                <w:rFonts w:ascii="宋体" w:hAnsi="宋体" w:eastAsia="宋体"/>
                <w:sz w:val="16"/>
              </w:rPr>
              <w:t>三级指标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2E837EE">
            <w:pPr>
              <w:jc w:val="center"/>
            </w:pPr>
            <w:r>
              <w:rPr>
                <w:rFonts w:ascii="宋体" w:hAnsi="宋体" w:eastAsia="宋体"/>
                <w:sz w:val="16"/>
              </w:rPr>
              <w:t>年度指标值</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17A1A1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15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40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64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FF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A35B">
            <w:pPr>
              <w:jc w:val="center"/>
            </w:pPr>
            <w:r>
              <w:rPr>
                <w:rFonts w:ascii="宋体" w:hAnsi="宋体" w:eastAsia="宋体"/>
                <w:sz w:val="16"/>
              </w:rPr>
              <w:t>实际完成值</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0D9CE92">
            <w:pPr>
              <w:jc w:val="center"/>
            </w:pPr>
            <w:r>
              <w:rPr>
                <w:rFonts w:ascii="宋体" w:hAnsi="宋体" w:eastAsia="宋体"/>
                <w:sz w:val="16"/>
              </w:rPr>
              <w:t>得分</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89F2E">
            <w:pPr>
              <w:jc w:val="center"/>
            </w:pPr>
            <w:r>
              <w:rPr>
                <w:rFonts w:ascii="宋体" w:hAnsi="宋体" w:eastAsia="宋体"/>
                <w:sz w:val="16"/>
              </w:rPr>
              <w:t>偏差原因分析及改进措施</w:t>
            </w:r>
          </w:p>
        </w:tc>
      </w:tr>
      <w:tr w14:paraId="063051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4A5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C000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E1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07AF">
            <w:pPr>
              <w:jc w:val="center"/>
            </w:pPr>
            <w:r>
              <w:rPr>
                <w:rFonts w:ascii="宋体" w:hAnsi="宋体" w:eastAsia="宋体"/>
                <w:sz w:val="16"/>
              </w:rPr>
              <w:t>采购慰问物品数量</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2AC4D04">
            <w:pPr>
              <w:jc w:val="center"/>
            </w:pPr>
            <w:r>
              <w:rPr>
                <w:rFonts w:ascii="宋体" w:hAnsi="宋体" w:eastAsia="宋体"/>
                <w:sz w:val="16"/>
              </w:rPr>
              <w:t>&gt;=1000套</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39B96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C1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C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D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0B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979D">
            <w:pPr>
              <w:jc w:val="center"/>
            </w:pPr>
            <w:r>
              <w:rPr>
                <w:rFonts w:ascii="宋体" w:hAnsi="宋体" w:eastAsia="宋体"/>
                <w:sz w:val="16"/>
              </w:rPr>
              <w:t>=1000套</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0D1014A">
            <w:pPr>
              <w:jc w:val="center"/>
            </w:pPr>
            <w:r>
              <w:rPr>
                <w:rFonts w:ascii="宋体" w:hAnsi="宋体" w:eastAsia="宋体"/>
                <w:sz w:val="16"/>
              </w:rPr>
              <w:t>10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B060">
            <w:pPr>
              <w:jc w:val="center"/>
            </w:pPr>
          </w:p>
        </w:tc>
      </w:tr>
      <w:tr w14:paraId="2ABFE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1B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EA5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209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812C">
            <w:pPr>
              <w:jc w:val="center"/>
            </w:pPr>
            <w:r>
              <w:rPr>
                <w:rFonts w:ascii="宋体" w:hAnsi="宋体" w:eastAsia="宋体"/>
                <w:sz w:val="16"/>
              </w:rPr>
              <w:t>采购验收合格率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E67978D">
            <w:pPr>
              <w:jc w:val="center"/>
            </w:pPr>
            <w:r>
              <w:rPr>
                <w:rFonts w:ascii="宋体" w:hAnsi="宋体" w:eastAsia="宋体"/>
                <w:sz w:val="16"/>
              </w:rPr>
              <w:t>=100%</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7BF9C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41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2D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2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FE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C9FB">
            <w:pPr>
              <w:jc w:val="center"/>
            </w:pPr>
            <w:r>
              <w:rPr>
                <w:rFonts w:ascii="宋体" w:hAnsi="宋体" w:eastAsia="宋体"/>
                <w:sz w:val="16"/>
              </w:rPr>
              <w:t>=100%</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50F485EF">
            <w:pPr>
              <w:jc w:val="center"/>
            </w:pPr>
            <w:r>
              <w:rPr>
                <w:rFonts w:ascii="宋体" w:hAnsi="宋体" w:eastAsia="宋体"/>
                <w:sz w:val="16"/>
              </w:rPr>
              <w:t>10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0D24">
            <w:pPr>
              <w:jc w:val="center"/>
            </w:pPr>
          </w:p>
        </w:tc>
      </w:tr>
      <w:tr w14:paraId="53B60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FE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A2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8E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7662">
            <w:pPr>
              <w:jc w:val="center"/>
            </w:pPr>
            <w:r>
              <w:rPr>
                <w:rFonts w:ascii="宋体" w:hAnsi="宋体" w:eastAsia="宋体"/>
                <w:sz w:val="16"/>
              </w:rPr>
              <w:t>资金保障率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AA30933">
            <w:pPr>
              <w:jc w:val="center"/>
            </w:pPr>
            <w:r>
              <w:rPr>
                <w:rFonts w:ascii="宋体" w:hAnsi="宋体" w:eastAsia="宋体"/>
                <w:sz w:val="16"/>
              </w:rPr>
              <w:t>=100%</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61ED3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29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B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E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89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E342">
            <w:pPr>
              <w:jc w:val="center"/>
            </w:pPr>
            <w:r>
              <w:rPr>
                <w:rFonts w:ascii="宋体" w:hAnsi="宋体" w:eastAsia="宋体"/>
                <w:sz w:val="16"/>
              </w:rPr>
              <w:t>=100%</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71FF545">
            <w:pPr>
              <w:jc w:val="center"/>
            </w:pPr>
            <w:r>
              <w:rPr>
                <w:rFonts w:ascii="宋体" w:hAnsi="宋体" w:eastAsia="宋体"/>
                <w:sz w:val="16"/>
              </w:rPr>
              <w:t>10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59D63">
            <w:pPr>
              <w:jc w:val="center"/>
            </w:pPr>
          </w:p>
        </w:tc>
      </w:tr>
      <w:tr w14:paraId="0C64D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F7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49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B7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0056">
            <w:pPr>
              <w:jc w:val="center"/>
            </w:pPr>
            <w:r>
              <w:rPr>
                <w:rFonts w:ascii="宋体" w:hAnsi="宋体" w:eastAsia="宋体"/>
                <w:sz w:val="16"/>
              </w:rPr>
              <w:t>采购验收完成时间</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F31D286">
            <w:pPr>
              <w:jc w:val="center"/>
            </w:pPr>
            <w:r>
              <w:rPr>
                <w:rFonts w:ascii="宋体" w:hAnsi="宋体" w:eastAsia="宋体"/>
                <w:sz w:val="16"/>
              </w:rPr>
              <w:t>=2024年12月16日前</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2CF00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EC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42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F2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5A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5E38">
            <w:pPr>
              <w:jc w:val="center"/>
            </w:pPr>
            <w:r>
              <w:rPr>
                <w:rFonts w:ascii="宋体" w:hAnsi="宋体" w:eastAsia="宋体"/>
                <w:sz w:val="16"/>
              </w:rPr>
              <w:t>=2024年12月16日</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ACBB781">
            <w:pPr>
              <w:jc w:val="center"/>
            </w:pPr>
            <w:r>
              <w:rPr>
                <w:rFonts w:ascii="宋体" w:hAnsi="宋体" w:eastAsia="宋体"/>
                <w:sz w:val="16"/>
              </w:rPr>
              <w:t>10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5651E">
            <w:pPr>
              <w:jc w:val="center"/>
            </w:pPr>
          </w:p>
        </w:tc>
      </w:tr>
      <w:tr w14:paraId="7C40C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77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6D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0D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B177">
            <w:pPr>
              <w:jc w:val="center"/>
            </w:pPr>
            <w:r>
              <w:rPr>
                <w:rFonts w:ascii="宋体" w:hAnsi="宋体" w:eastAsia="宋体"/>
                <w:sz w:val="16"/>
              </w:rPr>
              <w:t>慰问物品采购成本控制数为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F98D9F9">
            <w:pPr>
              <w:jc w:val="center"/>
            </w:pPr>
            <w:r>
              <w:rPr>
                <w:rFonts w:ascii="宋体" w:hAnsi="宋体" w:eastAsia="宋体"/>
                <w:sz w:val="16"/>
              </w:rPr>
              <w:t>&lt;=100元/套</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032B66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11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C3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B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EE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8906">
            <w:pPr>
              <w:jc w:val="center"/>
            </w:pPr>
            <w:r>
              <w:rPr>
                <w:rFonts w:ascii="宋体" w:hAnsi="宋体" w:eastAsia="宋体"/>
                <w:sz w:val="16"/>
              </w:rPr>
              <w:t>=100元/套</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719940D">
            <w:pPr>
              <w:jc w:val="center"/>
            </w:pPr>
            <w:r>
              <w:rPr>
                <w:rFonts w:ascii="宋体" w:hAnsi="宋体" w:eastAsia="宋体"/>
                <w:sz w:val="16"/>
              </w:rPr>
              <w:t>20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B7F56">
            <w:pPr>
              <w:jc w:val="center"/>
            </w:pPr>
          </w:p>
        </w:tc>
      </w:tr>
      <w:tr w14:paraId="5F0FF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1D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BF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B0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1F39">
            <w:pPr>
              <w:jc w:val="center"/>
            </w:pPr>
            <w:r>
              <w:rPr>
                <w:rFonts w:ascii="宋体" w:hAnsi="宋体" w:eastAsia="宋体"/>
                <w:sz w:val="16"/>
              </w:rPr>
              <w:t>提升职工代表凝聚力和文化认同感</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842C5C1">
            <w:pPr>
              <w:jc w:val="center"/>
            </w:pPr>
            <w:r>
              <w:rPr>
                <w:rFonts w:ascii="宋体" w:hAnsi="宋体" w:eastAsia="宋体"/>
                <w:sz w:val="16"/>
              </w:rPr>
              <w:t>有效提升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72258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19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F9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25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1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6B4F">
            <w:pPr>
              <w:jc w:val="center"/>
            </w:pPr>
            <w:r>
              <w:rPr>
                <w:rFonts w:ascii="宋体" w:hAnsi="宋体" w:eastAsia="宋体"/>
                <w:sz w:val="16"/>
              </w:rPr>
              <w:t>有效提升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0BF1DB0A">
            <w:pPr>
              <w:jc w:val="center"/>
            </w:pPr>
            <w:r>
              <w:rPr>
                <w:rFonts w:ascii="宋体" w:hAnsi="宋体" w:eastAsia="宋体"/>
                <w:sz w:val="16"/>
              </w:rPr>
              <w:t>20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A7A37">
            <w:pPr>
              <w:jc w:val="center"/>
            </w:pPr>
          </w:p>
        </w:tc>
      </w:tr>
      <w:tr w14:paraId="2366D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A9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1A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56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65C7">
            <w:pPr>
              <w:jc w:val="center"/>
            </w:pPr>
            <w:r>
              <w:rPr>
                <w:rFonts w:ascii="宋体" w:hAnsi="宋体" w:eastAsia="宋体"/>
                <w:sz w:val="16"/>
              </w:rPr>
              <w:t>被慰问人员满意度</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A43304E">
            <w:pPr>
              <w:jc w:val="center"/>
            </w:pPr>
            <w:r>
              <w:rPr>
                <w:rFonts w:ascii="宋体" w:hAnsi="宋体" w:eastAsia="宋体"/>
                <w:sz w:val="16"/>
              </w:rPr>
              <w:t>&gt;=98%</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193DC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DC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BE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77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2E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3678">
            <w:pPr>
              <w:jc w:val="center"/>
            </w:pPr>
            <w:r>
              <w:rPr>
                <w:rFonts w:ascii="宋体" w:hAnsi="宋体" w:eastAsia="宋体"/>
                <w:sz w:val="16"/>
              </w:rPr>
              <w:t>=100%</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5508375D">
            <w:pPr>
              <w:jc w:val="center"/>
            </w:pPr>
            <w:r>
              <w:rPr>
                <w:rFonts w:ascii="宋体" w:hAnsi="宋体" w:eastAsia="宋体"/>
                <w:sz w:val="16"/>
              </w:rPr>
              <w:t>10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D30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64D481B">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174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25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BE4F09"/>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D5537FE">
            <w:pPr>
              <w:jc w:val="center"/>
            </w:pPr>
            <w:r>
              <w:rPr>
                <w:rFonts w:ascii="宋体" w:hAnsi="宋体" w:eastAsia="宋体"/>
                <w:sz w:val="16"/>
              </w:rPr>
              <w:t>100分</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tcPr>
          <w:p w14:paraId="4B4790C1"/>
        </w:tc>
      </w:tr>
    </w:tbl>
    <w:p w14:paraId="4EAE2C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D0E6A0F">
        <w:tblPrEx>
          <w:tblCellMar>
            <w:top w:w="0" w:type="dxa"/>
            <w:left w:w="108" w:type="dxa"/>
            <w:bottom w:w="0" w:type="dxa"/>
            <w:right w:w="108" w:type="dxa"/>
          </w:tblCellMar>
        </w:tblPrEx>
        <w:tc>
          <w:tcPr>
            <w:tcW w:w="8848" w:type="dxa"/>
            <w:gridSpan w:val="14"/>
            <w:vAlign w:val="center"/>
          </w:tcPr>
          <w:p w14:paraId="7665728F">
            <w:pPr>
              <w:jc w:val="center"/>
            </w:pPr>
            <w:r>
              <w:rPr>
                <w:rFonts w:ascii="宋体" w:hAnsi="宋体" w:eastAsia="宋体"/>
                <w:sz w:val="24"/>
              </w:rPr>
              <w:t>项目支出绩效自评表</w:t>
            </w:r>
          </w:p>
        </w:tc>
      </w:tr>
      <w:tr w14:paraId="12461A4D">
        <w:tblPrEx>
          <w:tblCellMar>
            <w:top w:w="0" w:type="dxa"/>
            <w:left w:w="108" w:type="dxa"/>
            <w:bottom w:w="0" w:type="dxa"/>
            <w:right w:w="108" w:type="dxa"/>
          </w:tblCellMar>
        </w:tblPrEx>
        <w:tc>
          <w:tcPr>
            <w:tcW w:w="8848" w:type="dxa"/>
            <w:gridSpan w:val="14"/>
            <w:vAlign w:val="center"/>
          </w:tcPr>
          <w:p w14:paraId="7D31DFA9">
            <w:pPr>
              <w:jc w:val="center"/>
            </w:pPr>
            <w:r>
              <w:rPr>
                <w:rFonts w:ascii="宋体" w:hAnsi="宋体" w:eastAsia="宋体"/>
                <w:sz w:val="24"/>
              </w:rPr>
              <w:t>(2024年度)</w:t>
            </w:r>
          </w:p>
        </w:tc>
      </w:tr>
      <w:tr w14:paraId="486D90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8C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99D4A0">
            <w:pPr>
              <w:jc w:val="center"/>
            </w:pPr>
            <w:r>
              <w:rPr>
                <w:rFonts w:ascii="宋体" w:hAnsi="宋体" w:eastAsia="宋体"/>
                <w:sz w:val="16"/>
              </w:rPr>
              <w:t>购买固定资产盘点设备项目</w:t>
            </w:r>
          </w:p>
        </w:tc>
      </w:tr>
      <w:tr w14:paraId="366899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04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D088B">
            <w:pPr>
              <w:jc w:val="center"/>
            </w:pPr>
            <w:r>
              <w:rPr>
                <w:rFonts w:ascii="宋体" w:hAnsi="宋体" w:eastAsia="宋体"/>
                <w:sz w:val="16"/>
              </w:rPr>
              <w:t>岳普湖县总工会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E6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B99A1">
            <w:pPr>
              <w:jc w:val="center"/>
            </w:pPr>
            <w:r>
              <w:rPr>
                <w:rFonts w:ascii="宋体" w:hAnsi="宋体" w:eastAsia="宋体"/>
                <w:sz w:val="16"/>
              </w:rPr>
              <w:t>岳普湖县总工会</w:t>
            </w:r>
          </w:p>
        </w:tc>
      </w:tr>
      <w:tr w14:paraId="7C604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843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13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C22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8A6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E57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429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0A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0050">
            <w:pPr>
              <w:jc w:val="center"/>
            </w:pPr>
            <w:r>
              <w:rPr>
                <w:rFonts w:ascii="宋体" w:hAnsi="宋体" w:eastAsia="宋体"/>
                <w:sz w:val="16"/>
              </w:rPr>
              <w:t>得分</w:t>
            </w:r>
          </w:p>
        </w:tc>
      </w:tr>
      <w:tr w14:paraId="4D1F3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B02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956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BE39">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9C5A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D25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FD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457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586A">
            <w:pPr>
              <w:jc w:val="center"/>
            </w:pPr>
            <w:r>
              <w:rPr>
                <w:rFonts w:ascii="宋体" w:hAnsi="宋体" w:eastAsia="宋体"/>
                <w:sz w:val="16"/>
              </w:rPr>
              <w:t>10.00分</w:t>
            </w:r>
          </w:p>
        </w:tc>
      </w:tr>
      <w:tr w14:paraId="1808D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9D0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C7B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34A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BF8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9E0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001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0DDF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4A54">
            <w:pPr>
              <w:jc w:val="center"/>
            </w:pPr>
            <w:r>
              <w:rPr>
                <w:rFonts w:ascii="宋体" w:hAnsi="宋体" w:eastAsia="宋体"/>
                <w:sz w:val="16"/>
              </w:rPr>
              <w:t>—</w:t>
            </w:r>
          </w:p>
        </w:tc>
      </w:tr>
      <w:tr w14:paraId="25DB6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9B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8B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803F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3DF31">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362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094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715F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A94A">
            <w:pPr>
              <w:jc w:val="center"/>
            </w:pPr>
            <w:r>
              <w:rPr>
                <w:rFonts w:ascii="宋体" w:hAnsi="宋体" w:eastAsia="宋体"/>
                <w:sz w:val="16"/>
              </w:rPr>
              <w:t>—</w:t>
            </w:r>
          </w:p>
        </w:tc>
      </w:tr>
      <w:tr w14:paraId="60B046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945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40C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5598BF">
            <w:pPr>
              <w:jc w:val="center"/>
            </w:pPr>
            <w:r>
              <w:rPr>
                <w:rFonts w:ascii="宋体" w:hAnsi="宋体" w:eastAsia="宋体"/>
                <w:sz w:val="16"/>
              </w:rPr>
              <w:t>实际完成情况</w:t>
            </w:r>
          </w:p>
        </w:tc>
      </w:tr>
      <w:tr w14:paraId="3D63B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0E9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611F7">
            <w:pPr>
              <w:jc w:val="both"/>
            </w:pPr>
            <w:r>
              <w:rPr>
                <w:rFonts w:ascii="宋体" w:hAnsi="宋体" w:eastAsia="宋体"/>
                <w:sz w:val="16"/>
              </w:rPr>
              <w:t>项目资金主要用于购买固定资产盘点设备。其中：购买数据采集器1个、应用软件打印机与平台接口开发1套和工会固定资产卡片打印机1台。通过项目的实施提高固定资产管理和监管效率。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DC42D">
            <w:pPr>
              <w:jc w:val="both"/>
            </w:pPr>
            <w:r>
              <w:rPr>
                <w:rFonts w:ascii="宋体" w:hAnsi="宋体" w:eastAsia="宋体"/>
                <w:sz w:val="16"/>
              </w:rPr>
              <w:t>固定资产盘点设备已经完成购置并验收通过，其中：购买数据采集器1个、应用软件打印机与平台接口开发1套和工会固定资产卡片打印机1台。项目预算执行率为100%。通过项目的实施提高固定资产管理和监管效率。设备使用人员满意度达到了100%。</w:t>
            </w:r>
          </w:p>
        </w:tc>
      </w:tr>
      <w:tr w14:paraId="3A77D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C3B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65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EC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4B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C6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70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7A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B8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8B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EF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00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D2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4BFCB">
            <w:pPr>
              <w:jc w:val="center"/>
            </w:pPr>
            <w:r>
              <w:rPr>
                <w:rFonts w:ascii="宋体" w:hAnsi="宋体" w:eastAsia="宋体"/>
                <w:sz w:val="16"/>
              </w:rPr>
              <w:t>偏差原因分析及改进措施</w:t>
            </w:r>
          </w:p>
        </w:tc>
      </w:tr>
      <w:tr w14:paraId="44480C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0DF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02B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1B3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42A7">
            <w:pPr>
              <w:jc w:val="center"/>
            </w:pPr>
            <w:r>
              <w:rPr>
                <w:rFonts w:ascii="宋体" w:hAnsi="宋体" w:eastAsia="宋体"/>
                <w:sz w:val="16"/>
              </w:rPr>
              <w:t>购买数据采集器数量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822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3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3B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60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5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B0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0E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705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FDFDD">
            <w:pPr>
              <w:jc w:val="center"/>
            </w:pPr>
          </w:p>
        </w:tc>
      </w:tr>
      <w:tr w14:paraId="31C21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08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F4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38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016F">
            <w:pPr>
              <w:jc w:val="center"/>
            </w:pPr>
            <w:r>
              <w:rPr>
                <w:rFonts w:ascii="宋体" w:hAnsi="宋体" w:eastAsia="宋体"/>
                <w:sz w:val="16"/>
              </w:rPr>
              <w:t>购买应用软件打印机与平台接口开发数量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5F32">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5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C3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A6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E1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81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73F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E4A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1EDC">
            <w:pPr>
              <w:jc w:val="center"/>
            </w:pPr>
          </w:p>
        </w:tc>
      </w:tr>
      <w:tr w14:paraId="33C64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98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F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19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CFAD">
            <w:pPr>
              <w:jc w:val="center"/>
            </w:pPr>
            <w:r>
              <w:rPr>
                <w:rFonts w:ascii="宋体" w:hAnsi="宋体" w:eastAsia="宋体"/>
                <w:sz w:val="16"/>
              </w:rPr>
              <w:t>购买工会固定资产卡片打印机数量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282F">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C1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03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BA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E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87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254A">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6EA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29F31">
            <w:pPr>
              <w:jc w:val="center"/>
            </w:pPr>
          </w:p>
        </w:tc>
      </w:tr>
      <w:tr w14:paraId="52A6F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BA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890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4D4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2DF7">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11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F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C1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E0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3F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9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C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8EB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A4F29">
            <w:pPr>
              <w:jc w:val="center"/>
            </w:pPr>
          </w:p>
        </w:tc>
      </w:tr>
      <w:tr w14:paraId="01544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6BA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BE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C92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F04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5B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3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1B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0D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BB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56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D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16C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C7E7A">
            <w:pPr>
              <w:jc w:val="center"/>
            </w:pPr>
          </w:p>
        </w:tc>
      </w:tr>
      <w:tr w14:paraId="0038E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A1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EF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72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DA39">
            <w:pPr>
              <w:jc w:val="center"/>
            </w:pPr>
            <w:r>
              <w:rPr>
                <w:rFonts w:ascii="宋体" w:hAnsi="宋体" w:eastAsia="宋体"/>
                <w:sz w:val="16"/>
              </w:rPr>
              <w:t>设备采购验收时间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8ABC">
            <w:pPr>
              <w:jc w:val="center"/>
            </w:pPr>
            <w:r>
              <w:rPr>
                <w:rFonts w:ascii="宋体" w:hAnsi="宋体" w:eastAsia="宋体"/>
                <w:sz w:val="16"/>
              </w:rPr>
              <w:t>=2024年10月28日前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05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1A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B4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13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CB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BE5C">
            <w:pPr>
              <w:jc w:val="center"/>
            </w:pPr>
            <w:r>
              <w:rPr>
                <w:rFonts w:ascii="宋体" w:hAnsi="宋体" w:eastAsia="宋体"/>
                <w:sz w:val="16"/>
              </w:rPr>
              <w:t>=2024年9月28日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CA9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D263">
            <w:pPr>
              <w:jc w:val="center"/>
            </w:pPr>
          </w:p>
        </w:tc>
      </w:tr>
      <w:tr w14:paraId="39C83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12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390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ED2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890F">
            <w:pPr>
              <w:jc w:val="center"/>
            </w:pPr>
            <w:r>
              <w:rPr>
                <w:rFonts w:ascii="宋体" w:hAnsi="宋体" w:eastAsia="宋体"/>
                <w:sz w:val="16"/>
              </w:rPr>
              <w:t>数据采集器采购成本控制数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907C">
            <w:pPr>
              <w:jc w:val="center"/>
            </w:pPr>
            <w:r>
              <w:rPr>
                <w:rFonts w:ascii="宋体" w:hAnsi="宋体" w:eastAsia="宋体"/>
                <w:sz w:val="16"/>
              </w:rPr>
              <w:t>&lt;=4700元/个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3D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5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64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C3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98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6959">
            <w:pPr>
              <w:jc w:val="center"/>
            </w:pPr>
            <w:r>
              <w:rPr>
                <w:rFonts w:ascii="宋体" w:hAnsi="宋体" w:eastAsia="宋体"/>
                <w:sz w:val="16"/>
              </w:rPr>
              <w:t>=4700元/个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0F7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BDD7">
            <w:pPr>
              <w:jc w:val="center"/>
            </w:pPr>
          </w:p>
        </w:tc>
      </w:tr>
      <w:tr w14:paraId="44F9B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C7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68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E1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2BD9">
            <w:pPr>
              <w:jc w:val="center"/>
            </w:pPr>
            <w:r>
              <w:rPr>
                <w:rFonts w:ascii="宋体" w:hAnsi="宋体" w:eastAsia="宋体"/>
                <w:sz w:val="16"/>
              </w:rPr>
              <w:t>应用软件打印机与平台接口开发采购成本控制数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45F2">
            <w:pPr>
              <w:jc w:val="center"/>
            </w:pPr>
            <w:r>
              <w:rPr>
                <w:rFonts w:ascii="宋体" w:hAnsi="宋体" w:eastAsia="宋体"/>
                <w:sz w:val="16"/>
              </w:rPr>
              <w:t>&lt;=6000元/套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15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4E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78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5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3E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B73D">
            <w:pPr>
              <w:jc w:val="center"/>
            </w:pPr>
            <w:r>
              <w:rPr>
                <w:rFonts w:ascii="宋体" w:hAnsi="宋体" w:eastAsia="宋体"/>
                <w:sz w:val="16"/>
              </w:rPr>
              <w:t>=6000元/套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FE1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E295">
            <w:pPr>
              <w:jc w:val="center"/>
            </w:pPr>
          </w:p>
        </w:tc>
      </w:tr>
      <w:tr w14:paraId="055D1F3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50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1D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CB0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427B">
            <w:pPr>
              <w:jc w:val="center"/>
            </w:pPr>
            <w:r>
              <w:rPr>
                <w:rFonts w:ascii="宋体" w:hAnsi="宋体" w:eastAsia="宋体"/>
                <w:sz w:val="16"/>
              </w:rPr>
              <w:t>工会固定资产卡片打印机采购成本控制数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3695">
            <w:pPr>
              <w:jc w:val="center"/>
            </w:pPr>
            <w:r>
              <w:rPr>
                <w:rFonts w:ascii="宋体" w:hAnsi="宋体" w:eastAsia="宋体"/>
                <w:sz w:val="16"/>
              </w:rPr>
              <w:t>&lt;=1300元/台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A9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67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3A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65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BE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33B6">
            <w:pPr>
              <w:jc w:val="center"/>
            </w:pPr>
            <w:r>
              <w:rPr>
                <w:rFonts w:ascii="宋体" w:hAnsi="宋体" w:eastAsia="宋体"/>
                <w:sz w:val="16"/>
              </w:rPr>
              <w:t>=1300元/台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D7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6EE19">
            <w:pPr>
              <w:jc w:val="center"/>
            </w:pPr>
          </w:p>
        </w:tc>
      </w:tr>
      <w:tr w14:paraId="016AE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90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26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D7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96E5">
            <w:pPr>
              <w:jc w:val="center"/>
            </w:pPr>
            <w:r>
              <w:rPr>
                <w:rFonts w:ascii="宋体" w:hAnsi="宋体" w:eastAsia="宋体"/>
                <w:sz w:val="16"/>
              </w:rPr>
              <w:t>提高固定资产管理和监管效率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F39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8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26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66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C9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8C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ED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4C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0C6A7">
            <w:pPr>
              <w:jc w:val="center"/>
            </w:pPr>
          </w:p>
        </w:tc>
      </w:tr>
      <w:tr w14:paraId="1FB0D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1A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DB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CA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499C">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66A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1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9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9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3A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97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E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89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849B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BAC6F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2C8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78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055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57D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B007E3"/>
        </w:tc>
      </w:tr>
    </w:tbl>
    <w:p w14:paraId="691F6148">
      <w:r>
        <w:br w:type="page"/>
      </w:r>
    </w:p>
    <w:p w14:paraId="4A66848A">
      <w:pPr>
        <w:spacing w:line="640" w:lineRule="exact"/>
        <w:ind w:firstLine="640"/>
        <w:jc w:val="both"/>
        <w:outlineLvl w:val="2"/>
      </w:pPr>
      <w:r>
        <w:rPr>
          <w:rFonts w:ascii="黑体" w:hAnsi="黑体" w:eastAsia="黑体"/>
          <w:sz w:val="32"/>
        </w:rPr>
        <w:t>十二、其他需说明的事项</w:t>
      </w:r>
    </w:p>
    <w:p w14:paraId="026BA8EA">
      <w:pPr>
        <w:spacing w:line="580" w:lineRule="exact"/>
        <w:ind w:firstLine="640"/>
        <w:jc w:val="both"/>
      </w:pPr>
      <w:r>
        <w:rPr>
          <w:rFonts w:ascii="仿宋_GB2312" w:hAnsi="仿宋_GB2312" w:eastAsia="仿宋_GB2312"/>
          <w:b w:val="0"/>
          <w:sz w:val="32"/>
        </w:rPr>
        <w:t>本单位无其他需说明的事项。</w:t>
      </w:r>
    </w:p>
    <w:p w14:paraId="6099F738">
      <w:r>
        <w:br w:type="page"/>
      </w:r>
    </w:p>
    <w:p w14:paraId="6E6526DD">
      <w:pPr>
        <w:spacing w:line="240" w:lineRule="auto"/>
        <w:jc w:val="center"/>
        <w:outlineLvl w:val="1"/>
      </w:pPr>
      <w:r>
        <w:rPr>
          <w:rFonts w:ascii="黑体" w:hAnsi="黑体" w:eastAsia="黑体"/>
          <w:sz w:val="32"/>
        </w:rPr>
        <w:t>第三部分 专业名词解释</w:t>
      </w:r>
    </w:p>
    <w:p w14:paraId="3EC575E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8840A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7C33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8C081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578A8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57585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E3F3F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390AD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FDB1D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A7263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6115F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A5C2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ABA5C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CA03D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723CF4">
      <w:r>
        <w:br w:type="page"/>
      </w:r>
    </w:p>
    <w:p w14:paraId="074FD957">
      <w:pPr>
        <w:spacing w:line="240" w:lineRule="auto"/>
        <w:jc w:val="center"/>
        <w:outlineLvl w:val="1"/>
      </w:pPr>
      <w:r>
        <w:rPr>
          <w:rFonts w:ascii="黑体" w:hAnsi="黑体" w:eastAsia="黑体"/>
          <w:sz w:val="32"/>
        </w:rPr>
        <w:t>第四部分 部门决算报表（见附表）</w:t>
      </w:r>
    </w:p>
    <w:p w14:paraId="02542238">
      <w:pPr>
        <w:spacing w:line="240" w:lineRule="auto"/>
        <w:ind w:firstLine="640"/>
        <w:jc w:val="both"/>
      </w:pPr>
      <w:r>
        <w:rPr>
          <w:rFonts w:ascii="仿宋_GB2312" w:hAnsi="仿宋_GB2312" w:eastAsia="仿宋_GB2312"/>
          <w:b w:val="0"/>
          <w:sz w:val="32"/>
        </w:rPr>
        <w:t>一、《收入支出决算总表》</w:t>
      </w:r>
    </w:p>
    <w:p w14:paraId="7CCD85B5">
      <w:pPr>
        <w:spacing w:line="240" w:lineRule="auto"/>
        <w:ind w:firstLine="640"/>
        <w:jc w:val="both"/>
      </w:pPr>
      <w:r>
        <w:rPr>
          <w:rFonts w:ascii="仿宋_GB2312" w:hAnsi="仿宋_GB2312" w:eastAsia="仿宋_GB2312"/>
          <w:b w:val="0"/>
          <w:sz w:val="32"/>
        </w:rPr>
        <w:t>二、《收入决算表》</w:t>
      </w:r>
    </w:p>
    <w:p w14:paraId="1A03F413">
      <w:pPr>
        <w:spacing w:line="240" w:lineRule="auto"/>
        <w:ind w:firstLine="640"/>
        <w:jc w:val="both"/>
      </w:pPr>
      <w:r>
        <w:rPr>
          <w:rFonts w:ascii="仿宋_GB2312" w:hAnsi="仿宋_GB2312" w:eastAsia="仿宋_GB2312"/>
          <w:b w:val="0"/>
          <w:sz w:val="32"/>
        </w:rPr>
        <w:t>三、《支出决算表》</w:t>
      </w:r>
    </w:p>
    <w:p w14:paraId="07C104CF">
      <w:pPr>
        <w:spacing w:line="240" w:lineRule="auto"/>
        <w:ind w:firstLine="640"/>
        <w:jc w:val="both"/>
      </w:pPr>
      <w:r>
        <w:rPr>
          <w:rFonts w:ascii="仿宋_GB2312" w:hAnsi="仿宋_GB2312" w:eastAsia="仿宋_GB2312"/>
          <w:b w:val="0"/>
          <w:sz w:val="32"/>
        </w:rPr>
        <w:t>四、《财政拨款收入支出决算总表》</w:t>
      </w:r>
    </w:p>
    <w:p w14:paraId="530A77E6">
      <w:pPr>
        <w:spacing w:line="240" w:lineRule="auto"/>
        <w:ind w:firstLine="640"/>
        <w:jc w:val="both"/>
      </w:pPr>
      <w:r>
        <w:rPr>
          <w:rFonts w:ascii="仿宋_GB2312" w:hAnsi="仿宋_GB2312" w:eastAsia="仿宋_GB2312"/>
          <w:b w:val="0"/>
          <w:sz w:val="32"/>
        </w:rPr>
        <w:t>五、《一般公共预算财政拨款支出决算表》</w:t>
      </w:r>
    </w:p>
    <w:p w14:paraId="7AF1AC53">
      <w:pPr>
        <w:spacing w:line="240" w:lineRule="auto"/>
        <w:ind w:firstLine="640"/>
        <w:jc w:val="both"/>
      </w:pPr>
      <w:r>
        <w:rPr>
          <w:rFonts w:ascii="仿宋_GB2312" w:hAnsi="仿宋_GB2312" w:eastAsia="仿宋_GB2312"/>
          <w:b w:val="0"/>
          <w:sz w:val="32"/>
        </w:rPr>
        <w:t>六、《一般公共预算财政拨款基本支出决算表》</w:t>
      </w:r>
    </w:p>
    <w:p w14:paraId="278AD2CE">
      <w:pPr>
        <w:spacing w:line="240" w:lineRule="auto"/>
        <w:ind w:firstLine="640"/>
        <w:jc w:val="both"/>
      </w:pPr>
      <w:r>
        <w:rPr>
          <w:rFonts w:ascii="仿宋_GB2312" w:hAnsi="仿宋_GB2312" w:eastAsia="仿宋_GB2312"/>
          <w:b w:val="0"/>
          <w:sz w:val="32"/>
        </w:rPr>
        <w:t>七、《政府性基金预算财政拨款收入支出决算表》</w:t>
      </w:r>
    </w:p>
    <w:p w14:paraId="37C29D35">
      <w:pPr>
        <w:spacing w:line="240" w:lineRule="auto"/>
        <w:ind w:firstLine="640"/>
        <w:jc w:val="both"/>
      </w:pPr>
      <w:r>
        <w:rPr>
          <w:rFonts w:ascii="仿宋_GB2312" w:hAnsi="仿宋_GB2312" w:eastAsia="仿宋_GB2312"/>
          <w:b w:val="0"/>
          <w:sz w:val="32"/>
        </w:rPr>
        <w:t>八、《国有资本经营预算财政拨款收入支出决算表》</w:t>
      </w:r>
    </w:p>
    <w:p w14:paraId="522ED19C">
      <w:pPr>
        <w:spacing w:line="240" w:lineRule="auto"/>
        <w:ind w:firstLine="640"/>
        <w:jc w:val="both"/>
      </w:pPr>
      <w:r>
        <w:rPr>
          <w:rFonts w:ascii="仿宋_GB2312" w:hAnsi="仿宋_GB2312" w:eastAsia="仿宋_GB2312"/>
          <w:b w:val="0"/>
          <w:sz w:val="32"/>
        </w:rPr>
        <w:t>九、《财政拨款“三公”经费支出决算表》</w:t>
      </w:r>
    </w:p>
    <w:p w14:paraId="0310C8DC">
      <w:pPr>
        <w:spacing w:line="240" w:lineRule="auto"/>
        <w:ind w:firstLine="640"/>
        <w:jc w:val="both"/>
      </w:pPr>
    </w:p>
    <w:p w14:paraId="20EB8AC1">
      <w:pPr>
        <w:spacing w:line="240" w:lineRule="auto"/>
        <w:ind w:firstLine="640"/>
        <w:jc w:val="both"/>
      </w:pPr>
    </w:p>
    <w:p w14:paraId="2D9517BB">
      <w:pPr>
        <w:spacing w:line="240" w:lineRule="auto"/>
        <w:ind w:firstLine="640"/>
        <w:jc w:val="both"/>
      </w:pPr>
    </w:p>
    <w:p w14:paraId="3EA9830B">
      <w:pPr>
        <w:spacing w:line="240" w:lineRule="auto"/>
        <w:ind w:firstLine="640"/>
        <w:jc w:val="both"/>
      </w:pPr>
    </w:p>
    <w:p w14:paraId="1D22967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B01AEA"/>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9804E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5443</Words>
  <Characters>6180</Characters>
  <Lines>0</Lines>
  <Paragraphs>0</Paragraphs>
  <TotalTime>2</TotalTime>
  <ScaleCrop>false</ScaleCrop>
  <LinksUpToDate>false</LinksUpToDate>
  <CharactersWithSpaces>6188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