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岳普湖县机构编制委员会2024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973791A">
      <w:r>
        <w:br w:type="page"/>
      </w:r>
    </w:p>
    <w:p w14:paraId="2EE14AB8">
      <w:pPr>
        <w:spacing w:line="640" w:lineRule="exact"/>
        <w:jc w:val="center"/>
        <w:outlineLvl w:val="1"/>
      </w:pPr>
      <w:r>
        <w:rPr>
          <w:rFonts w:ascii="黑体" w:hAnsi="黑体" w:eastAsia="黑体"/>
          <w:sz w:val="32"/>
        </w:rPr>
        <w:t>第一部分 单位概况</w:t>
      </w:r>
    </w:p>
    <w:p w14:paraId="1D72308F">
      <w:pPr>
        <w:spacing w:line="640" w:lineRule="exact"/>
        <w:ind w:firstLine="640"/>
        <w:jc w:val="both"/>
        <w:outlineLvl w:val="2"/>
      </w:pPr>
      <w:r>
        <w:rPr>
          <w:rFonts w:ascii="黑体" w:hAnsi="黑体" w:eastAsia="黑体"/>
          <w:sz w:val="32"/>
        </w:rPr>
        <w:t>一、主要职能</w:t>
      </w:r>
    </w:p>
    <w:p w14:paraId="09493F85">
      <w:pPr>
        <w:spacing w:line="580" w:lineRule="exact"/>
        <w:ind w:firstLine="640"/>
        <w:jc w:val="both"/>
      </w:pPr>
      <w:r>
        <w:rPr>
          <w:rFonts w:ascii="仿宋_GB2312" w:hAnsi="仿宋_GB2312" w:eastAsia="仿宋_GB2312"/>
          <w:sz w:val="32"/>
        </w:rPr>
        <w:t>贯彻党中央、国务院、自治区党委、自治区人民政府、地委、行署关于行政管理体制改革、机构改革和机构编制管理的方针、政策、法规；研究拟定全县行政管理体制改革、机构改革和机构编制管理的意见，并组织实施。统一管理全县各级党政机关，人大、政协、各社会团体机关及事业单位的机构编制管理工作。研究拟定全县行政体制与机构改革的总体方案，并组织实施。审核全县党政机关，人大、政协、各社会团体机关的机构改革规定。负责全县党政机关，人大、政协，各社会团体机关机构设置、职能配置和人员编制、领导职数的核定。审核全县股级以上机构设置。研究拟定县事业单位分类改革方案和事业单位机构编制管理的政策、规定；审核县事业单位机构设置、职责任务和人员编制、领导职数的核定。贯彻落实《事业单位登记管理暂行条例》；研究制定全县事业单位登记管理办法，并组织实施；依法对全县事业单位登记管理工作进行监督检查。监督检查全县行政管理体制改革、机构改革以及机构编制执行情况，报告县委机构编制委员会。监督检查各级机构编制执行情况，查处违规行为；负责全县机关事业单位《机构编制管理证》的核发、年审、换证工作。承担全县机关事业单位财政统一发放工资的机构编制人员审核工作。负责全县机关、事业单位机构编制实名制管理工作。完成县委、县人民政府和县委机构编制委员会交办的其他工作任务。</w:t>
      </w:r>
    </w:p>
    <w:p w14:paraId="2FEAEF67">
      <w:pPr>
        <w:spacing w:line="640" w:lineRule="exact"/>
        <w:ind w:firstLine="640"/>
        <w:jc w:val="both"/>
        <w:outlineLvl w:val="2"/>
      </w:pPr>
      <w:r>
        <w:rPr>
          <w:rFonts w:ascii="黑体" w:hAnsi="黑体" w:eastAsia="黑体"/>
          <w:sz w:val="32"/>
        </w:rPr>
        <w:t>二、机构设置及人员情况</w:t>
      </w:r>
    </w:p>
    <w:p w14:paraId="2D2F0816">
      <w:pPr>
        <w:spacing w:line="580" w:lineRule="exact"/>
        <w:ind w:firstLine="640"/>
        <w:jc w:val="both"/>
      </w:pPr>
      <w:r>
        <w:rPr>
          <w:rFonts w:ascii="仿宋_GB2312" w:hAnsi="仿宋_GB2312" w:eastAsia="仿宋_GB2312"/>
          <w:sz w:val="32"/>
        </w:rPr>
        <w:t>岳普湖县机构编制委员会2024年度，实有人数13人，其中：在职人员8人，减少1人；离休人员0人，增加0人；退休人员5人,增加1人。</w:t>
      </w:r>
    </w:p>
    <w:p w14:paraId="2BCCEFCF">
      <w:pPr>
        <w:spacing w:line="580" w:lineRule="exact"/>
        <w:ind w:firstLine="640"/>
        <w:jc w:val="both"/>
      </w:pPr>
      <w:r>
        <w:rPr>
          <w:rFonts w:ascii="仿宋_GB2312" w:hAnsi="仿宋_GB2312" w:eastAsia="仿宋_GB2312"/>
          <w:sz w:val="32"/>
        </w:rPr>
        <w:t>岳普湖县机构编制委员会无下属预算单位，下设2个科室，分别是：综合办公室、机构编制室。</w:t>
      </w:r>
    </w:p>
    <w:p w14:paraId="5AD8AAAE">
      <w:r>
        <w:br w:type="page"/>
      </w:r>
    </w:p>
    <w:p w14:paraId="2FA6307B">
      <w:pPr>
        <w:spacing w:line="240" w:lineRule="auto"/>
        <w:jc w:val="center"/>
        <w:outlineLvl w:val="1"/>
      </w:pPr>
      <w:r>
        <w:rPr>
          <w:rFonts w:ascii="黑体" w:hAnsi="黑体" w:eastAsia="黑体"/>
          <w:sz w:val="32"/>
        </w:rPr>
        <w:t>第二部分 部门决算情况说明</w:t>
      </w:r>
    </w:p>
    <w:p w14:paraId="3ECF605E">
      <w:pPr>
        <w:spacing w:line="640" w:lineRule="exact"/>
        <w:ind w:firstLine="640"/>
        <w:jc w:val="both"/>
        <w:outlineLvl w:val="2"/>
      </w:pPr>
      <w:r>
        <w:rPr>
          <w:rFonts w:ascii="黑体" w:hAnsi="黑体" w:eastAsia="黑体"/>
          <w:sz w:val="32"/>
        </w:rPr>
        <w:t>一、收入支出决算总体情况说明</w:t>
      </w:r>
    </w:p>
    <w:p w14:paraId="151F0FCC">
      <w:pPr>
        <w:spacing w:line="580" w:lineRule="exact"/>
        <w:ind w:firstLine="640"/>
        <w:jc w:val="both"/>
      </w:pPr>
      <w:r>
        <w:rPr>
          <w:rFonts w:ascii="仿宋_GB2312" w:hAnsi="仿宋_GB2312" w:eastAsia="仿宋_GB2312"/>
          <w:b/>
          <w:sz w:val="32"/>
        </w:rPr>
        <w:t>2024年度收入总计162.44万元，</w:t>
      </w:r>
      <w:r>
        <w:rPr>
          <w:rFonts w:ascii="仿宋_GB2312" w:hAnsi="仿宋_GB2312" w:eastAsia="仿宋_GB2312"/>
          <w:b w:val="0"/>
          <w:sz w:val="32"/>
        </w:rPr>
        <w:t>其中：本年收入合计162.44万元，使用非财政拨款结余（含专用结余）0.00万元，年初结转和结余0.00万元。</w:t>
      </w:r>
    </w:p>
    <w:p w14:paraId="087F41E5">
      <w:pPr>
        <w:spacing w:line="580" w:lineRule="exact"/>
        <w:ind w:firstLine="640"/>
        <w:jc w:val="both"/>
      </w:pPr>
      <w:r>
        <w:rPr>
          <w:rFonts w:ascii="仿宋_GB2312" w:hAnsi="仿宋_GB2312" w:eastAsia="仿宋_GB2312"/>
          <w:b/>
          <w:sz w:val="32"/>
        </w:rPr>
        <w:t>2024年度支出总计162.44万元，</w:t>
      </w:r>
      <w:r>
        <w:rPr>
          <w:rFonts w:ascii="仿宋_GB2312" w:hAnsi="仿宋_GB2312" w:eastAsia="仿宋_GB2312"/>
          <w:b w:val="0"/>
          <w:sz w:val="32"/>
        </w:rPr>
        <w:t>其中：本年支出合计162.44万元，结余分配0.00万元，年末结转和结余0.00万元。</w:t>
      </w:r>
    </w:p>
    <w:p w14:paraId="5C076CD6">
      <w:pPr>
        <w:spacing w:line="580" w:lineRule="exact"/>
        <w:ind w:firstLine="640"/>
        <w:jc w:val="both"/>
      </w:pPr>
      <w:r>
        <w:rPr>
          <w:rFonts w:ascii="仿宋_GB2312" w:hAnsi="仿宋_GB2312" w:eastAsia="仿宋_GB2312"/>
          <w:b w:val="0"/>
          <w:sz w:val="32"/>
        </w:rPr>
        <w:t>收入支出总体与上年相比，增加14.99万元，增长10.17%，主要原因是：本年在职人员工资调薪，工资、公积金等相关人员经费增加。</w:t>
      </w:r>
    </w:p>
    <w:p w14:paraId="16AD39A3">
      <w:pPr>
        <w:spacing w:line="640" w:lineRule="exact"/>
        <w:ind w:firstLine="640"/>
        <w:jc w:val="both"/>
        <w:outlineLvl w:val="2"/>
      </w:pPr>
      <w:r>
        <w:rPr>
          <w:rFonts w:ascii="黑体" w:hAnsi="黑体" w:eastAsia="黑体"/>
          <w:sz w:val="32"/>
        </w:rPr>
        <w:t>二、收入决算情况说明</w:t>
      </w:r>
    </w:p>
    <w:p w14:paraId="492FF126">
      <w:pPr>
        <w:spacing w:line="580" w:lineRule="exact"/>
        <w:ind w:firstLine="640"/>
        <w:jc w:val="both"/>
      </w:pPr>
      <w:r>
        <w:rPr>
          <w:rFonts w:ascii="仿宋_GB2312" w:hAnsi="仿宋_GB2312" w:eastAsia="仿宋_GB2312"/>
          <w:b/>
          <w:sz w:val="32"/>
        </w:rPr>
        <w:t>本年收入162.44万元，</w:t>
      </w:r>
      <w:r>
        <w:rPr>
          <w:rFonts w:ascii="仿宋_GB2312" w:hAnsi="仿宋_GB2312" w:eastAsia="仿宋_GB2312"/>
          <w:b w:val="0"/>
          <w:sz w:val="32"/>
        </w:rPr>
        <w:t>其中：财政拨款收入162.44万元，占100.00%；上级补助收入0.00万元，占0.00%；事业收入0.00万元，占0.00%；经营收入0.00万元，占0.00%；附属单位上缴收入0.00万元，占0.00%；其他收入0.00万元，占0.00%。</w:t>
      </w:r>
    </w:p>
    <w:p w14:paraId="57768E3C">
      <w:pPr>
        <w:spacing w:line="640" w:lineRule="exact"/>
        <w:ind w:firstLine="640"/>
        <w:jc w:val="both"/>
        <w:outlineLvl w:val="2"/>
      </w:pPr>
      <w:r>
        <w:rPr>
          <w:rFonts w:ascii="黑体" w:hAnsi="黑体" w:eastAsia="黑体"/>
          <w:sz w:val="32"/>
        </w:rPr>
        <w:t>三、支出决算情况说明</w:t>
      </w:r>
    </w:p>
    <w:p w14:paraId="6D881009">
      <w:pPr>
        <w:spacing w:line="580" w:lineRule="exact"/>
        <w:ind w:firstLine="640"/>
        <w:jc w:val="both"/>
      </w:pPr>
      <w:r>
        <w:rPr>
          <w:rFonts w:ascii="仿宋_GB2312" w:hAnsi="仿宋_GB2312" w:eastAsia="仿宋_GB2312"/>
          <w:b/>
          <w:sz w:val="32"/>
        </w:rPr>
        <w:t>本年支出162.44万元，</w:t>
      </w:r>
      <w:r>
        <w:rPr>
          <w:rFonts w:ascii="仿宋_GB2312" w:hAnsi="仿宋_GB2312" w:eastAsia="仿宋_GB2312"/>
          <w:b w:val="0"/>
          <w:sz w:val="32"/>
        </w:rPr>
        <w:t>其中：基本支出162.44万元，占100.00%；项目支出0.00万元，占0.00%；上缴上级支出0.00万元，占0.00%；经营支出0.00万元，占0.00%；对附属单位补助支出0.00万元，占0.00%。</w:t>
      </w:r>
    </w:p>
    <w:p w14:paraId="57811BF5">
      <w:pPr>
        <w:spacing w:line="640" w:lineRule="exact"/>
        <w:ind w:firstLine="640"/>
        <w:jc w:val="both"/>
        <w:outlineLvl w:val="2"/>
      </w:pPr>
      <w:r>
        <w:rPr>
          <w:rFonts w:ascii="黑体" w:hAnsi="黑体" w:eastAsia="黑体"/>
          <w:sz w:val="32"/>
        </w:rPr>
        <w:t>四、财政拨款收入支出决算总体情况说明</w:t>
      </w:r>
    </w:p>
    <w:p w14:paraId="0D3684F5">
      <w:pPr>
        <w:spacing w:line="580" w:lineRule="exact"/>
        <w:ind w:firstLine="640"/>
        <w:jc w:val="both"/>
      </w:pPr>
      <w:r>
        <w:rPr>
          <w:rFonts w:ascii="仿宋_GB2312" w:hAnsi="仿宋_GB2312" w:eastAsia="仿宋_GB2312"/>
          <w:b/>
          <w:sz w:val="32"/>
        </w:rPr>
        <w:t>2024年度财政拨款收入总计162.44万元，</w:t>
      </w:r>
      <w:r>
        <w:rPr>
          <w:rFonts w:ascii="仿宋_GB2312" w:hAnsi="仿宋_GB2312" w:eastAsia="仿宋_GB2312"/>
          <w:b w:val="0"/>
          <w:sz w:val="32"/>
        </w:rPr>
        <w:t>其中：年初财政拨款结转和结余0.00万元，本年财政拨款收入162.44万元。</w:t>
      </w:r>
      <w:r>
        <w:rPr>
          <w:rFonts w:ascii="仿宋_GB2312" w:hAnsi="仿宋_GB2312" w:eastAsia="仿宋_GB2312"/>
          <w:b/>
          <w:sz w:val="32"/>
        </w:rPr>
        <w:t>财政拨款支出总计162.44万元，</w:t>
      </w:r>
      <w:r>
        <w:rPr>
          <w:rFonts w:ascii="仿宋_GB2312" w:hAnsi="仿宋_GB2312" w:eastAsia="仿宋_GB2312"/>
          <w:b w:val="0"/>
          <w:sz w:val="32"/>
        </w:rPr>
        <w:t>其中：年末财政拨款结转和结余0.00万元，本年财政拨款支出162.44万元。</w:t>
      </w:r>
    </w:p>
    <w:p w14:paraId="458EC42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增加14.99万元，增长10.17%，主要原因是：本年在职人员工资调薪，工资、公积金等相关人员经费增加。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年初预算数180.87万元，决算数162.44万元，预决算差异率-10.19%，主要原因是：本年在职人员减少，年中调减人员经费，导致预决算存在差异。</w:t>
      </w:r>
    </w:p>
    <w:p w14:paraId="299026B8">
      <w:pPr>
        <w:spacing w:line="640" w:lineRule="exact"/>
        <w:ind w:firstLine="640"/>
        <w:jc w:val="both"/>
        <w:outlineLvl w:val="2"/>
      </w:pPr>
      <w:r>
        <w:rPr>
          <w:rFonts w:ascii="黑体" w:hAnsi="黑体" w:eastAsia="黑体"/>
          <w:sz w:val="32"/>
        </w:rPr>
        <w:t>五、一般公共预算财政拨款支出决算情况说明</w:t>
      </w:r>
    </w:p>
    <w:p w14:paraId="54555BE9">
      <w:pPr>
        <w:spacing w:line="640" w:lineRule="exact"/>
        <w:ind w:firstLine="640"/>
        <w:jc w:val="both"/>
        <w:outlineLvl w:val="3"/>
      </w:pPr>
      <w:r>
        <w:rPr>
          <w:rFonts w:ascii="楷体_GB2312" w:hAnsi="楷体_GB2312" w:eastAsia="楷体_GB2312"/>
          <w:b/>
          <w:sz w:val="32"/>
        </w:rPr>
        <w:t>（一）一般公共预算财政拨款支出决算总体情况</w:t>
      </w:r>
    </w:p>
    <w:p w14:paraId="579AD3FB">
      <w:pPr>
        <w:spacing w:line="580" w:lineRule="exact"/>
        <w:ind w:firstLine="640"/>
        <w:jc w:val="both"/>
      </w:pPr>
      <w:r>
        <w:rPr>
          <w:rFonts w:ascii="仿宋_GB2312" w:hAnsi="仿宋_GB2312" w:eastAsia="仿宋_GB2312"/>
          <w:b/>
          <w:sz w:val="32"/>
        </w:rPr>
        <w:t>2024年度一般公共预算财政拨款支出162.44万元，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增加14.99万元，增长10.17%，主要原因是：本年在职人员工资调薪，工资、公积金等相关人员经费增加。</w:t>
      </w:r>
      <w:r>
        <w:rPr>
          <w:rFonts w:ascii="仿宋_GB2312" w:hAnsi="仿宋_GB2312" w:eastAsia="仿宋_GB2312"/>
          <w:b/>
          <w:sz w:val="32"/>
        </w:rPr>
        <w:t>与年初预算相比,</w:t>
      </w:r>
      <w:r>
        <w:rPr>
          <w:rFonts w:ascii="仿宋_GB2312" w:hAnsi="仿宋_GB2312" w:eastAsia="仿宋_GB2312"/>
          <w:b w:val="0"/>
          <w:sz w:val="32"/>
        </w:rPr>
        <w:t>年初预算数180.87万元，决算数162.44万元，预决算差异率-10.19%，主要原因是：本年在职人员减少，年中调减人员经费，导致预决算存在差异。</w:t>
      </w:r>
    </w:p>
    <w:p w14:paraId="234B0281">
      <w:pPr>
        <w:spacing w:line="640" w:lineRule="exact"/>
        <w:ind w:firstLine="640"/>
        <w:jc w:val="both"/>
        <w:outlineLvl w:val="3"/>
      </w:pPr>
      <w:r>
        <w:rPr>
          <w:rFonts w:ascii="楷体_GB2312" w:hAnsi="楷体_GB2312" w:eastAsia="楷体_GB2312"/>
          <w:b/>
          <w:sz w:val="32"/>
        </w:rPr>
        <w:t>（二）一般公共预算财政拨款支出决算结构情况</w:t>
      </w:r>
    </w:p>
    <w:p w14:paraId="04AE439A">
      <w:pPr>
        <w:spacing w:line="580" w:lineRule="exact"/>
        <w:ind w:firstLine="640"/>
        <w:jc w:val="both"/>
      </w:pPr>
      <w:r>
        <w:rPr>
          <w:rFonts w:ascii="仿宋_GB2312" w:hAnsi="仿宋_GB2312" w:eastAsia="仿宋_GB2312"/>
          <w:b w:val="0"/>
          <w:sz w:val="32"/>
        </w:rPr>
        <w:t>1.一般公共服务支出(类)123.51万元,占76.03%。</w:t>
      </w:r>
    </w:p>
    <w:p w14:paraId="3563A475">
      <w:pPr>
        <w:spacing w:line="580" w:lineRule="exact"/>
        <w:ind w:firstLine="640"/>
        <w:jc w:val="both"/>
      </w:pPr>
      <w:r>
        <w:rPr>
          <w:rFonts w:ascii="仿宋_GB2312" w:hAnsi="仿宋_GB2312" w:eastAsia="仿宋_GB2312"/>
          <w:b w:val="0"/>
          <w:sz w:val="32"/>
        </w:rPr>
        <w:t>2.社会保障和就业支出(类)19.65万元,占12.10%。</w:t>
      </w:r>
    </w:p>
    <w:p w14:paraId="4844C26D">
      <w:pPr>
        <w:spacing w:line="580" w:lineRule="exact"/>
        <w:ind w:firstLine="640"/>
        <w:jc w:val="both"/>
      </w:pPr>
      <w:r>
        <w:rPr>
          <w:rFonts w:ascii="仿宋_GB2312" w:hAnsi="仿宋_GB2312" w:eastAsia="仿宋_GB2312"/>
          <w:b w:val="0"/>
          <w:sz w:val="32"/>
        </w:rPr>
        <w:t>3.卫生健康支出(类)7.77万元,占4.78%。</w:t>
      </w:r>
    </w:p>
    <w:p w14:paraId="6A16BFD6">
      <w:pPr>
        <w:spacing w:line="580" w:lineRule="exact"/>
        <w:ind w:firstLine="640"/>
        <w:jc w:val="both"/>
      </w:pPr>
      <w:r>
        <w:rPr>
          <w:rFonts w:ascii="仿宋_GB2312" w:hAnsi="仿宋_GB2312" w:eastAsia="仿宋_GB2312"/>
          <w:b w:val="0"/>
          <w:sz w:val="32"/>
        </w:rPr>
        <w:t>4.住房保障支出(类)11.51万元,占7.09%。</w:t>
      </w:r>
    </w:p>
    <w:p w14:paraId="7E6D635D">
      <w:pPr>
        <w:spacing w:line="640" w:lineRule="exact"/>
        <w:ind w:firstLine="640"/>
        <w:jc w:val="both"/>
        <w:outlineLvl w:val="3"/>
      </w:pPr>
      <w:r>
        <w:rPr>
          <w:rFonts w:ascii="楷体_GB2312" w:hAnsi="楷体_GB2312" w:eastAsia="楷体_GB2312"/>
          <w:b/>
          <w:sz w:val="32"/>
        </w:rPr>
        <w:t>（三）一般公共预算财政拨款支出决算具体情况</w:t>
      </w:r>
    </w:p>
    <w:p w14:paraId="0EF4F034">
      <w:pPr>
        <w:spacing w:line="580" w:lineRule="exact"/>
        <w:ind w:firstLine="640"/>
        <w:jc w:val="both"/>
      </w:pPr>
      <w:r>
        <w:rPr>
          <w:rFonts w:ascii="仿宋_GB2312" w:hAnsi="仿宋_GB2312" w:eastAsia="仿宋_GB2312"/>
          <w:b w:val="0"/>
          <w:sz w:val="32"/>
        </w:rPr>
        <w:t>1.一般公共服务支出(类)党委办公厅（室）及相关机构事务(款)行政运行(项):支出决算数为123.51万元，比上年决算增加10.87万元，增长9.65%,主要原因是：本年在职人员工资调薪，工资等相关人员经费增加。</w:t>
      </w:r>
    </w:p>
    <w:p w14:paraId="75D65A95">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2.社会保障和就业支出(类)行政事业单位养老支出(款)行政单位离退休(项):支出决算数为5.53万元，比上年决算增加0.84万元，增长17.91%,主要原因是：本年补发退休人员绩效，导致退休费较上年增加。</w:t>
      </w:r>
    </w:p>
    <w:p w14:paraId="227C95F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3.社会保障和就业支出(类)行政事业单位养老支出(款)机关事业单位基本养老保险缴费支出(项):支出决算数为14.13万元，比上年决算增加2.22万元，增长18.64%,主要原因是：本年在职人员调薪，养老保险缴费增加。</w:t>
      </w:r>
    </w:p>
    <w:p w14:paraId="10A99A38">
      <w:pPr>
        <w:spacing w:line="580" w:lineRule="exact"/>
        <w:ind w:firstLine="640"/>
        <w:jc w:val="both"/>
      </w:pPr>
      <w:r>
        <w:rPr>
          <w:rFonts w:ascii="仿宋_GB2312" w:hAnsi="仿宋_GB2312" w:eastAsia="仿宋_GB2312"/>
          <w:b w:val="0"/>
          <w:sz w:val="32"/>
        </w:rPr>
        <w:t>4.卫生健康支出(类)行政事业单位医疗(款)行政单位医疗(项):支出决算数为6.00万元，比上年决算减少0.66万元，下降9.91%,主要原因是：本年在职人员减少，医疗保险缴费减少。</w:t>
      </w:r>
    </w:p>
    <w:p w14:paraId="777B2A57">
      <w:pPr>
        <w:spacing w:line="580" w:lineRule="exact"/>
        <w:ind w:firstLine="640"/>
        <w:jc w:val="both"/>
      </w:pPr>
      <w:r>
        <w:rPr>
          <w:rFonts w:ascii="仿宋_GB2312" w:hAnsi="仿宋_GB2312" w:eastAsia="仿宋_GB2312"/>
          <w:b w:val="0"/>
          <w:sz w:val="32"/>
        </w:rPr>
        <w:t>5.卫生健康支出(类)行政事业单位医疗(款)公务员医疗补助(项):支出决算数为1.77万元，比上年决算减少0.20万元，下降10.15%,主要原因是：本年在职人员减少，医疗保险缴费减少。</w:t>
      </w:r>
    </w:p>
    <w:p w14:paraId="5B3031CF">
      <w:pPr>
        <w:spacing w:line="580" w:lineRule="exact"/>
        <w:ind w:firstLine="640"/>
        <w:jc w:val="both"/>
      </w:pPr>
      <w:r>
        <w:rPr>
          <w:rFonts w:ascii="仿宋_GB2312" w:hAnsi="仿宋_GB2312" w:eastAsia="仿宋_GB2312"/>
          <w:b w:val="0"/>
          <w:sz w:val="32"/>
        </w:rPr>
        <w:t>6.住房保障支出(类)住房改革支出(款)住房公积金(项):支出决算数为11.51万元，比上年决算增加1.92万元，增长20.02%,主要原因是：本年在职人员调薪，住房公积金缴费增加。</w:t>
      </w:r>
    </w:p>
    <w:p w14:paraId="40BBC327">
      <w:pPr>
        <w:spacing w:line="640" w:lineRule="exact"/>
        <w:ind w:firstLine="640"/>
        <w:jc w:val="both"/>
        <w:outlineLvl w:val="2"/>
      </w:pPr>
      <w:r>
        <w:rPr>
          <w:rFonts w:ascii="黑体" w:hAnsi="黑体" w:eastAsia="黑体"/>
          <w:sz w:val="32"/>
        </w:rPr>
        <w:t>六、一般公共预算财政拨款基本支出决算情况说明</w:t>
      </w:r>
    </w:p>
    <w:p w14:paraId="0D1B3343">
      <w:pPr>
        <w:spacing w:line="580" w:lineRule="exact"/>
        <w:ind w:firstLine="640"/>
        <w:jc w:val="both"/>
      </w:pPr>
      <w:r>
        <w:rPr>
          <w:rFonts w:ascii="仿宋_GB2312" w:hAnsi="仿宋_GB2312" w:eastAsia="仿宋_GB2312"/>
          <w:b w:val="0"/>
          <w:sz w:val="32"/>
        </w:rPr>
        <w:t>2024年度一般公共预算财政拨款基本支出162.44万元，其中：</w:t>
      </w:r>
      <w:r>
        <w:rPr>
          <w:rFonts w:ascii="仿宋_GB2312" w:hAnsi="仿宋_GB2312" w:eastAsia="仿宋_GB2312"/>
          <w:b/>
          <w:sz w:val="32"/>
        </w:rPr>
        <w:t>人员经费156.47万元，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14:paraId="38DC17CB">
      <w:pPr>
        <w:spacing w:line="580" w:lineRule="exact"/>
        <w:ind w:firstLine="640"/>
        <w:jc w:val="both"/>
      </w:pPr>
      <w:r>
        <w:rPr>
          <w:rFonts w:ascii="仿宋_GB2312" w:hAnsi="仿宋_GB2312" w:eastAsia="仿宋_GB2312"/>
          <w:b/>
          <w:sz w:val="32"/>
        </w:rPr>
        <w:t>公用经费5.98万元，</w:t>
      </w:r>
      <w:r>
        <w:rPr>
          <w:rFonts w:ascii="仿宋_GB2312" w:hAnsi="仿宋_GB2312" w:eastAsia="仿宋_GB2312"/>
          <w:b w:val="0"/>
          <w:sz w:val="32"/>
        </w:rPr>
        <w:t>包括：办公费、邮电费、物业管理费、差旅费、劳务费、公务用车运行维护费、其他商品和服务支出。</w:t>
      </w:r>
    </w:p>
    <w:p w14:paraId="637279D3">
      <w:pPr>
        <w:spacing w:line="640" w:lineRule="exact"/>
        <w:ind w:firstLine="640"/>
        <w:jc w:val="both"/>
        <w:outlineLvl w:val="2"/>
      </w:pPr>
      <w:r>
        <w:rPr>
          <w:rFonts w:ascii="黑体" w:hAnsi="黑体" w:eastAsia="黑体"/>
          <w:sz w:val="32"/>
        </w:rPr>
        <w:t>七、政府性基金预算财政拨款收入支出决算情况说明</w:t>
      </w:r>
    </w:p>
    <w:p w14:paraId="6D26209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D81822A">
      <w:pPr>
        <w:spacing w:line="640" w:lineRule="exact"/>
        <w:ind w:firstLine="640"/>
        <w:jc w:val="both"/>
        <w:outlineLvl w:val="2"/>
      </w:pPr>
      <w:r>
        <w:rPr>
          <w:rFonts w:ascii="黑体" w:hAnsi="黑体" w:eastAsia="黑体"/>
          <w:sz w:val="32"/>
        </w:rPr>
        <w:t>八、国有资本经营预算财政拨款收入支出决算情况说明</w:t>
      </w:r>
    </w:p>
    <w:p w14:paraId="612738C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20AA9A9">
      <w:pPr>
        <w:spacing w:line="640" w:lineRule="exact"/>
        <w:ind w:firstLine="640"/>
        <w:jc w:val="both"/>
        <w:outlineLvl w:val="2"/>
      </w:pPr>
      <w:r>
        <w:rPr>
          <w:rFonts w:ascii="黑体" w:hAnsi="黑体" w:eastAsia="黑体"/>
          <w:sz w:val="32"/>
        </w:rPr>
        <w:t>九、财政拨款“三公”经费支出决算情况说明</w:t>
      </w:r>
    </w:p>
    <w:p w14:paraId="72C72C11">
      <w:pPr>
        <w:spacing w:line="580" w:lineRule="exact"/>
        <w:ind w:firstLine="640"/>
        <w:jc w:val="both"/>
      </w:pPr>
      <w:r>
        <w:rPr>
          <w:rFonts w:ascii="仿宋_GB2312" w:hAnsi="仿宋_GB2312" w:eastAsia="仿宋_GB2312"/>
          <w:b/>
          <w:sz w:val="32"/>
        </w:rPr>
        <w:t>2024年度财政拨款“三公”经费支出2.50万元，</w:t>
      </w:r>
      <w:r>
        <w:rPr>
          <w:rFonts w:ascii="仿宋_GB2312" w:hAnsi="仿宋_GB2312" w:eastAsia="仿宋_GB2312"/>
          <w:b w:val="0"/>
          <w:sz w:val="32"/>
        </w:rPr>
        <w:t>比上年增加2.45万元，增长4,900.00%，主要原因是：本年</w:t>
      </w:r>
      <w:r>
        <w:rPr>
          <w:rFonts w:hint="eastAsia" w:ascii="仿宋_GB2312" w:hAnsi="仿宋_GB2312" w:eastAsia="仿宋_GB2312"/>
          <w:b w:val="0"/>
          <w:sz w:val="32"/>
          <w:lang w:val="en-US" w:eastAsia="zh-CN"/>
        </w:rPr>
        <w:t>车辆老化</w:t>
      </w:r>
      <w:r>
        <w:rPr>
          <w:rFonts w:ascii="仿宋_GB2312" w:hAnsi="仿宋_GB2312" w:eastAsia="仿宋_GB2312"/>
          <w:b w:val="0"/>
          <w:sz w:val="32"/>
        </w:rPr>
        <w:t>，维修维护成本增加，导致公务用车运行维护费较上年增加。其中：因公出国（境）费支出0.00万元，占0.00%，比上年增加0.00万元，增长0.00%，主要原因是：2023年与2024年均未安排因公出国（境）费支出。公务用车购置及运行维护费支出2.50万元，占100.00%，比上年增加2.50万元，增长100.00%，主要原因是：本年</w:t>
      </w:r>
      <w:r>
        <w:rPr>
          <w:rFonts w:hint="eastAsia" w:ascii="仿宋_GB2312" w:hAnsi="仿宋_GB2312" w:eastAsia="仿宋_GB2312"/>
          <w:b w:val="0"/>
          <w:sz w:val="32"/>
          <w:lang w:val="en-US" w:eastAsia="zh-CN"/>
        </w:rPr>
        <w:t>车辆老化</w:t>
      </w:r>
      <w:bookmarkStart w:id="0" w:name="_GoBack"/>
      <w:bookmarkEnd w:id="0"/>
      <w:r>
        <w:rPr>
          <w:rFonts w:ascii="仿宋_GB2312" w:hAnsi="仿宋_GB2312" w:eastAsia="仿宋_GB2312"/>
          <w:b w:val="0"/>
          <w:sz w:val="32"/>
        </w:rPr>
        <w:t>，维修维护成本增加，导致公务用车运行维护费较上年增加。公务接待费支出0.00万元，占0.00%，比上年减少0.05万元，下降100.00%，主要原因是：严格落实中央八项规定精神，厉行节约，减少公务接待费。</w:t>
      </w:r>
    </w:p>
    <w:p w14:paraId="51981AAC">
      <w:pPr>
        <w:spacing w:line="580" w:lineRule="exact"/>
        <w:ind w:firstLine="640"/>
        <w:jc w:val="both"/>
      </w:pPr>
      <w:r>
        <w:rPr>
          <w:rFonts w:ascii="仿宋_GB2312" w:hAnsi="仿宋_GB2312" w:eastAsia="仿宋_GB2312"/>
          <w:b/>
          <w:sz w:val="32"/>
        </w:rPr>
        <w:t>具体情况如下：</w:t>
      </w:r>
    </w:p>
    <w:p w14:paraId="1989706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8DE6282">
      <w:pPr>
        <w:spacing w:line="580" w:lineRule="exact"/>
        <w:ind w:firstLine="640"/>
        <w:jc w:val="both"/>
      </w:pPr>
      <w:r>
        <w:rPr>
          <w:rFonts w:ascii="仿宋_GB2312" w:hAnsi="仿宋_GB2312" w:eastAsia="仿宋_GB2312"/>
          <w:b w:val="0"/>
          <w:sz w:val="32"/>
        </w:rPr>
        <w:t>公务用车购置及运行维护费2.50万元，其中：公务用车购置费0.00万元，公务用车运行维护费2.50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19000EB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8B8051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2.50万元，决算数2.50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2.50万元，决算数2.50万元，预决算差异率0.00%，主要原因是：严格按照预算执行，预决算无差异。公务接待费全年预算数0.00万元，决算数0.00万元，预决算差异率0.00%，主要原因是：本单位无公务接待费。</w:t>
      </w:r>
    </w:p>
    <w:p w14:paraId="49590F2D">
      <w:pPr>
        <w:spacing w:line="640" w:lineRule="exact"/>
        <w:ind w:firstLine="640"/>
        <w:jc w:val="both"/>
        <w:outlineLvl w:val="2"/>
      </w:pPr>
      <w:r>
        <w:rPr>
          <w:rFonts w:ascii="黑体" w:hAnsi="黑体" w:eastAsia="黑体"/>
          <w:sz w:val="32"/>
        </w:rPr>
        <w:t>十、其他重要事项的情况说明</w:t>
      </w:r>
    </w:p>
    <w:p w14:paraId="7F12F277">
      <w:pPr>
        <w:spacing w:line="640" w:lineRule="exact"/>
        <w:ind w:firstLine="640"/>
        <w:jc w:val="both"/>
        <w:outlineLvl w:val="3"/>
      </w:pPr>
      <w:r>
        <w:rPr>
          <w:rFonts w:ascii="楷体_GB2312" w:hAnsi="楷体_GB2312" w:eastAsia="楷体_GB2312"/>
          <w:b/>
          <w:sz w:val="32"/>
        </w:rPr>
        <w:t>（一）机关运行经费及公用经费支出情况</w:t>
      </w:r>
    </w:p>
    <w:p w14:paraId="171589D8">
      <w:pPr>
        <w:spacing w:line="580" w:lineRule="exact"/>
        <w:ind w:firstLine="640"/>
        <w:jc w:val="both"/>
      </w:pPr>
      <w:r>
        <w:rPr>
          <w:rFonts w:ascii="仿宋_GB2312" w:hAnsi="仿宋_GB2312" w:eastAsia="仿宋_GB2312"/>
          <w:b w:val="0"/>
          <w:sz w:val="32"/>
        </w:rPr>
        <w:t>2024年度岳普湖县机构编制委员会（行政单位和参照公务员法管理事业单位）机关运行经费支出5.98万元，比上年增加3.62万元，增长153.39%，主要原因是：本年调拨公务用车，维修维护成本增加，导致机关运行经费较上年增加。</w:t>
      </w:r>
    </w:p>
    <w:p w14:paraId="353F77D6">
      <w:pPr>
        <w:spacing w:line="640" w:lineRule="exact"/>
        <w:ind w:firstLine="640"/>
        <w:jc w:val="both"/>
        <w:outlineLvl w:val="3"/>
      </w:pPr>
      <w:r>
        <w:rPr>
          <w:rFonts w:ascii="楷体_GB2312" w:hAnsi="楷体_GB2312" w:eastAsia="楷体_GB2312"/>
          <w:b/>
          <w:sz w:val="32"/>
        </w:rPr>
        <w:t>（二）政府采购情况</w:t>
      </w:r>
    </w:p>
    <w:p w14:paraId="0254B132">
      <w:pPr>
        <w:spacing w:line="580" w:lineRule="exact"/>
        <w:ind w:firstLine="640"/>
        <w:jc w:val="both"/>
      </w:pPr>
      <w:r>
        <w:rPr>
          <w:rFonts w:ascii="仿宋_GB2312" w:hAnsi="仿宋_GB2312" w:eastAsia="仿宋_GB2312"/>
          <w:b w:val="0"/>
          <w:sz w:val="32"/>
        </w:rPr>
        <w:t>2024年度政府采购支出总额1.76万元，其中：政府采购货物支出0.12万元、政府采购工程支出0.00万元、政府采购服务支出1.64万元。</w:t>
      </w:r>
    </w:p>
    <w:p w14:paraId="4C8441B5">
      <w:pPr>
        <w:spacing w:line="580" w:lineRule="exact"/>
        <w:ind w:firstLine="640"/>
        <w:jc w:val="both"/>
      </w:pPr>
      <w:r>
        <w:rPr>
          <w:rFonts w:ascii="仿宋_GB2312" w:hAnsi="仿宋_GB2312" w:eastAsia="仿宋_GB2312"/>
          <w:b w:val="0"/>
          <w:sz w:val="32"/>
        </w:rPr>
        <w:t>授予中小企业合同金额1.76万元，占政府采购支出总额的100.00%，其中：授予小微企业合同金额1.64万元，占政府采购支出总额的93.18%。</w:t>
      </w:r>
    </w:p>
    <w:p w14:paraId="722FC77F">
      <w:pPr>
        <w:spacing w:line="640" w:lineRule="exact"/>
        <w:ind w:firstLine="640"/>
        <w:jc w:val="both"/>
        <w:outlineLvl w:val="3"/>
      </w:pPr>
      <w:r>
        <w:rPr>
          <w:rFonts w:ascii="楷体_GB2312" w:hAnsi="楷体_GB2312" w:eastAsia="楷体_GB2312"/>
          <w:b/>
          <w:sz w:val="32"/>
        </w:rPr>
        <w:t>（三）国有资产占用情况说明</w:t>
      </w:r>
    </w:p>
    <w:p w14:paraId="7686F268">
      <w:pPr>
        <w:spacing w:line="580" w:lineRule="exact"/>
        <w:ind w:firstLine="640"/>
        <w:jc w:val="both"/>
      </w:pPr>
      <w:r>
        <w:rPr>
          <w:rFonts w:ascii="仿宋_GB2312" w:hAnsi="仿宋_GB2312" w:eastAsia="仿宋_GB2312"/>
          <w:b w:val="0"/>
          <w:sz w:val="32"/>
        </w:rPr>
        <w:t>截至2024年12月31日，房屋0.00平方米，价值0.00万元。车辆1辆，价值10.78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2E14E7A2">
      <w:pPr>
        <w:spacing w:line="640" w:lineRule="exact"/>
        <w:ind w:firstLine="640"/>
        <w:jc w:val="both"/>
        <w:outlineLvl w:val="2"/>
      </w:pPr>
      <w:r>
        <w:rPr>
          <w:rFonts w:ascii="黑体" w:hAnsi="黑体" w:eastAsia="黑体"/>
          <w:sz w:val="32"/>
        </w:rPr>
        <w:t>十一、预算绩效的情况说明</w:t>
      </w:r>
    </w:p>
    <w:p w14:paraId="06288DB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162.44万元，实际执行总额162.44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无预算绩效项目自评表。具体附整体支出绩效自评表。</w:t>
      </w:r>
    </w:p>
    <w:p w14:paraId="30BEE31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256"/>
        <w:gridCol w:w="710"/>
        <w:gridCol w:w="983"/>
        <w:gridCol w:w="983"/>
        <w:gridCol w:w="983"/>
        <w:gridCol w:w="983"/>
        <w:gridCol w:w="983"/>
      </w:tblGrid>
      <w:tr w14:paraId="4B5558C6">
        <w:tc>
          <w:tcPr>
            <w:tcW w:w="8847" w:type="dxa"/>
            <w:gridSpan w:val="9"/>
            <w:vAlign w:val="center"/>
          </w:tcPr>
          <w:p w14:paraId="6857A322">
            <w:pPr>
              <w:jc w:val="center"/>
            </w:pPr>
            <w:r>
              <w:rPr>
                <w:rFonts w:ascii="宋体" w:hAnsi="宋体" w:eastAsia="宋体"/>
                <w:sz w:val="24"/>
              </w:rPr>
              <w:t>单位整体支出绩效自评表</w:t>
            </w:r>
          </w:p>
        </w:tc>
      </w:tr>
      <w:tr w14:paraId="452F6CA2">
        <w:tblPrEx>
          <w:tblCellMar>
            <w:top w:w="0" w:type="dxa"/>
            <w:left w:w="108" w:type="dxa"/>
            <w:bottom w:w="0" w:type="dxa"/>
            <w:right w:w="108" w:type="dxa"/>
          </w:tblCellMar>
        </w:tblPrEx>
        <w:tc>
          <w:tcPr>
            <w:tcW w:w="8847" w:type="dxa"/>
            <w:gridSpan w:val="9"/>
            <w:vAlign w:val="center"/>
          </w:tcPr>
          <w:p w14:paraId="029CCBB8">
            <w:pPr>
              <w:jc w:val="center"/>
            </w:pPr>
            <w:r>
              <w:rPr>
                <w:rFonts w:ascii="宋体" w:hAnsi="宋体" w:eastAsia="宋体"/>
                <w:sz w:val="24"/>
              </w:rPr>
              <w:t>（2024年度）</w:t>
            </w:r>
          </w:p>
        </w:tc>
      </w:tr>
      <w:tr w14:paraId="59E0630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2ED3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674E39">
            <w:pPr>
              <w:jc w:val="center"/>
            </w:pPr>
            <w:r>
              <w:rPr>
                <w:rFonts w:ascii="宋体" w:hAnsi="宋体" w:eastAsia="宋体"/>
                <w:sz w:val="16"/>
              </w:rPr>
              <w:t>岳普湖县机构编制委员会</w:t>
            </w:r>
          </w:p>
        </w:tc>
      </w:tr>
      <w:tr w14:paraId="3F36DD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25ACF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1FB33">
            <w:pPr>
              <w:jc w:val="center"/>
            </w:pPr>
            <w:r>
              <w:rPr>
                <w:rFonts w:ascii="宋体" w:hAnsi="宋体" w:eastAsia="宋体"/>
                <w:sz w:val="16"/>
              </w:rPr>
              <w:t>资金来源</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49F70822">
            <w:pPr>
              <w:jc w:val="center"/>
            </w:pPr>
            <w:r>
              <w:rPr>
                <w:rFonts w:ascii="宋体" w:hAnsi="宋体" w:eastAsia="宋体"/>
                <w:sz w:val="16"/>
              </w:rPr>
              <w:t>年初预算数</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502E1CB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EDA4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7959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9D2D4">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2FDD8">
            <w:pPr>
              <w:jc w:val="center"/>
            </w:pPr>
            <w:r>
              <w:rPr>
                <w:rFonts w:ascii="宋体" w:hAnsi="宋体" w:eastAsia="宋体"/>
                <w:sz w:val="16"/>
              </w:rPr>
              <w:t>得分</w:t>
            </w:r>
          </w:p>
        </w:tc>
      </w:tr>
      <w:tr w14:paraId="20C2A1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687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2BA62">
            <w:pPr>
              <w:jc w:val="center"/>
            </w:pPr>
            <w:r>
              <w:rPr>
                <w:rFonts w:ascii="宋体" w:hAnsi="宋体" w:eastAsia="宋体"/>
                <w:sz w:val="16"/>
              </w:rPr>
              <w:t>年度总资金：</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24353B32">
            <w:pPr>
              <w:jc w:val="center"/>
            </w:pPr>
            <w:r>
              <w:rPr>
                <w:rFonts w:ascii="宋体" w:hAnsi="宋体" w:eastAsia="宋体"/>
                <w:sz w:val="16"/>
              </w:rPr>
              <w:t>180.87</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022573A">
            <w:pPr>
              <w:jc w:val="center"/>
            </w:pPr>
            <w:r>
              <w:rPr>
                <w:rFonts w:ascii="宋体" w:hAnsi="宋体" w:eastAsia="宋体"/>
                <w:sz w:val="16"/>
              </w:rPr>
              <w:t>162.44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451D4">
            <w:pPr>
              <w:jc w:val="center"/>
            </w:pPr>
            <w:r>
              <w:rPr>
                <w:rFonts w:ascii="宋体" w:hAnsi="宋体" w:eastAsia="宋体"/>
                <w:sz w:val="16"/>
              </w:rPr>
              <w:t>162.44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381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DC43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CFC6E">
            <w:pPr>
              <w:jc w:val="center"/>
            </w:pPr>
            <w:r>
              <w:rPr>
                <w:rFonts w:ascii="宋体" w:hAnsi="宋体" w:eastAsia="宋体"/>
                <w:sz w:val="16"/>
              </w:rPr>
              <w:t>10</w:t>
            </w:r>
          </w:p>
        </w:tc>
      </w:tr>
      <w:tr w14:paraId="008AF0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AA28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FAD32">
            <w:pPr>
              <w:jc w:val="center"/>
            </w:pPr>
            <w:r>
              <w:rPr>
                <w:rFonts w:ascii="宋体" w:hAnsi="宋体" w:eastAsia="宋体"/>
                <w:sz w:val="16"/>
              </w:rPr>
              <w:t>上级资金：</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59E4E1BC">
            <w:pPr>
              <w:jc w:val="center"/>
            </w:pPr>
            <w:r>
              <w:rPr>
                <w:rFonts w:ascii="宋体" w:hAnsi="宋体" w:eastAsia="宋体"/>
                <w:sz w:val="16"/>
              </w:rPr>
              <w:t>0.00</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58B23C0">
            <w:pPr>
              <w:jc w:val="center"/>
            </w:pPr>
            <w:r>
              <w:rPr>
                <w:rFonts w:ascii="宋体" w:hAnsi="宋体" w:eastAsia="宋体"/>
                <w:sz w:val="16"/>
              </w:rPr>
              <w:t>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4BE2F">
            <w:pPr>
              <w:jc w:val="center"/>
            </w:pPr>
            <w:r>
              <w:rPr>
                <w:rFonts w:ascii="宋体" w:hAnsi="宋体" w:eastAsia="宋体"/>
                <w:sz w:val="16"/>
              </w:rPr>
              <w:t>1.98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3BC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6214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12DB9">
            <w:pPr>
              <w:jc w:val="center"/>
            </w:pPr>
            <w:r>
              <w:rPr>
                <w:rFonts w:ascii="宋体" w:hAnsi="宋体" w:eastAsia="宋体"/>
                <w:sz w:val="16"/>
              </w:rPr>
              <w:t>—</w:t>
            </w:r>
          </w:p>
        </w:tc>
      </w:tr>
      <w:tr w14:paraId="635CA2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BF0A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7E0F8">
            <w:pPr>
              <w:jc w:val="center"/>
            </w:pPr>
            <w:r>
              <w:rPr>
                <w:rFonts w:ascii="宋体" w:hAnsi="宋体" w:eastAsia="宋体"/>
                <w:sz w:val="16"/>
              </w:rPr>
              <w:t>本级资金：</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1A312FBA">
            <w:pPr>
              <w:jc w:val="center"/>
            </w:pPr>
            <w:r>
              <w:rPr>
                <w:rFonts w:ascii="宋体" w:hAnsi="宋体" w:eastAsia="宋体"/>
                <w:sz w:val="16"/>
              </w:rPr>
              <w:t>180.87</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5AB5AA84">
            <w:pPr>
              <w:jc w:val="center"/>
            </w:pPr>
            <w:r>
              <w:rPr>
                <w:rFonts w:ascii="宋体" w:hAnsi="宋体" w:eastAsia="宋体"/>
                <w:sz w:val="16"/>
              </w:rPr>
              <w:t>160.46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D5D07">
            <w:pPr>
              <w:jc w:val="center"/>
            </w:pPr>
            <w:r>
              <w:rPr>
                <w:rFonts w:ascii="宋体" w:hAnsi="宋体" w:eastAsia="宋体"/>
                <w:sz w:val="16"/>
              </w:rPr>
              <w:t>160.46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7DA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F236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A9DFC">
            <w:pPr>
              <w:jc w:val="center"/>
            </w:pPr>
            <w:r>
              <w:rPr>
                <w:rFonts w:ascii="宋体" w:hAnsi="宋体" w:eastAsia="宋体"/>
                <w:sz w:val="16"/>
              </w:rPr>
              <w:t>—</w:t>
            </w:r>
          </w:p>
        </w:tc>
      </w:tr>
      <w:tr w14:paraId="31C915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706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92639">
            <w:pPr>
              <w:jc w:val="center"/>
            </w:pPr>
            <w:r>
              <w:rPr>
                <w:rFonts w:ascii="宋体" w:hAnsi="宋体" w:eastAsia="宋体"/>
                <w:sz w:val="16"/>
              </w:rPr>
              <w:t>其他资金：</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614C0ED3">
            <w:pPr>
              <w:jc w:val="center"/>
            </w:pPr>
            <w:r>
              <w:rPr>
                <w:rFonts w:ascii="宋体" w:hAnsi="宋体" w:eastAsia="宋体"/>
                <w:sz w:val="16"/>
              </w:rPr>
              <w:t>0.00</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3AEEF3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9D2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606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5007E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46DA7">
            <w:pPr>
              <w:jc w:val="center"/>
            </w:pPr>
            <w:r>
              <w:rPr>
                <w:rFonts w:ascii="宋体" w:hAnsi="宋体" w:eastAsia="宋体"/>
                <w:sz w:val="16"/>
              </w:rPr>
              <w:t>—</w:t>
            </w:r>
          </w:p>
        </w:tc>
      </w:tr>
      <w:tr w14:paraId="20B476F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7041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D1777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250F03">
            <w:pPr>
              <w:jc w:val="center"/>
            </w:pPr>
            <w:r>
              <w:rPr>
                <w:rFonts w:ascii="宋体" w:hAnsi="宋体" w:eastAsia="宋体"/>
                <w:sz w:val="16"/>
              </w:rPr>
              <w:t>实际完成情况</w:t>
            </w:r>
          </w:p>
        </w:tc>
      </w:tr>
      <w:tr w14:paraId="77C6C30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3C4B1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487D65">
            <w:pPr>
              <w:jc w:val="both"/>
            </w:pPr>
            <w:r>
              <w:rPr>
                <w:rFonts w:ascii="宋体" w:hAnsi="宋体" w:eastAsia="宋体"/>
                <w:sz w:val="16"/>
              </w:rPr>
              <w:t>保障全县321家机构编制管理。召开2次编委会议，保障“12310”机构编制举报电话正常运转。129家事业单位法人年报年审，事业单位法人公示信息抽查6家，开展事业单位法人设立、变更、注销登记工作，监督检查各级机构编制执行情况。开展机构编制实名制管理，提升机构编制管理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222B1A">
            <w:pPr>
              <w:jc w:val="both"/>
            </w:pPr>
            <w:r>
              <w:rPr>
                <w:rFonts w:ascii="宋体" w:hAnsi="宋体" w:eastAsia="宋体"/>
                <w:sz w:val="16"/>
              </w:rPr>
              <w:t>完成对全县321家机构编制的管理工作，确保每一个环节得到妥善</w:t>
            </w:r>
            <w:r>
              <w:rPr>
                <w:rFonts w:hint="eastAsia" w:ascii="宋体" w:hAnsi="宋体"/>
                <w:sz w:val="16"/>
                <w:lang w:eastAsia="zh-CN"/>
              </w:rPr>
              <w:t>地</w:t>
            </w:r>
            <w:r>
              <w:rPr>
                <w:rFonts w:ascii="宋体" w:hAnsi="宋体" w:eastAsia="宋体"/>
                <w:sz w:val="16"/>
              </w:rPr>
              <w:t>处理。组织并召开了2次编委会议。确保“12310”机构编制举报电话的正常运转。对129家事业单位法人进行了年报年审公示，确保这些单位的透明度和合法合规性。为进一步加强监督，对6家事业单位法人公示的信息进行了抽查，以确保公示内容的真实性和准确性。通过这些措施，有效地发挥单位的履职效能。同时，开展事业单位法人设立、变更、注销登记工作，对各级机构编制的执行情况进行严格的监督检查。为了进一步提升机构编制管理水平，实施机构编制实名制管理，提高管理的精确性</w:t>
            </w:r>
            <w:r>
              <w:rPr>
                <w:rFonts w:hint="eastAsia" w:ascii="宋体" w:hAnsi="宋体"/>
                <w:sz w:val="16"/>
                <w:lang w:eastAsia="zh-CN"/>
              </w:rPr>
              <w:t>，</w:t>
            </w:r>
            <w:r>
              <w:rPr>
                <w:rFonts w:ascii="宋体" w:hAnsi="宋体" w:eastAsia="宋体"/>
                <w:sz w:val="16"/>
              </w:rPr>
              <w:t>增强整个管理体系的透明度和公信力。</w:t>
            </w:r>
          </w:p>
        </w:tc>
      </w:tr>
      <w:tr w14:paraId="0FBBF2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C465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36C67">
            <w:pPr>
              <w:jc w:val="center"/>
            </w:pPr>
            <w:r>
              <w:rPr>
                <w:rFonts w:ascii="宋体" w:hAnsi="宋体" w:eastAsia="宋体"/>
                <w:sz w:val="16"/>
              </w:rPr>
              <w:t>二级指标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62D073DA">
            <w:pPr>
              <w:jc w:val="center"/>
            </w:pPr>
            <w:r>
              <w:rPr>
                <w:rFonts w:ascii="宋体" w:hAnsi="宋体" w:eastAsia="宋体"/>
                <w:sz w:val="16"/>
              </w:rPr>
              <w:t>三级指标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4768043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C32C6">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DC03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96C6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2A27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8111A">
            <w:pPr>
              <w:jc w:val="center"/>
            </w:pPr>
            <w:r>
              <w:rPr>
                <w:rFonts w:ascii="宋体" w:hAnsi="宋体" w:eastAsia="宋体"/>
                <w:sz w:val="16"/>
              </w:rPr>
              <w:t>得分</w:t>
            </w:r>
          </w:p>
        </w:tc>
      </w:tr>
      <w:tr w14:paraId="163096C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9FFBA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4914D5">
            <w:pPr>
              <w:jc w:val="center"/>
            </w:pPr>
            <w:r>
              <w:rPr>
                <w:rFonts w:ascii="宋体" w:hAnsi="宋体" w:eastAsia="宋体"/>
                <w:sz w:val="16"/>
              </w:rPr>
              <w:t>数量指标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77247A9D">
            <w:pPr>
              <w:jc w:val="center"/>
            </w:pPr>
            <w:r>
              <w:rPr>
                <w:rFonts w:ascii="宋体" w:hAnsi="宋体" w:eastAsia="宋体"/>
                <w:sz w:val="16"/>
              </w:rPr>
              <w:t>全县机构编制管理</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6261FC2">
            <w:pPr>
              <w:jc w:val="center"/>
            </w:pPr>
            <w:r>
              <w:rPr>
                <w:rFonts w:ascii="宋体" w:hAnsi="宋体" w:eastAsia="宋体"/>
                <w:sz w:val="16"/>
              </w:rPr>
              <w:t>&gt;=321家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5C8B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2D41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55995">
            <w:pPr>
              <w:jc w:val="center"/>
            </w:pPr>
            <w:r>
              <w:rPr>
                <w:rFonts w:ascii="宋体" w:hAnsi="宋体" w:eastAsia="宋体"/>
                <w:sz w:val="16"/>
              </w:rPr>
              <w:t>321家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2A67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3F133">
            <w:pPr>
              <w:jc w:val="center"/>
            </w:pPr>
            <w:r>
              <w:rPr>
                <w:rFonts w:ascii="宋体" w:hAnsi="宋体" w:eastAsia="宋体"/>
                <w:sz w:val="16"/>
              </w:rPr>
              <w:t>13</w:t>
            </w:r>
          </w:p>
        </w:tc>
      </w:tr>
      <w:tr w14:paraId="42C3DC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790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8BDC1B"/>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51674AFE">
            <w:pPr>
              <w:jc w:val="center"/>
            </w:pPr>
            <w:r>
              <w:rPr>
                <w:rFonts w:ascii="宋体" w:hAnsi="宋体" w:eastAsia="宋体"/>
                <w:sz w:val="16"/>
              </w:rPr>
              <w:t>召开编委会议</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396E5FB8">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FB19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85E4D">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57CB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7A7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99A56">
            <w:pPr>
              <w:jc w:val="center"/>
            </w:pPr>
            <w:r>
              <w:rPr>
                <w:rFonts w:ascii="宋体" w:hAnsi="宋体" w:eastAsia="宋体"/>
                <w:sz w:val="16"/>
              </w:rPr>
              <w:t>13</w:t>
            </w:r>
          </w:p>
        </w:tc>
      </w:tr>
      <w:tr w14:paraId="6FEDE0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EE2D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AFBBE3"/>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7E62A5E3">
            <w:pPr>
              <w:jc w:val="center"/>
            </w:pPr>
            <w:r>
              <w:rPr>
                <w:rFonts w:ascii="宋体" w:hAnsi="宋体" w:eastAsia="宋体"/>
                <w:sz w:val="16"/>
              </w:rPr>
              <w:t>机构编制举报电话</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4C712FE5">
            <w:pPr>
              <w:jc w:val="center"/>
            </w:pPr>
            <w:r>
              <w:rPr>
                <w:rFonts w:ascii="宋体" w:hAnsi="宋体" w:eastAsia="宋体"/>
                <w:sz w:val="16"/>
              </w:rPr>
              <w:t>&gt;=1条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6D4D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79DAB">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35BE1">
            <w:pPr>
              <w:jc w:val="center"/>
            </w:pPr>
            <w:r>
              <w:rPr>
                <w:rFonts w:ascii="宋体" w:hAnsi="宋体" w:eastAsia="宋体"/>
                <w:sz w:val="16"/>
              </w:rPr>
              <w:t>1条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B74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17C1B">
            <w:pPr>
              <w:jc w:val="center"/>
            </w:pPr>
            <w:r>
              <w:rPr>
                <w:rFonts w:ascii="宋体" w:hAnsi="宋体" w:eastAsia="宋体"/>
                <w:sz w:val="16"/>
              </w:rPr>
              <w:t>13</w:t>
            </w:r>
          </w:p>
        </w:tc>
      </w:tr>
      <w:tr w14:paraId="7437F3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38A6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43F41D"/>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6F1D23F2">
            <w:pPr>
              <w:jc w:val="center"/>
            </w:pPr>
            <w:r>
              <w:rPr>
                <w:rFonts w:ascii="宋体" w:hAnsi="宋体" w:eastAsia="宋体"/>
                <w:sz w:val="16"/>
              </w:rPr>
              <w:t>事业单位法人年报</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73BBA6F8">
            <w:pPr>
              <w:jc w:val="center"/>
            </w:pPr>
            <w:r>
              <w:rPr>
                <w:rFonts w:ascii="宋体" w:hAnsi="宋体" w:eastAsia="宋体"/>
                <w:sz w:val="16"/>
              </w:rPr>
              <w:t>&gt;=129家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4DE2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3DCA1">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E75B1">
            <w:pPr>
              <w:jc w:val="center"/>
            </w:pPr>
            <w:r>
              <w:rPr>
                <w:rFonts w:ascii="宋体" w:hAnsi="宋体" w:eastAsia="宋体"/>
                <w:sz w:val="16"/>
              </w:rPr>
              <w:t>129家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135B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4CBB7">
            <w:pPr>
              <w:jc w:val="center"/>
            </w:pPr>
            <w:r>
              <w:rPr>
                <w:rFonts w:ascii="宋体" w:hAnsi="宋体" w:eastAsia="宋体"/>
                <w:sz w:val="16"/>
              </w:rPr>
              <w:t>13</w:t>
            </w:r>
          </w:p>
        </w:tc>
      </w:tr>
      <w:tr w14:paraId="58CFC5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857B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66CF1"/>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4CBA37E0">
            <w:pPr>
              <w:jc w:val="center"/>
            </w:pPr>
            <w:r>
              <w:rPr>
                <w:rFonts w:ascii="宋体" w:hAnsi="宋体" w:eastAsia="宋体"/>
                <w:sz w:val="16"/>
              </w:rPr>
              <w:t>事业单位法人公示信息抽查</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4AD7CF77">
            <w:pPr>
              <w:jc w:val="center"/>
            </w:pPr>
            <w:r>
              <w:rPr>
                <w:rFonts w:ascii="宋体" w:hAnsi="宋体" w:eastAsia="宋体"/>
                <w:sz w:val="16"/>
              </w:rPr>
              <w:t>&gt;=6家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17AA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5347E">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A7EDE">
            <w:pPr>
              <w:jc w:val="center"/>
            </w:pPr>
            <w:r>
              <w:rPr>
                <w:rFonts w:ascii="宋体" w:hAnsi="宋体" w:eastAsia="宋体"/>
                <w:sz w:val="16"/>
              </w:rPr>
              <w:t>6家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755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76FF1">
            <w:pPr>
              <w:jc w:val="center"/>
            </w:pPr>
            <w:r>
              <w:rPr>
                <w:rFonts w:ascii="宋体" w:hAnsi="宋体" w:eastAsia="宋体"/>
                <w:sz w:val="16"/>
              </w:rPr>
              <w:t>13</w:t>
            </w:r>
          </w:p>
        </w:tc>
      </w:tr>
      <w:tr w14:paraId="691812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CFEE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85B05">
            <w:pPr>
              <w:jc w:val="center"/>
            </w:pPr>
            <w:r>
              <w:rPr>
                <w:rFonts w:ascii="宋体" w:hAnsi="宋体" w:eastAsia="宋体"/>
                <w:sz w:val="16"/>
              </w:rPr>
              <w:t>质量指标</w:t>
            </w:r>
          </w:p>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2EDE8787">
            <w:pPr>
              <w:jc w:val="center"/>
            </w:pPr>
            <w:r>
              <w:rPr>
                <w:rFonts w:ascii="宋体" w:hAnsi="宋体" w:eastAsia="宋体"/>
                <w:sz w:val="16"/>
              </w:rPr>
              <w:t>机构编制实名制管理覆盖率</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609C93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BCBF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C1004">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0A3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140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8B174">
            <w:pPr>
              <w:jc w:val="center"/>
            </w:pPr>
            <w:r>
              <w:rPr>
                <w:rFonts w:ascii="宋体" w:hAnsi="宋体" w:eastAsia="宋体"/>
                <w:sz w:val="16"/>
              </w:rPr>
              <w:t>13</w:t>
            </w:r>
          </w:p>
        </w:tc>
      </w:tr>
      <w:tr w14:paraId="225B52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A765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7A9E3E"/>
        </w:tc>
        <w:tc>
          <w:tcPr>
            <w:tcW w:w="1256" w:type="dxa"/>
            <w:tcBorders>
              <w:top w:val="single" w:color="auto" w:sz="10" w:space="0"/>
              <w:left w:val="single" w:color="auto" w:sz="10" w:space="0"/>
              <w:bottom w:val="single" w:color="auto" w:sz="10" w:space="0"/>
              <w:right w:val="single" w:color="auto" w:sz="10" w:space="0"/>
              <w:insideV w:val="single" w:sz="10" w:space="0"/>
            </w:tcBorders>
            <w:vAlign w:val="center"/>
          </w:tcPr>
          <w:p w14:paraId="35A21EA8">
            <w:pPr>
              <w:jc w:val="center"/>
            </w:pPr>
            <w:r>
              <w:rPr>
                <w:rFonts w:ascii="宋体" w:hAnsi="宋体" w:eastAsia="宋体"/>
                <w:sz w:val="16"/>
              </w:rPr>
              <w:t>监督检查机构编制执行</w:t>
            </w:r>
          </w:p>
        </w:tc>
        <w:tc>
          <w:tcPr>
            <w:tcW w:w="710" w:type="dxa"/>
            <w:tcBorders>
              <w:top w:val="single" w:color="auto" w:sz="10" w:space="0"/>
              <w:left w:val="single" w:color="auto" w:sz="10" w:space="0"/>
              <w:bottom w:val="single" w:color="auto" w:sz="10" w:space="0"/>
              <w:right w:val="single" w:color="auto" w:sz="10" w:space="0"/>
              <w:insideV w:val="single" w:sz="10" w:space="0"/>
            </w:tcBorders>
            <w:vAlign w:val="center"/>
          </w:tcPr>
          <w:p w14:paraId="3BA86CE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40BE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03FA5">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242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182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D1556">
            <w:pPr>
              <w:jc w:val="center"/>
            </w:pPr>
            <w:r>
              <w:rPr>
                <w:rFonts w:ascii="宋体" w:hAnsi="宋体" w:eastAsia="宋体"/>
                <w:sz w:val="16"/>
              </w:rPr>
              <w:t>12</w:t>
            </w:r>
          </w:p>
        </w:tc>
      </w:tr>
    </w:tbl>
    <w:p w14:paraId="5DA9716E">
      <w:r>
        <w:br w:type="page"/>
      </w:r>
    </w:p>
    <w:p w14:paraId="0551B740">
      <w:pPr>
        <w:spacing w:line="640" w:lineRule="exact"/>
        <w:ind w:firstLine="640"/>
        <w:jc w:val="both"/>
        <w:outlineLvl w:val="2"/>
      </w:pPr>
      <w:r>
        <w:rPr>
          <w:rFonts w:ascii="黑体" w:hAnsi="黑体" w:eastAsia="黑体"/>
          <w:sz w:val="32"/>
        </w:rPr>
        <w:t>十二、其他需说明的事项</w:t>
      </w:r>
    </w:p>
    <w:p w14:paraId="703696A4">
      <w:pPr>
        <w:spacing w:line="580" w:lineRule="exact"/>
        <w:ind w:firstLine="640"/>
        <w:jc w:val="both"/>
      </w:pPr>
      <w:r>
        <w:rPr>
          <w:rFonts w:ascii="仿宋_GB2312" w:hAnsi="仿宋_GB2312" w:eastAsia="仿宋_GB2312"/>
          <w:b w:val="0"/>
          <w:sz w:val="32"/>
        </w:rPr>
        <w:t>本单位无其他需说明的事项。</w:t>
      </w:r>
    </w:p>
    <w:p w14:paraId="40B1C494">
      <w:r>
        <w:br w:type="page"/>
      </w:r>
    </w:p>
    <w:p w14:paraId="2DB59938">
      <w:pPr>
        <w:spacing w:line="240" w:lineRule="auto"/>
        <w:jc w:val="center"/>
        <w:outlineLvl w:val="1"/>
      </w:pPr>
      <w:r>
        <w:rPr>
          <w:rFonts w:ascii="黑体" w:hAnsi="黑体" w:eastAsia="黑体"/>
          <w:sz w:val="32"/>
        </w:rPr>
        <w:t>第三部分 专业名词解释</w:t>
      </w:r>
    </w:p>
    <w:p w14:paraId="4282E1C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39E1B5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384200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93DC82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243398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C7D27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3096F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BE3B9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E6FE3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DDADB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B2566F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9276C4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39DBA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4AA861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A64F63B">
      <w:r>
        <w:br w:type="page"/>
      </w:r>
    </w:p>
    <w:p w14:paraId="062B3F74">
      <w:pPr>
        <w:spacing w:line="240" w:lineRule="auto"/>
        <w:jc w:val="center"/>
        <w:outlineLvl w:val="1"/>
      </w:pPr>
      <w:r>
        <w:rPr>
          <w:rFonts w:ascii="黑体" w:hAnsi="黑体" w:eastAsia="黑体"/>
          <w:sz w:val="32"/>
        </w:rPr>
        <w:t>第四部分 部门决算报表（见附表）</w:t>
      </w:r>
    </w:p>
    <w:p w14:paraId="78EBC08D">
      <w:pPr>
        <w:spacing w:line="240" w:lineRule="auto"/>
        <w:ind w:firstLine="640"/>
        <w:jc w:val="both"/>
      </w:pPr>
      <w:r>
        <w:rPr>
          <w:rFonts w:ascii="仿宋_GB2312" w:hAnsi="仿宋_GB2312" w:eastAsia="仿宋_GB2312"/>
          <w:b w:val="0"/>
          <w:sz w:val="32"/>
        </w:rPr>
        <w:t>一、《收入支出决算总表》</w:t>
      </w:r>
    </w:p>
    <w:p w14:paraId="40ECDEA5">
      <w:pPr>
        <w:spacing w:line="240" w:lineRule="auto"/>
        <w:ind w:firstLine="640"/>
        <w:jc w:val="both"/>
      </w:pPr>
      <w:r>
        <w:rPr>
          <w:rFonts w:ascii="仿宋_GB2312" w:hAnsi="仿宋_GB2312" w:eastAsia="仿宋_GB2312"/>
          <w:b w:val="0"/>
          <w:sz w:val="32"/>
        </w:rPr>
        <w:t>二、《收入决算表》</w:t>
      </w:r>
    </w:p>
    <w:p w14:paraId="2B19E371">
      <w:pPr>
        <w:spacing w:line="240" w:lineRule="auto"/>
        <w:ind w:firstLine="640"/>
        <w:jc w:val="both"/>
      </w:pPr>
      <w:r>
        <w:rPr>
          <w:rFonts w:ascii="仿宋_GB2312" w:hAnsi="仿宋_GB2312" w:eastAsia="仿宋_GB2312"/>
          <w:b w:val="0"/>
          <w:sz w:val="32"/>
        </w:rPr>
        <w:t>三、《支出决算表》</w:t>
      </w:r>
    </w:p>
    <w:p w14:paraId="1081E615">
      <w:pPr>
        <w:spacing w:line="240" w:lineRule="auto"/>
        <w:ind w:firstLine="640"/>
        <w:jc w:val="both"/>
      </w:pPr>
      <w:r>
        <w:rPr>
          <w:rFonts w:ascii="仿宋_GB2312" w:hAnsi="仿宋_GB2312" w:eastAsia="仿宋_GB2312"/>
          <w:b w:val="0"/>
          <w:sz w:val="32"/>
        </w:rPr>
        <w:t>四、《财政拨款收入支出决算总表》</w:t>
      </w:r>
    </w:p>
    <w:p w14:paraId="450C90AA">
      <w:pPr>
        <w:spacing w:line="240" w:lineRule="auto"/>
        <w:ind w:firstLine="640"/>
        <w:jc w:val="both"/>
      </w:pPr>
      <w:r>
        <w:rPr>
          <w:rFonts w:ascii="仿宋_GB2312" w:hAnsi="仿宋_GB2312" w:eastAsia="仿宋_GB2312"/>
          <w:b w:val="0"/>
          <w:sz w:val="32"/>
        </w:rPr>
        <w:t>五、《一般公共预算财政拨款支出决算表》</w:t>
      </w:r>
    </w:p>
    <w:p w14:paraId="7EA8E434">
      <w:pPr>
        <w:spacing w:line="240" w:lineRule="auto"/>
        <w:ind w:firstLine="640"/>
        <w:jc w:val="both"/>
      </w:pPr>
      <w:r>
        <w:rPr>
          <w:rFonts w:ascii="仿宋_GB2312" w:hAnsi="仿宋_GB2312" w:eastAsia="仿宋_GB2312"/>
          <w:b w:val="0"/>
          <w:sz w:val="32"/>
        </w:rPr>
        <w:t>六、《一般公共预算财政拨款基本支出决算表》</w:t>
      </w:r>
    </w:p>
    <w:p w14:paraId="5B713220">
      <w:pPr>
        <w:spacing w:line="240" w:lineRule="auto"/>
        <w:ind w:firstLine="640"/>
        <w:jc w:val="both"/>
      </w:pPr>
      <w:r>
        <w:rPr>
          <w:rFonts w:ascii="仿宋_GB2312" w:hAnsi="仿宋_GB2312" w:eastAsia="仿宋_GB2312"/>
          <w:b w:val="0"/>
          <w:sz w:val="32"/>
        </w:rPr>
        <w:t>七、《政府性基金预算财政拨款收入支出决算表》</w:t>
      </w:r>
    </w:p>
    <w:p w14:paraId="6464835D">
      <w:pPr>
        <w:spacing w:line="240" w:lineRule="auto"/>
        <w:ind w:firstLine="640"/>
        <w:jc w:val="both"/>
      </w:pPr>
      <w:r>
        <w:rPr>
          <w:rFonts w:ascii="仿宋_GB2312" w:hAnsi="仿宋_GB2312" w:eastAsia="仿宋_GB2312"/>
          <w:b w:val="0"/>
          <w:sz w:val="32"/>
        </w:rPr>
        <w:t>八、《国有资本经营预算财政拨款收入支出决算表》</w:t>
      </w:r>
    </w:p>
    <w:p w14:paraId="522FF7E1">
      <w:pPr>
        <w:spacing w:line="240" w:lineRule="auto"/>
        <w:ind w:firstLine="640"/>
        <w:jc w:val="both"/>
      </w:pPr>
      <w:r>
        <w:rPr>
          <w:rFonts w:ascii="仿宋_GB2312" w:hAnsi="仿宋_GB2312" w:eastAsia="仿宋_GB2312"/>
          <w:b w:val="0"/>
          <w:sz w:val="32"/>
        </w:rPr>
        <w:t>九、《财政拨款“三公”经费支出决算表》</w:t>
      </w:r>
    </w:p>
    <w:p w14:paraId="5F1E3A84">
      <w:pPr>
        <w:spacing w:line="240" w:lineRule="auto"/>
        <w:ind w:firstLine="640"/>
        <w:jc w:val="both"/>
      </w:pPr>
    </w:p>
    <w:p w14:paraId="1304B818">
      <w:pPr>
        <w:spacing w:line="240" w:lineRule="auto"/>
        <w:ind w:firstLine="640"/>
        <w:jc w:val="both"/>
      </w:pPr>
    </w:p>
    <w:p w14:paraId="0F644ADB">
      <w:pPr>
        <w:spacing w:line="240" w:lineRule="auto"/>
        <w:ind w:firstLine="640"/>
        <w:jc w:val="both"/>
      </w:pPr>
    </w:p>
    <w:p w14:paraId="2DCF0E33">
      <w:pPr>
        <w:spacing w:line="240" w:lineRule="auto"/>
        <w:ind w:firstLine="640"/>
        <w:jc w:val="both"/>
      </w:pPr>
    </w:p>
    <w:p w14:paraId="56A40B2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D0A822-4FFD-49C3-B609-0A6BFECCC4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D762EDA4-7014-43A9-AC32-0DD19565B9FD}"/>
  </w:font>
  <w:font w:name="仿宋_GB2312">
    <w:panose1 w:val="02010609030101010101"/>
    <w:charset w:val="86"/>
    <w:family w:val="modern"/>
    <w:pitch w:val="default"/>
    <w:sig w:usb0="00000001" w:usb1="080E0000" w:usb2="00000000" w:usb3="00000000" w:csb0="00040000" w:csb1="00000000"/>
    <w:embedRegular r:id="rId3" w:fontKey="{62CC60C2-DCFC-468F-8ABB-19F7B961C649}"/>
  </w:font>
  <w:font w:name="楷体_GB2312">
    <w:panose1 w:val="02010609030101010101"/>
    <w:charset w:val="86"/>
    <w:family w:val="auto"/>
    <w:pitch w:val="default"/>
    <w:sig w:usb0="00000001" w:usb1="080E0000" w:usb2="00000000" w:usb3="00000000" w:csb0="00040000" w:csb1="00000000"/>
    <w:embedRegular r:id="rId4" w:fontKey="{31EA3E55-1F56-4C2E-9E27-AE5EFC9116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CB7C0E"/>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267240"/>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4399</Words>
  <Characters>5008</Characters>
  <Lines>0</Lines>
  <Paragraphs>0</Paragraphs>
  <TotalTime>9</TotalTime>
  <ScaleCrop>false</ScaleCrop>
  <LinksUpToDate>false</LinksUpToDate>
  <CharactersWithSpaces>5016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2025-09-12T10:30:15Z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