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岳普湖县消防救援大队2024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16808CA">
      <w:r>
        <w:br w:type="page"/>
      </w:r>
    </w:p>
    <w:p w14:paraId="76F4E5DF">
      <w:pPr>
        <w:spacing w:line="640" w:lineRule="exact"/>
        <w:jc w:val="center"/>
        <w:outlineLvl w:val="1"/>
      </w:pPr>
      <w:r>
        <w:rPr>
          <w:rFonts w:ascii="黑体" w:hAnsi="黑体" w:eastAsia="黑体"/>
          <w:sz w:val="32"/>
        </w:rPr>
        <w:t>第一部分 单位概况</w:t>
      </w:r>
    </w:p>
    <w:p w14:paraId="6BA3E5FE">
      <w:pPr>
        <w:spacing w:line="640" w:lineRule="exact"/>
        <w:ind w:firstLine="640"/>
        <w:jc w:val="both"/>
        <w:outlineLvl w:val="2"/>
      </w:pPr>
      <w:r>
        <w:rPr>
          <w:rFonts w:ascii="黑体" w:hAnsi="黑体" w:eastAsia="黑体"/>
          <w:sz w:val="32"/>
        </w:rPr>
        <w:t>一、主要职能</w:t>
      </w:r>
    </w:p>
    <w:p w14:paraId="3B555721">
      <w:pPr>
        <w:spacing w:line="580" w:lineRule="exact"/>
        <w:ind w:firstLine="640"/>
        <w:jc w:val="both"/>
      </w:pPr>
      <w:r>
        <w:rPr>
          <w:rFonts w:ascii="仿宋_GB2312" w:hAnsi="仿宋_GB2312" w:eastAsia="仿宋_GB2312"/>
          <w:sz w:val="32"/>
        </w:rPr>
        <w:t>岳普湖县消防救援大队隶属于喀什地区消防救援支队，主要职能为掌握影响社会稳定、危害国内安全和社会治安的情况，及时向县委、县政府和上级公安机关报告有关情况和重要信息，分析形势，提出处理意见和根据习近平总书记重要训词的期待要求，对照国家应急救援主力军、国家队的发展定位，对照“全灾种”、“大应急”的形式任务，国家</w:t>
      </w:r>
      <w:bookmarkStart w:id="0" w:name="_GoBack"/>
      <w:bookmarkEnd w:id="0"/>
      <w:r>
        <w:rPr>
          <w:rFonts w:ascii="仿宋_GB2312" w:hAnsi="仿宋_GB2312" w:eastAsia="仿宋_GB2312"/>
          <w:sz w:val="32"/>
        </w:rPr>
        <w:t>综合</w:t>
      </w:r>
      <w:r>
        <w:rPr>
          <w:rFonts w:hint="eastAsia" w:ascii="仿宋_GB2312" w:hAnsi="仿宋_GB2312" w:eastAsia="仿宋_GB2312"/>
          <w:sz w:val="32"/>
          <w:lang w:eastAsia="zh-CN"/>
        </w:rPr>
        <w:t>性</w:t>
      </w:r>
      <w:r>
        <w:rPr>
          <w:rFonts w:ascii="仿宋_GB2312" w:hAnsi="仿宋_GB2312" w:eastAsia="仿宋_GB2312"/>
          <w:sz w:val="32"/>
        </w:rPr>
        <w:t>消防救援队伍是国家应急救援的关键力量。要大兴研战谋战思战之风，淬炼过硬本领，提升专业水平，在处置灭火救援、抢险救灾等其他灾害事故中当先锋，打头阵。</w:t>
      </w:r>
    </w:p>
    <w:p w14:paraId="291BF5C0">
      <w:pPr>
        <w:spacing w:line="640" w:lineRule="exact"/>
        <w:ind w:firstLine="640"/>
        <w:jc w:val="both"/>
        <w:outlineLvl w:val="2"/>
      </w:pPr>
      <w:r>
        <w:rPr>
          <w:rFonts w:ascii="黑体" w:hAnsi="黑体" w:eastAsia="黑体"/>
          <w:sz w:val="32"/>
        </w:rPr>
        <w:t>二、机构设置及人员情况</w:t>
      </w:r>
    </w:p>
    <w:p w14:paraId="78471F3B">
      <w:pPr>
        <w:spacing w:line="580" w:lineRule="exact"/>
        <w:ind w:firstLine="640"/>
        <w:jc w:val="both"/>
      </w:pPr>
      <w:r>
        <w:rPr>
          <w:rFonts w:ascii="仿宋_GB2312" w:hAnsi="仿宋_GB2312" w:eastAsia="仿宋_GB2312"/>
          <w:sz w:val="32"/>
        </w:rPr>
        <w:t>岳普湖县消防救援大队2024年度，实有人数0人，其中：在职人员0人，增加0人；离休人员0人，增加0人；退休人员0人,增加0人。</w:t>
      </w:r>
    </w:p>
    <w:p w14:paraId="4C4EA24B">
      <w:pPr>
        <w:spacing w:line="580" w:lineRule="exact"/>
        <w:ind w:firstLine="640"/>
        <w:jc w:val="both"/>
      </w:pPr>
      <w:r>
        <w:rPr>
          <w:rFonts w:ascii="仿宋_GB2312" w:hAnsi="仿宋_GB2312" w:eastAsia="仿宋_GB2312"/>
          <w:sz w:val="32"/>
        </w:rPr>
        <w:t>岳普湖县消防救援大队无下属预算单位，下设1个科室，分别是：办公室。</w:t>
      </w:r>
    </w:p>
    <w:p w14:paraId="495A243B">
      <w:r>
        <w:br w:type="page"/>
      </w:r>
    </w:p>
    <w:p w14:paraId="43EE981C">
      <w:pPr>
        <w:spacing w:line="240" w:lineRule="auto"/>
        <w:jc w:val="center"/>
        <w:outlineLvl w:val="1"/>
      </w:pPr>
      <w:r>
        <w:rPr>
          <w:rFonts w:ascii="黑体" w:hAnsi="黑体" w:eastAsia="黑体"/>
          <w:sz w:val="32"/>
        </w:rPr>
        <w:t>第二部分 部门决算情况说明</w:t>
      </w:r>
    </w:p>
    <w:p w14:paraId="31F97836">
      <w:pPr>
        <w:spacing w:line="640" w:lineRule="exact"/>
        <w:ind w:firstLine="640"/>
        <w:jc w:val="both"/>
        <w:outlineLvl w:val="2"/>
      </w:pPr>
      <w:r>
        <w:rPr>
          <w:rFonts w:ascii="黑体" w:hAnsi="黑体" w:eastAsia="黑体"/>
          <w:sz w:val="32"/>
        </w:rPr>
        <w:t>一、收入支出决算总体情况说明</w:t>
      </w:r>
    </w:p>
    <w:p w14:paraId="23074420">
      <w:pPr>
        <w:spacing w:line="580" w:lineRule="exact"/>
        <w:ind w:firstLine="640"/>
        <w:jc w:val="both"/>
      </w:pPr>
      <w:r>
        <w:rPr>
          <w:rFonts w:ascii="仿宋_GB2312" w:hAnsi="仿宋_GB2312" w:eastAsia="仿宋_GB2312"/>
          <w:b/>
          <w:sz w:val="32"/>
        </w:rPr>
        <w:t>2024年度收入总计239.10万元，</w:t>
      </w:r>
      <w:r>
        <w:rPr>
          <w:rFonts w:ascii="仿宋_GB2312" w:hAnsi="仿宋_GB2312" w:eastAsia="仿宋_GB2312"/>
          <w:b w:val="0"/>
          <w:sz w:val="32"/>
        </w:rPr>
        <w:t>其中：本年收入合计239.10万元，使用非财政拨款结余（含专用结余）0.00万元，年初结转和结余0.00万元。</w:t>
      </w:r>
    </w:p>
    <w:p w14:paraId="7A83CAD8">
      <w:pPr>
        <w:spacing w:line="580" w:lineRule="exact"/>
        <w:ind w:firstLine="640"/>
        <w:jc w:val="both"/>
      </w:pPr>
      <w:r>
        <w:rPr>
          <w:rFonts w:ascii="仿宋_GB2312" w:hAnsi="仿宋_GB2312" w:eastAsia="仿宋_GB2312"/>
          <w:b/>
          <w:sz w:val="32"/>
        </w:rPr>
        <w:t>2024年度支出总计239.10万元，</w:t>
      </w:r>
      <w:r>
        <w:rPr>
          <w:rFonts w:ascii="仿宋_GB2312" w:hAnsi="仿宋_GB2312" w:eastAsia="仿宋_GB2312"/>
          <w:b w:val="0"/>
          <w:sz w:val="32"/>
        </w:rPr>
        <w:t>其中：本年支出合计239.10万元，结余分配0.00万元，年末结转和结余0.00万元。</w:t>
      </w:r>
    </w:p>
    <w:p w14:paraId="5FFD502B">
      <w:pPr>
        <w:spacing w:line="580" w:lineRule="exact"/>
        <w:ind w:firstLine="640"/>
        <w:jc w:val="both"/>
      </w:pPr>
      <w:r>
        <w:rPr>
          <w:rFonts w:ascii="仿宋_GB2312" w:hAnsi="仿宋_GB2312" w:eastAsia="仿宋_GB2312"/>
          <w:b w:val="0"/>
          <w:sz w:val="32"/>
        </w:rPr>
        <w:t>收入支出总体与上年相比，减少1,098.70万元，下降82.13%，主要原因是：本年度无新建消防救援站项目，资金较上年减少。</w:t>
      </w:r>
    </w:p>
    <w:p w14:paraId="0AC90D8E">
      <w:pPr>
        <w:spacing w:line="640" w:lineRule="exact"/>
        <w:ind w:firstLine="640"/>
        <w:jc w:val="both"/>
        <w:outlineLvl w:val="2"/>
      </w:pPr>
      <w:r>
        <w:rPr>
          <w:rFonts w:ascii="黑体" w:hAnsi="黑体" w:eastAsia="黑体"/>
          <w:sz w:val="32"/>
        </w:rPr>
        <w:t>二、收入决算情况说明</w:t>
      </w:r>
    </w:p>
    <w:p w14:paraId="4CA1D21C">
      <w:pPr>
        <w:spacing w:line="580" w:lineRule="exact"/>
        <w:ind w:firstLine="640"/>
        <w:jc w:val="both"/>
      </w:pPr>
      <w:r>
        <w:rPr>
          <w:rFonts w:ascii="仿宋_GB2312" w:hAnsi="仿宋_GB2312" w:eastAsia="仿宋_GB2312"/>
          <w:b/>
          <w:sz w:val="32"/>
        </w:rPr>
        <w:t>本年收入239.10万元，</w:t>
      </w:r>
      <w:r>
        <w:rPr>
          <w:rFonts w:ascii="仿宋_GB2312" w:hAnsi="仿宋_GB2312" w:eastAsia="仿宋_GB2312"/>
          <w:b w:val="0"/>
          <w:sz w:val="32"/>
        </w:rPr>
        <w:t>其中：财政拨款收入239.10万元，占100.00%；上级补助收入0.00万元，占0.00%；事业收入0.00万元，占0.00%；经营收入0.00万元，占0.00%；附属单位上缴收入0.00万元，占0.00%；其他收入0.00万元，占0.00%。</w:t>
      </w:r>
    </w:p>
    <w:p w14:paraId="61B0420B">
      <w:pPr>
        <w:spacing w:line="640" w:lineRule="exact"/>
        <w:ind w:firstLine="640"/>
        <w:jc w:val="both"/>
        <w:outlineLvl w:val="2"/>
      </w:pPr>
      <w:r>
        <w:rPr>
          <w:rFonts w:ascii="黑体" w:hAnsi="黑体" w:eastAsia="黑体"/>
          <w:sz w:val="32"/>
        </w:rPr>
        <w:t>三、支出决算情况说明</w:t>
      </w:r>
    </w:p>
    <w:p w14:paraId="592A71B3">
      <w:pPr>
        <w:spacing w:line="580" w:lineRule="exact"/>
        <w:ind w:firstLine="640"/>
        <w:jc w:val="both"/>
      </w:pPr>
      <w:r>
        <w:rPr>
          <w:rFonts w:ascii="仿宋_GB2312" w:hAnsi="仿宋_GB2312" w:eastAsia="仿宋_GB2312"/>
          <w:b/>
          <w:sz w:val="32"/>
        </w:rPr>
        <w:t>本年支出239.10万元，</w:t>
      </w:r>
      <w:r>
        <w:rPr>
          <w:rFonts w:ascii="仿宋_GB2312" w:hAnsi="仿宋_GB2312" w:eastAsia="仿宋_GB2312"/>
          <w:b w:val="0"/>
          <w:sz w:val="32"/>
        </w:rPr>
        <w:t>其中：基本支出0.00万元，占0.00%；项目支出239.10万元，占100.00%；上缴上级支出0.00万元，占0.00%；经营支出0.00万元，占0.00%；对附属单位补助支出0.00万元，占0.00%。</w:t>
      </w:r>
    </w:p>
    <w:p w14:paraId="6DA8CE2C">
      <w:pPr>
        <w:spacing w:line="640" w:lineRule="exact"/>
        <w:ind w:firstLine="640"/>
        <w:jc w:val="both"/>
        <w:outlineLvl w:val="2"/>
      </w:pPr>
      <w:r>
        <w:rPr>
          <w:rFonts w:ascii="黑体" w:hAnsi="黑体" w:eastAsia="黑体"/>
          <w:sz w:val="32"/>
        </w:rPr>
        <w:t>四、财政拨款收入支出决算总体情况说明</w:t>
      </w:r>
    </w:p>
    <w:p w14:paraId="06647794">
      <w:pPr>
        <w:spacing w:line="580" w:lineRule="exact"/>
        <w:ind w:firstLine="640"/>
        <w:jc w:val="both"/>
      </w:pPr>
      <w:r>
        <w:rPr>
          <w:rFonts w:ascii="仿宋_GB2312" w:hAnsi="仿宋_GB2312" w:eastAsia="仿宋_GB2312"/>
          <w:b/>
          <w:sz w:val="32"/>
        </w:rPr>
        <w:t>2024年度财政拨款收入总计239.10万元，</w:t>
      </w:r>
      <w:r>
        <w:rPr>
          <w:rFonts w:ascii="仿宋_GB2312" w:hAnsi="仿宋_GB2312" w:eastAsia="仿宋_GB2312"/>
          <w:b w:val="0"/>
          <w:sz w:val="32"/>
        </w:rPr>
        <w:t>其中：年初财政拨款结转和结余0.00万元，本年财政拨款收入239.10万元。</w:t>
      </w:r>
      <w:r>
        <w:rPr>
          <w:rFonts w:ascii="仿宋_GB2312" w:hAnsi="仿宋_GB2312" w:eastAsia="仿宋_GB2312"/>
          <w:b/>
          <w:sz w:val="32"/>
        </w:rPr>
        <w:t>财政拨款支出总计239.10万元，</w:t>
      </w:r>
      <w:r>
        <w:rPr>
          <w:rFonts w:ascii="仿宋_GB2312" w:hAnsi="仿宋_GB2312" w:eastAsia="仿宋_GB2312"/>
          <w:b w:val="0"/>
          <w:sz w:val="32"/>
        </w:rPr>
        <w:t>其中：年末财政拨款结转和结余0.00万元，本年财政拨款支出239.10万元。</w:t>
      </w:r>
    </w:p>
    <w:p w14:paraId="72F5B5F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减少1,098.70万元，下降82.13%，主要原因是：本年度无新建消防救援站项目，资金较上年减少。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年初预算数630.92万元，决算数239.10万元，预决算差异率-62.10%，主要原因是：年中调减综合训练塔建设项目资金，导致预决算存在差异。</w:t>
      </w:r>
    </w:p>
    <w:p w14:paraId="50B871E2">
      <w:pPr>
        <w:spacing w:line="640" w:lineRule="exact"/>
        <w:ind w:firstLine="640"/>
        <w:jc w:val="both"/>
        <w:outlineLvl w:val="2"/>
      </w:pPr>
      <w:r>
        <w:rPr>
          <w:rFonts w:ascii="黑体" w:hAnsi="黑体" w:eastAsia="黑体"/>
          <w:sz w:val="32"/>
        </w:rPr>
        <w:t>五、一般公共预算财政拨款支出决算情况说明</w:t>
      </w:r>
    </w:p>
    <w:p w14:paraId="0E5FD58D">
      <w:pPr>
        <w:spacing w:line="640" w:lineRule="exact"/>
        <w:ind w:firstLine="640"/>
        <w:jc w:val="both"/>
        <w:outlineLvl w:val="3"/>
      </w:pPr>
      <w:r>
        <w:rPr>
          <w:rFonts w:ascii="楷体_GB2312" w:hAnsi="楷体_GB2312" w:eastAsia="楷体_GB2312"/>
          <w:b/>
          <w:sz w:val="32"/>
        </w:rPr>
        <w:t>（一）一般公共预算财政拨款支出决算总体情况</w:t>
      </w:r>
    </w:p>
    <w:p w14:paraId="6D2AE91A">
      <w:pPr>
        <w:spacing w:line="580" w:lineRule="exact"/>
        <w:ind w:firstLine="640"/>
        <w:jc w:val="both"/>
      </w:pPr>
      <w:r>
        <w:rPr>
          <w:rFonts w:ascii="仿宋_GB2312" w:hAnsi="仿宋_GB2312" w:eastAsia="仿宋_GB2312"/>
          <w:b/>
          <w:sz w:val="32"/>
        </w:rPr>
        <w:t>2024年度一般公共预算财政拨款支出239.10万元，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减少1,098.70万元，下降82.13%，主要原因是：本年度无新建消防救援站项目，资金较上年减少。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年初预算数630.92万元，决算数239.10万元，预决算差异率-62.10%，主要原因是：年中调减综合训练塔建设项目资金，导致预决算存在差异。</w:t>
      </w:r>
    </w:p>
    <w:p w14:paraId="0D1A1515">
      <w:pPr>
        <w:spacing w:line="640" w:lineRule="exact"/>
        <w:ind w:firstLine="640"/>
        <w:jc w:val="both"/>
        <w:outlineLvl w:val="3"/>
      </w:pPr>
      <w:r>
        <w:rPr>
          <w:rFonts w:ascii="楷体_GB2312" w:hAnsi="楷体_GB2312" w:eastAsia="楷体_GB2312"/>
          <w:b/>
          <w:sz w:val="32"/>
        </w:rPr>
        <w:t>（二）一般公共预算财政拨款支出决算结构情况</w:t>
      </w:r>
    </w:p>
    <w:p w14:paraId="6F7D31EC">
      <w:pPr>
        <w:spacing w:line="580" w:lineRule="exact"/>
        <w:ind w:firstLine="640"/>
        <w:jc w:val="both"/>
      </w:pPr>
      <w:r>
        <w:rPr>
          <w:rFonts w:ascii="仿宋_GB2312" w:hAnsi="仿宋_GB2312" w:eastAsia="仿宋_GB2312"/>
          <w:b w:val="0"/>
          <w:sz w:val="32"/>
        </w:rPr>
        <w:t>1.灾害防治及应急管理支出(类)239.10万元,占100.00%。</w:t>
      </w:r>
    </w:p>
    <w:p w14:paraId="45124E5C">
      <w:pPr>
        <w:spacing w:line="640" w:lineRule="exact"/>
        <w:ind w:firstLine="640"/>
        <w:jc w:val="both"/>
        <w:outlineLvl w:val="3"/>
      </w:pPr>
      <w:r>
        <w:rPr>
          <w:rFonts w:ascii="楷体_GB2312" w:hAnsi="楷体_GB2312" w:eastAsia="楷体_GB2312"/>
          <w:b/>
          <w:sz w:val="32"/>
        </w:rPr>
        <w:t>（三）一般公共预算财政拨款支出决算具体情况</w:t>
      </w:r>
    </w:p>
    <w:p w14:paraId="3A78581C">
      <w:pPr>
        <w:spacing w:line="580" w:lineRule="exact"/>
        <w:ind w:firstLine="640"/>
        <w:jc w:val="both"/>
      </w:pPr>
      <w:r>
        <w:rPr>
          <w:rFonts w:ascii="仿宋_GB2312" w:hAnsi="仿宋_GB2312" w:eastAsia="仿宋_GB2312"/>
          <w:b w:val="0"/>
          <w:sz w:val="32"/>
        </w:rPr>
        <w:t>1.灾害防治及应急管理支出(类)消防救援事务(款)行政运行(项):支出决算数为0.00万元，比上年决算减少308.24万元，下降100.00%,主要原因是：本年功能科目调整，业务经费由行政运行调整至其他消防救援事务支出列支，经费减少。</w:t>
      </w:r>
    </w:p>
    <w:p w14:paraId="60BD1A6E">
      <w:pPr>
        <w:spacing w:line="580" w:lineRule="exact"/>
        <w:ind w:firstLine="640"/>
        <w:jc w:val="both"/>
      </w:pPr>
      <w:r>
        <w:rPr>
          <w:rFonts w:ascii="仿宋_GB2312" w:hAnsi="仿宋_GB2312" w:eastAsia="仿宋_GB2312"/>
          <w:b w:val="0"/>
          <w:sz w:val="32"/>
        </w:rPr>
        <w:t>2.灾害防治及应急管理支出(类)消防救援事务(款)消防应急救援(项):支出决算数为0.00万元，比上年决算减少55.79万元，下降100.00%,主要原因是：聘用人员工资上年使用消防应急救援科目核算，本年使用其他消防救援事务支出科目核算，导致此科目经费较上年减少。</w:t>
      </w:r>
    </w:p>
    <w:p w14:paraId="66869F44">
      <w:pPr>
        <w:spacing w:line="580" w:lineRule="exact"/>
        <w:ind w:firstLine="640"/>
        <w:jc w:val="both"/>
      </w:pPr>
      <w:r>
        <w:rPr>
          <w:rFonts w:ascii="仿宋_GB2312" w:hAnsi="仿宋_GB2312" w:eastAsia="仿宋_GB2312"/>
          <w:b w:val="0"/>
          <w:sz w:val="32"/>
        </w:rPr>
        <w:t>3.灾害防治及应急管理支出(类)消防救援事务(款)其他消防救援事务支出(项):支出决算数为239.10万元，比上年决算增加88.37万元，增长58.63%,主要原因是：本年功能科目调整，业务经费由行政运行调整至其他消防救援事务支出列支；聘用人员工资上年使用消防应急救援科目核算，本年使用其他消防救援事务支出科目核算，导致此科目经费较上年增加。</w:t>
      </w:r>
    </w:p>
    <w:p w14:paraId="1B1A674F">
      <w:pPr>
        <w:spacing w:line="580" w:lineRule="exact"/>
        <w:ind w:firstLine="640"/>
        <w:jc w:val="both"/>
      </w:pPr>
      <w:r>
        <w:rPr>
          <w:rFonts w:ascii="仿宋_GB2312" w:hAnsi="仿宋_GB2312" w:eastAsia="仿宋_GB2312"/>
          <w:b w:val="0"/>
          <w:sz w:val="32"/>
        </w:rPr>
        <w:t>4.其他支出(类)其他支出(款)其他支出(项):支出决算数为0.00万元，比上年决算减少823.05万元，下降100.00%,主要原因是：本年减少中央预算消防站建设专项项目。</w:t>
      </w:r>
    </w:p>
    <w:p w14:paraId="58441293">
      <w:pPr>
        <w:spacing w:line="640" w:lineRule="exact"/>
        <w:ind w:firstLine="640"/>
        <w:jc w:val="both"/>
        <w:outlineLvl w:val="2"/>
      </w:pPr>
      <w:r>
        <w:rPr>
          <w:rFonts w:ascii="黑体" w:hAnsi="黑体" w:eastAsia="黑体"/>
          <w:sz w:val="32"/>
        </w:rPr>
        <w:t>六、一般公共预算财政拨款基本支出决算情况说明</w:t>
      </w:r>
    </w:p>
    <w:p w14:paraId="200FE738">
      <w:pPr>
        <w:spacing w:line="580" w:lineRule="exact"/>
        <w:ind w:firstLine="640"/>
        <w:jc w:val="both"/>
      </w:pPr>
      <w:r>
        <w:rPr>
          <w:rFonts w:ascii="仿宋_GB2312" w:hAnsi="仿宋_GB2312" w:eastAsia="仿宋_GB2312"/>
          <w:b w:val="0"/>
          <w:sz w:val="32"/>
        </w:rPr>
        <w:t>2024年度一般公共预算财政拨款基本支出0.00万元，其中：</w:t>
      </w:r>
      <w:r>
        <w:rPr>
          <w:rFonts w:ascii="仿宋_GB2312" w:hAnsi="仿宋_GB2312" w:eastAsia="仿宋_GB2312"/>
          <w:b/>
          <w:sz w:val="32"/>
        </w:rPr>
        <w:t>人员经费0.00万元，</w:t>
      </w:r>
      <w:r>
        <w:rPr>
          <w:rFonts w:ascii="仿宋_GB2312" w:hAnsi="仿宋_GB2312" w:eastAsia="仿宋_GB2312"/>
          <w:b w:val="0"/>
          <w:sz w:val="32"/>
        </w:rPr>
        <w:t>包括：无人员经费。</w:t>
      </w:r>
    </w:p>
    <w:p w14:paraId="52CEFD8F">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68198BAE">
      <w:pPr>
        <w:spacing w:line="640" w:lineRule="exact"/>
        <w:ind w:firstLine="640"/>
        <w:jc w:val="both"/>
        <w:outlineLvl w:val="2"/>
      </w:pPr>
      <w:r>
        <w:rPr>
          <w:rFonts w:ascii="黑体" w:hAnsi="黑体" w:eastAsia="黑体"/>
          <w:sz w:val="32"/>
        </w:rPr>
        <w:t>七、政府性基金预算财政拨款收入支出决算情况说明</w:t>
      </w:r>
    </w:p>
    <w:p w14:paraId="7A61CA8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FF28138">
      <w:pPr>
        <w:spacing w:line="640" w:lineRule="exact"/>
        <w:ind w:firstLine="640"/>
        <w:jc w:val="both"/>
        <w:outlineLvl w:val="2"/>
      </w:pPr>
      <w:r>
        <w:rPr>
          <w:rFonts w:ascii="黑体" w:hAnsi="黑体" w:eastAsia="黑体"/>
          <w:sz w:val="32"/>
        </w:rPr>
        <w:t>八、国有资本经营预算财政拨款收入支出决算情况说明</w:t>
      </w:r>
    </w:p>
    <w:p w14:paraId="35E2827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2FB946D">
      <w:pPr>
        <w:spacing w:line="640" w:lineRule="exact"/>
        <w:ind w:firstLine="640"/>
        <w:jc w:val="both"/>
        <w:outlineLvl w:val="2"/>
      </w:pPr>
      <w:r>
        <w:rPr>
          <w:rFonts w:ascii="黑体" w:hAnsi="黑体" w:eastAsia="黑体"/>
          <w:sz w:val="32"/>
        </w:rPr>
        <w:t>九、财政拨款“三公”经费支出决算情况说明</w:t>
      </w:r>
    </w:p>
    <w:p w14:paraId="2D846D48">
      <w:pPr>
        <w:spacing w:line="580" w:lineRule="exact"/>
        <w:ind w:firstLine="640"/>
        <w:jc w:val="both"/>
      </w:pPr>
      <w:r>
        <w:rPr>
          <w:rFonts w:ascii="仿宋_GB2312" w:hAnsi="仿宋_GB2312" w:eastAsia="仿宋_GB2312"/>
          <w:b/>
          <w:sz w:val="32"/>
        </w:rPr>
        <w:t>2024年度财政拨款“三公”经费支出3.49万元，</w:t>
      </w:r>
      <w:r>
        <w:rPr>
          <w:rFonts w:ascii="仿宋_GB2312" w:hAnsi="仿宋_GB2312" w:eastAsia="仿宋_GB2312"/>
          <w:b w:val="0"/>
          <w:sz w:val="32"/>
        </w:rPr>
        <w:t>比上年增加3.49万元，增长100.00%，主要原因是：本年因业务需求，</w:t>
      </w:r>
      <w:r>
        <w:rPr>
          <w:rFonts w:hint="eastAsia" w:ascii="仿宋_GB2312" w:hAnsi="仿宋_GB2312" w:eastAsia="仿宋_GB2312"/>
          <w:b w:val="0"/>
          <w:sz w:val="32"/>
          <w:lang w:val="en-US" w:eastAsia="zh-CN"/>
        </w:rPr>
        <w:t>本年预算包含公务用车运行维护费，</w:t>
      </w:r>
      <w:r>
        <w:rPr>
          <w:rFonts w:ascii="仿宋_GB2312" w:hAnsi="仿宋_GB2312" w:eastAsia="仿宋_GB2312"/>
          <w:b w:val="0"/>
          <w:sz w:val="32"/>
        </w:rPr>
        <w:t>导致公务用车运行维护费较上年增加。其中：因公出国（境）费支出0.00万元，占0.00%，比上年增加0.00万元，增长0.00%，主要原因是：2023年与2024年均未安排因公出国（境）费支出。公务用车购置及运行维护费支出3.49万元，占100.00%，比上年增加3.49万元，增长100.00%，主要原因是：本年因业务需求，</w:t>
      </w:r>
      <w:r>
        <w:rPr>
          <w:rFonts w:hint="eastAsia" w:ascii="仿宋_GB2312" w:hAnsi="仿宋_GB2312" w:eastAsia="仿宋_GB2312"/>
          <w:b w:val="0"/>
          <w:sz w:val="32"/>
          <w:lang w:val="en-US" w:eastAsia="zh-CN"/>
        </w:rPr>
        <w:t>本年预算包含公务用车运行维护费，</w:t>
      </w:r>
      <w:r>
        <w:rPr>
          <w:rFonts w:ascii="仿宋_GB2312" w:hAnsi="仿宋_GB2312" w:eastAsia="仿宋_GB2312"/>
          <w:b w:val="0"/>
          <w:sz w:val="32"/>
        </w:rPr>
        <w:t>导致公务用车运行维护费较上年增加。公务接待费支出0.00万元，占0.00%，比上年增加0.00万元，增长0.00%，主要原因是：2023年与2024年均未安排公务接待费支出。</w:t>
      </w:r>
    </w:p>
    <w:p w14:paraId="27189178">
      <w:pPr>
        <w:spacing w:line="580" w:lineRule="exact"/>
        <w:ind w:firstLine="640"/>
        <w:jc w:val="both"/>
      </w:pPr>
      <w:r>
        <w:rPr>
          <w:rFonts w:ascii="仿宋_GB2312" w:hAnsi="仿宋_GB2312" w:eastAsia="仿宋_GB2312"/>
          <w:b/>
          <w:sz w:val="32"/>
        </w:rPr>
        <w:t>具体情况如下：</w:t>
      </w:r>
    </w:p>
    <w:p w14:paraId="1172913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D195AAB">
      <w:pPr>
        <w:spacing w:line="580" w:lineRule="exact"/>
        <w:ind w:firstLine="640"/>
        <w:jc w:val="both"/>
      </w:pPr>
      <w:r>
        <w:rPr>
          <w:rFonts w:ascii="仿宋_GB2312" w:hAnsi="仿宋_GB2312" w:eastAsia="仿宋_GB2312"/>
          <w:b w:val="0"/>
          <w:sz w:val="32"/>
        </w:rPr>
        <w:t>公务用车购置及运行维护费3.49万元，其中：公务用车购置费0.00万元，公务用车运行维护费3.49万元。公务用车运行维护费开支内容包括车辆保险费。公务用车购置数0辆，公务用车保有量11辆。国有资产占用情况中固定资产车辆0辆，与公务用车保有量差异原因是：本单位车辆由中央垂管，车辆费用由本单位支付。</w:t>
      </w:r>
    </w:p>
    <w:p w14:paraId="57E92D5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9D36BE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3.49万元，决算数3.49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3.49万元，决算数3.49万元，预决算差异率0.00%，主要原因是：严格按照预算执行，预决算无差异。公务接待费全年预算数0.00万元，决算数0.00万元，预决算差异率0.00%，主要原因是：本单位无公务接待费。</w:t>
      </w:r>
    </w:p>
    <w:p w14:paraId="1BA379CA">
      <w:pPr>
        <w:spacing w:line="640" w:lineRule="exact"/>
        <w:ind w:firstLine="640"/>
        <w:jc w:val="both"/>
        <w:outlineLvl w:val="2"/>
      </w:pPr>
      <w:r>
        <w:rPr>
          <w:rFonts w:ascii="黑体" w:hAnsi="黑体" w:eastAsia="黑体"/>
          <w:sz w:val="32"/>
        </w:rPr>
        <w:t>十、其他重要事项的情况说明</w:t>
      </w:r>
    </w:p>
    <w:p w14:paraId="7BE1FF71">
      <w:pPr>
        <w:spacing w:line="640" w:lineRule="exact"/>
        <w:ind w:firstLine="640"/>
        <w:jc w:val="both"/>
        <w:outlineLvl w:val="3"/>
      </w:pPr>
      <w:r>
        <w:rPr>
          <w:rFonts w:ascii="楷体_GB2312" w:hAnsi="楷体_GB2312" w:eastAsia="楷体_GB2312"/>
          <w:b/>
          <w:sz w:val="32"/>
        </w:rPr>
        <w:t>（一）机关运行经费及公用经费支出情况</w:t>
      </w:r>
    </w:p>
    <w:p w14:paraId="615045AD">
      <w:pPr>
        <w:spacing w:line="580" w:lineRule="exact"/>
        <w:ind w:firstLine="640"/>
        <w:jc w:val="both"/>
      </w:pPr>
      <w:r>
        <w:rPr>
          <w:rFonts w:ascii="仿宋_GB2312" w:hAnsi="仿宋_GB2312" w:eastAsia="仿宋_GB2312"/>
          <w:b w:val="0"/>
          <w:sz w:val="32"/>
        </w:rPr>
        <w:t>2024年度岳普湖县消防救援大队（行政单位和参照公务员法管理事业单位）机关运行经费支出0.00万元，比上年减少117.40万元，下降100.00%，主要原因是：本年单位公用经费均在项目中列支，基本支出中无公用经费。</w:t>
      </w:r>
    </w:p>
    <w:p w14:paraId="772B3447">
      <w:pPr>
        <w:spacing w:line="640" w:lineRule="exact"/>
        <w:ind w:firstLine="640"/>
        <w:jc w:val="both"/>
        <w:outlineLvl w:val="3"/>
      </w:pPr>
      <w:r>
        <w:rPr>
          <w:rFonts w:ascii="楷体_GB2312" w:hAnsi="楷体_GB2312" w:eastAsia="楷体_GB2312"/>
          <w:b/>
          <w:sz w:val="32"/>
        </w:rPr>
        <w:t>（二）政府采购情况</w:t>
      </w:r>
    </w:p>
    <w:p w14:paraId="3731F294">
      <w:pPr>
        <w:spacing w:line="580" w:lineRule="exact"/>
        <w:ind w:firstLine="640"/>
        <w:jc w:val="both"/>
      </w:pPr>
      <w:r>
        <w:rPr>
          <w:rFonts w:ascii="仿宋_GB2312" w:hAnsi="仿宋_GB2312" w:eastAsia="仿宋_GB2312"/>
          <w:b w:val="0"/>
          <w:sz w:val="32"/>
        </w:rPr>
        <w:t>2024年度政府采购支出总额107.55万元，其中：政府采购货物支出107.55万元、政府采购工程支出0.00万元、政府采购服务支出0.00万元。</w:t>
      </w:r>
    </w:p>
    <w:p w14:paraId="6CDAB1F0">
      <w:pPr>
        <w:spacing w:line="580" w:lineRule="exact"/>
        <w:ind w:firstLine="640"/>
        <w:jc w:val="both"/>
      </w:pPr>
      <w:r>
        <w:rPr>
          <w:rFonts w:ascii="仿宋_GB2312" w:hAnsi="仿宋_GB2312" w:eastAsia="仿宋_GB2312"/>
          <w:b w:val="0"/>
          <w:sz w:val="32"/>
        </w:rPr>
        <w:t>授予中小企业合同金额107.55万元，占政府采购支出总额的100.00%，其中：授予小微企业合同金额107.55万元，占政府采购支出总额的100.00%。</w:t>
      </w:r>
    </w:p>
    <w:p w14:paraId="13A311EF">
      <w:pPr>
        <w:spacing w:line="640" w:lineRule="exact"/>
        <w:ind w:firstLine="640"/>
        <w:jc w:val="both"/>
        <w:outlineLvl w:val="3"/>
      </w:pPr>
      <w:r>
        <w:rPr>
          <w:rFonts w:ascii="楷体_GB2312" w:hAnsi="楷体_GB2312" w:eastAsia="楷体_GB2312"/>
          <w:b/>
          <w:sz w:val="32"/>
        </w:rPr>
        <w:t>（三）国有资产占用情况说明</w:t>
      </w:r>
    </w:p>
    <w:p w14:paraId="50F3FE1A">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F865225">
      <w:pPr>
        <w:spacing w:line="640" w:lineRule="exact"/>
        <w:ind w:firstLine="640"/>
        <w:jc w:val="both"/>
        <w:outlineLvl w:val="2"/>
      </w:pPr>
      <w:r>
        <w:rPr>
          <w:rFonts w:ascii="黑体" w:hAnsi="黑体" w:eastAsia="黑体"/>
          <w:sz w:val="32"/>
        </w:rPr>
        <w:t>十一、预算绩效的情况说明</w:t>
      </w:r>
    </w:p>
    <w:p w14:paraId="406DCB6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239.10万元，实际执行总额239.10万元；预算绩效评价项目1个，全年预算数239.10万元，全年执行数239.10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具体附整体支出绩效自评表，项目支出绩效自评表和评价报告。</w:t>
      </w:r>
    </w:p>
    <w:p w14:paraId="139C8C3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3C3E588">
        <w:tblPrEx>
          <w:tblCellMar>
            <w:top w:w="0" w:type="dxa"/>
            <w:left w:w="108" w:type="dxa"/>
            <w:bottom w:w="0" w:type="dxa"/>
            <w:right w:w="108" w:type="dxa"/>
          </w:tblCellMar>
        </w:tblPrEx>
        <w:tc>
          <w:tcPr>
            <w:tcW w:w="8847" w:type="dxa"/>
            <w:gridSpan w:val="9"/>
            <w:vAlign w:val="center"/>
          </w:tcPr>
          <w:p w14:paraId="6A82C8C1">
            <w:pPr>
              <w:jc w:val="center"/>
            </w:pPr>
            <w:r>
              <w:rPr>
                <w:rFonts w:ascii="宋体" w:hAnsi="宋体" w:eastAsia="宋体"/>
                <w:sz w:val="24"/>
              </w:rPr>
              <w:t>单位整体支出绩效自评表</w:t>
            </w:r>
          </w:p>
        </w:tc>
      </w:tr>
      <w:tr w14:paraId="49624D0C">
        <w:tblPrEx>
          <w:tblCellMar>
            <w:top w:w="0" w:type="dxa"/>
            <w:left w:w="108" w:type="dxa"/>
            <w:bottom w:w="0" w:type="dxa"/>
            <w:right w:w="108" w:type="dxa"/>
          </w:tblCellMar>
        </w:tblPrEx>
        <w:tc>
          <w:tcPr>
            <w:tcW w:w="8847" w:type="dxa"/>
            <w:gridSpan w:val="9"/>
            <w:vAlign w:val="center"/>
          </w:tcPr>
          <w:p w14:paraId="44FAFFD6">
            <w:pPr>
              <w:jc w:val="center"/>
            </w:pPr>
            <w:r>
              <w:rPr>
                <w:rFonts w:ascii="宋体" w:hAnsi="宋体" w:eastAsia="宋体"/>
                <w:sz w:val="24"/>
              </w:rPr>
              <w:t>（2024年度）</w:t>
            </w:r>
          </w:p>
        </w:tc>
      </w:tr>
      <w:tr w14:paraId="1C30D8C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77EF8">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6B5A9EF">
            <w:pPr>
              <w:jc w:val="center"/>
            </w:pPr>
            <w:r>
              <w:rPr>
                <w:rFonts w:ascii="宋体" w:hAnsi="宋体" w:eastAsia="宋体"/>
                <w:sz w:val="16"/>
              </w:rPr>
              <w:t>岳普湖县消防救援大队</w:t>
            </w:r>
          </w:p>
        </w:tc>
      </w:tr>
      <w:tr w14:paraId="4DE0892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3EDACD">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55D94">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5951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47C76">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64B32">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C4B8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DFD6D">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4C720">
            <w:pPr>
              <w:jc w:val="center"/>
            </w:pPr>
            <w:r>
              <w:rPr>
                <w:rFonts w:ascii="宋体" w:hAnsi="宋体" w:eastAsia="宋体"/>
                <w:sz w:val="16"/>
              </w:rPr>
              <w:t>得分</w:t>
            </w:r>
          </w:p>
        </w:tc>
      </w:tr>
      <w:tr w14:paraId="4112ED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67ED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D0C9D">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4C00B">
            <w:pPr>
              <w:jc w:val="center"/>
            </w:pPr>
            <w:r>
              <w:rPr>
                <w:rFonts w:ascii="宋体" w:hAnsi="宋体" w:eastAsia="宋体"/>
                <w:sz w:val="16"/>
              </w:rPr>
              <w:t>630.92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D489B">
            <w:pPr>
              <w:jc w:val="center"/>
            </w:pPr>
            <w:r>
              <w:rPr>
                <w:rFonts w:ascii="宋体" w:hAnsi="宋体" w:eastAsia="宋体"/>
                <w:sz w:val="16"/>
              </w:rPr>
              <w:t>239.10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23557">
            <w:pPr>
              <w:jc w:val="center"/>
            </w:pPr>
            <w:r>
              <w:rPr>
                <w:rFonts w:ascii="宋体" w:hAnsi="宋体" w:eastAsia="宋体"/>
                <w:sz w:val="16"/>
              </w:rPr>
              <w:t>239.10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418C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CA76E">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3821D">
            <w:pPr>
              <w:jc w:val="center"/>
            </w:pPr>
            <w:r>
              <w:rPr>
                <w:rFonts w:ascii="宋体" w:hAnsi="宋体" w:eastAsia="宋体"/>
                <w:sz w:val="16"/>
              </w:rPr>
              <w:t>10</w:t>
            </w:r>
          </w:p>
        </w:tc>
      </w:tr>
      <w:tr w14:paraId="17083EF3">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C130B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8B9B6">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AD37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C608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9964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DA6F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488D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4F067">
            <w:pPr>
              <w:jc w:val="center"/>
            </w:pPr>
            <w:r>
              <w:rPr>
                <w:rFonts w:ascii="宋体" w:hAnsi="宋体" w:eastAsia="宋体"/>
                <w:sz w:val="16"/>
              </w:rPr>
              <w:t>—</w:t>
            </w:r>
          </w:p>
        </w:tc>
      </w:tr>
      <w:tr w14:paraId="1EE0D3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4D6B2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B621C">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4C7A1">
            <w:pPr>
              <w:jc w:val="center"/>
            </w:pPr>
            <w:r>
              <w:rPr>
                <w:rFonts w:ascii="宋体" w:hAnsi="宋体" w:eastAsia="宋体"/>
                <w:sz w:val="16"/>
              </w:rPr>
              <w:t>630.92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9360C">
            <w:pPr>
              <w:jc w:val="center"/>
            </w:pPr>
            <w:r>
              <w:rPr>
                <w:rFonts w:ascii="宋体" w:hAnsi="宋体" w:eastAsia="宋体"/>
                <w:sz w:val="16"/>
              </w:rPr>
              <w:t>239.10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B011B">
            <w:pPr>
              <w:jc w:val="center"/>
            </w:pPr>
            <w:r>
              <w:rPr>
                <w:rFonts w:ascii="宋体" w:hAnsi="宋体" w:eastAsia="宋体"/>
                <w:sz w:val="16"/>
              </w:rPr>
              <w:t>239.10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17AF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184A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CB3BC">
            <w:pPr>
              <w:jc w:val="center"/>
            </w:pPr>
            <w:r>
              <w:rPr>
                <w:rFonts w:ascii="宋体" w:hAnsi="宋体" w:eastAsia="宋体"/>
                <w:sz w:val="16"/>
              </w:rPr>
              <w:t>—</w:t>
            </w:r>
          </w:p>
        </w:tc>
      </w:tr>
      <w:tr w14:paraId="587BE419">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C159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CD331">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A0DE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9151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5733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9D91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3DB8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9D762">
            <w:pPr>
              <w:jc w:val="center"/>
            </w:pPr>
            <w:r>
              <w:rPr>
                <w:rFonts w:ascii="宋体" w:hAnsi="宋体" w:eastAsia="宋体"/>
                <w:sz w:val="16"/>
              </w:rPr>
              <w:t>—</w:t>
            </w:r>
          </w:p>
        </w:tc>
      </w:tr>
      <w:tr w14:paraId="7C3DA64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C4050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9EB63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CC524D">
            <w:pPr>
              <w:jc w:val="center"/>
            </w:pPr>
            <w:r>
              <w:rPr>
                <w:rFonts w:ascii="宋体" w:hAnsi="宋体" w:eastAsia="宋体"/>
                <w:sz w:val="16"/>
              </w:rPr>
              <w:t>实际完成情况</w:t>
            </w:r>
          </w:p>
        </w:tc>
      </w:tr>
      <w:tr w14:paraId="1CB902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BFE34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47AD28F">
            <w:pPr>
              <w:jc w:val="both"/>
            </w:pPr>
            <w:r>
              <w:rPr>
                <w:rFonts w:ascii="宋体" w:hAnsi="宋体" w:eastAsia="宋体"/>
                <w:sz w:val="16"/>
              </w:rPr>
              <w:t>按期完成9个乡镇消防工作站工作任务保障，完成全年12次消防安全监督检查，完成各项灾害、突发事件救援工作，完成消防安全宣传活动开展工作，提升安全教育和消防安全检查的频次和力度，督促整改火灾隐患，保障消防救援队伍的业务水平和队伍建设能力稳步提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57C9CF">
            <w:pPr>
              <w:jc w:val="both"/>
            </w:pPr>
            <w:r>
              <w:rPr>
                <w:rFonts w:ascii="宋体" w:hAnsi="宋体" w:eastAsia="宋体"/>
                <w:sz w:val="16"/>
              </w:rPr>
              <w:t>岳普湖县消防救援大队本年度已完成9个乡镇消防工作站保障工作，缩短消防救援的响应时间，消防工作站的人员和设备可以迅速出动，第一时间到达现场进行扑救，有效控制火势蔓延，减少火灾造成的人员伤亡和财产损失。在应对较大规模火灾或跨区域灾害时，能够实现就近调配资源、协同作战，提高整个区域的应急救援能力。已完成消防安全监督检查工作，检查次数12次。通过消防安全监督检查，深入各类场所，细致检查消防设施设备是否完好有效、疏散通道是否畅通、电气线路是否规范等，及时发现潜在的火灾隐患，避免因设施老化、违规操作等引发火灾。已完成消防安全宣传普及全覆盖工作，通过广泛的宣传普及，让公众了解火灾的危害性和预防火灾的重要性，使人们在日常生活和工作中更加注重防火安全，自觉遵守消防安全规定，减少火灾隐患。持续的宣传教育能让公众时刻保持对火灾的警惕，在遇到火灾风险时能够及时察觉并采取相应措施，避免因疏忽大意而导致火灾事故的发生。已及时完成本年度灾害救援工作，在各类灾害发生时，消防救援大队迅速响应，争分夺秒地营救被困人员，最大限度地减少人员伤亡。通过及时有效的救援行动，降低财产损失，保护人民群众生命财产安全。已完成突发事件及时出警工作，让群众看到专业力量迅速介入，感受到政府在积极应对危机，从而稳定人心，避免恐慌情绪的扩散，维护社会秩序的稳定。有效</w:t>
            </w:r>
            <w:r>
              <w:rPr>
                <w:rFonts w:hint="eastAsia" w:ascii="宋体" w:hAnsi="宋体"/>
                <w:sz w:val="16"/>
                <w:lang w:eastAsia="zh-CN"/>
              </w:rPr>
              <w:t>地</w:t>
            </w:r>
            <w:r>
              <w:rPr>
                <w:rFonts w:ascii="宋体" w:hAnsi="宋体" w:eastAsia="宋体"/>
                <w:sz w:val="16"/>
              </w:rPr>
              <w:t>管控和处置，降低次生灾害发生的风险，保障周边社区、道路、基础设施等的安全，维护社会的正常运转。</w:t>
            </w:r>
          </w:p>
        </w:tc>
      </w:tr>
      <w:tr w14:paraId="3911B68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D935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3796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6561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FB9C0">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97350">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7D5D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53FE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80E0F">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20FFA">
            <w:pPr>
              <w:jc w:val="center"/>
            </w:pPr>
            <w:r>
              <w:rPr>
                <w:rFonts w:ascii="宋体" w:hAnsi="宋体" w:eastAsia="宋体"/>
                <w:sz w:val="16"/>
              </w:rPr>
              <w:t>得分</w:t>
            </w:r>
          </w:p>
        </w:tc>
      </w:tr>
      <w:tr w14:paraId="2F4CA46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D7F17F">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5A7B3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5BE42">
            <w:pPr>
              <w:jc w:val="center"/>
            </w:pPr>
            <w:r>
              <w:rPr>
                <w:rFonts w:ascii="宋体" w:hAnsi="宋体" w:eastAsia="宋体"/>
                <w:sz w:val="16"/>
              </w:rPr>
              <w:t>乡镇消防工作站保障数量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5A20F">
            <w:pPr>
              <w:jc w:val="center"/>
            </w:pPr>
            <w:r>
              <w:rPr>
                <w:rFonts w:ascii="宋体" w:hAnsi="宋体" w:eastAsia="宋体"/>
                <w:sz w:val="16"/>
              </w:rPr>
              <w:t>&gt;=9个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CD475">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5C067">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48DC6">
            <w:pPr>
              <w:jc w:val="center"/>
            </w:pPr>
            <w:r>
              <w:rPr>
                <w:rFonts w:ascii="宋体" w:hAnsi="宋体" w:eastAsia="宋体"/>
                <w:sz w:val="16"/>
              </w:rPr>
              <w:t>9个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2152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9B825">
            <w:pPr>
              <w:jc w:val="center"/>
            </w:pPr>
            <w:r>
              <w:rPr>
                <w:rFonts w:ascii="宋体" w:hAnsi="宋体" w:eastAsia="宋体"/>
                <w:sz w:val="16"/>
              </w:rPr>
              <w:t>18</w:t>
            </w:r>
          </w:p>
        </w:tc>
      </w:tr>
      <w:tr w14:paraId="460D0E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8F3E1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66A4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33A30">
            <w:pPr>
              <w:jc w:val="center"/>
            </w:pPr>
            <w:r>
              <w:rPr>
                <w:rFonts w:ascii="宋体" w:hAnsi="宋体" w:eastAsia="宋体"/>
                <w:sz w:val="16"/>
              </w:rPr>
              <w:t>消防安全监督检查次数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56C23">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A66DA">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90521">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7C61C">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76D0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95F65">
            <w:pPr>
              <w:jc w:val="center"/>
            </w:pPr>
            <w:r>
              <w:rPr>
                <w:rFonts w:ascii="宋体" w:hAnsi="宋体" w:eastAsia="宋体"/>
                <w:sz w:val="16"/>
              </w:rPr>
              <w:t>18</w:t>
            </w:r>
          </w:p>
        </w:tc>
      </w:tr>
      <w:tr w14:paraId="069DC0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5E82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D8E8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E1EA9">
            <w:pPr>
              <w:jc w:val="center"/>
            </w:pPr>
            <w:r>
              <w:rPr>
                <w:rFonts w:ascii="宋体" w:hAnsi="宋体" w:eastAsia="宋体"/>
                <w:sz w:val="16"/>
              </w:rPr>
              <w:t>消防安全宣传普及率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9094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C3B10">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BA8DA">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127B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FACD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B16A4">
            <w:pPr>
              <w:jc w:val="center"/>
            </w:pPr>
            <w:r>
              <w:rPr>
                <w:rFonts w:ascii="宋体" w:hAnsi="宋体" w:eastAsia="宋体"/>
                <w:sz w:val="16"/>
              </w:rPr>
              <w:t>18</w:t>
            </w:r>
          </w:p>
        </w:tc>
      </w:tr>
      <w:tr w14:paraId="5CD00F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D3D8D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C7F54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E26E4">
            <w:pPr>
              <w:jc w:val="center"/>
            </w:pPr>
            <w:r>
              <w:rPr>
                <w:rFonts w:ascii="宋体" w:hAnsi="宋体" w:eastAsia="宋体"/>
                <w:sz w:val="16"/>
              </w:rPr>
              <w:t>灾害救援工作完成及时率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AFB6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4ECB9">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3A62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477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A1DF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A5FA9">
            <w:pPr>
              <w:jc w:val="center"/>
            </w:pPr>
            <w:r>
              <w:rPr>
                <w:rFonts w:ascii="宋体" w:hAnsi="宋体" w:eastAsia="宋体"/>
                <w:sz w:val="16"/>
              </w:rPr>
              <w:t>18</w:t>
            </w:r>
          </w:p>
        </w:tc>
      </w:tr>
      <w:tr w14:paraId="5B6200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1256A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54C3B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48D10">
            <w:pPr>
              <w:jc w:val="center"/>
            </w:pPr>
            <w:r>
              <w:rPr>
                <w:rFonts w:ascii="宋体" w:hAnsi="宋体" w:eastAsia="宋体"/>
                <w:sz w:val="16"/>
              </w:rPr>
              <w:t>突发事件出警及时率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538F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70C8E">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8249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5490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AE6D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6BFB2">
            <w:pPr>
              <w:jc w:val="center"/>
            </w:pPr>
            <w:r>
              <w:rPr>
                <w:rFonts w:ascii="宋体" w:hAnsi="宋体" w:eastAsia="宋体"/>
                <w:sz w:val="16"/>
              </w:rPr>
              <w:t>18</w:t>
            </w:r>
          </w:p>
        </w:tc>
      </w:tr>
    </w:tbl>
    <w:p w14:paraId="54F03AB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417377C">
        <w:tblPrEx>
          <w:tblCellMar>
            <w:top w:w="0" w:type="dxa"/>
            <w:left w:w="108" w:type="dxa"/>
            <w:bottom w:w="0" w:type="dxa"/>
            <w:right w:w="108" w:type="dxa"/>
          </w:tblCellMar>
        </w:tblPrEx>
        <w:tc>
          <w:tcPr>
            <w:tcW w:w="8848" w:type="dxa"/>
            <w:gridSpan w:val="14"/>
            <w:vAlign w:val="center"/>
          </w:tcPr>
          <w:p w14:paraId="4231D3F3">
            <w:pPr>
              <w:jc w:val="center"/>
            </w:pPr>
            <w:r>
              <w:rPr>
                <w:rFonts w:ascii="宋体" w:hAnsi="宋体" w:eastAsia="宋体"/>
                <w:sz w:val="24"/>
              </w:rPr>
              <w:t>项目支出绩效自评表</w:t>
            </w:r>
          </w:p>
        </w:tc>
      </w:tr>
      <w:tr w14:paraId="247977B3">
        <w:tblPrEx>
          <w:tblCellMar>
            <w:top w:w="0" w:type="dxa"/>
            <w:left w:w="108" w:type="dxa"/>
            <w:bottom w:w="0" w:type="dxa"/>
            <w:right w:w="108" w:type="dxa"/>
          </w:tblCellMar>
        </w:tblPrEx>
        <w:tc>
          <w:tcPr>
            <w:tcW w:w="8848" w:type="dxa"/>
            <w:gridSpan w:val="14"/>
            <w:vAlign w:val="center"/>
          </w:tcPr>
          <w:p w14:paraId="63D1723C">
            <w:pPr>
              <w:jc w:val="center"/>
            </w:pPr>
            <w:r>
              <w:rPr>
                <w:rFonts w:ascii="宋体" w:hAnsi="宋体" w:eastAsia="宋体"/>
                <w:sz w:val="24"/>
              </w:rPr>
              <w:t>(2024年度)</w:t>
            </w:r>
          </w:p>
        </w:tc>
      </w:tr>
      <w:tr w14:paraId="0A0334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C58C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0205CC">
            <w:pPr>
              <w:jc w:val="center"/>
            </w:pPr>
            <w:r>
              <w:rPr>
                <w:rFonts w:ascii="宋体" w:hAnsi="宋体" w:eastAsia="宋体"/>
                <w:sz w:val="16"/>
              </w:rPr>
              <w:t>2024年业务经费、伙食费项目</w:t>
            </w:r>
          </w:p>
        </w:tc>
      </w:tr>
      <w:tr w14:paraId="6A8F5B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C276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6A7132">
            <w:pPr>
              <w:jc w:val="center"/>
            </w:pPr>
            <w:r>
              <w:rPr>
                <w:rFonts w:ascii="宋体" w:hAnsi="宋体" w:eastAsia="宋体"/>
                <w:sz w:val="16"/>
              </w:rPr>
              <w:t>岳普湖县消防救援大队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DBBB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6FCFFF">
            <w:pPr>
              <w:jc w:val="center"/>
            </w:pPr>
            <w:r>
              <w:rPr>
                <w:rFonts w:ascii="宋体" w:hAnsi="宋体" w:eastAsia="宋体"/>
                <w:sz w:val="16"/>
              </w:rPr>
              <w:t>岳普湖县消防救援大队</w:t>
            </w:r>
          </w:p>
        </w:tc>
      </w:tr>
      <w:tr w14:paraId="44B323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5EC6F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99F5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C909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3C65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A8F8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3E53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85CC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64F0D">
            <w:pPr>
              <w:jc w:val="center"/>
            </w:pPr>
            <w:r>
              <w:rPr>
                <w:rFonts w:ascii="宋体" w:hAnsi="宋体" w:eastAsia="宋体"/>
                <w:sz w:val="16"/>
              </w:rPr>
              <w:t>得分</w:t>
            </w:r>
          </w:p>
        </w:tc>
      </w:tr>
      <w:tr w14:paraId="33800F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BBC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E429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988F6">
            <w:pPr>
              <w:jc w:val="center"/>
            </w:pPr>
            <w:r>
              <w:rPr>
                <w:rFonts w:ascii="宋体" w:hAnsi="宋体" w:eastAsia="宋体"/>
                <w:sz w:val="16"/>
              </w:rPr>
              <w:t>275.56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CE345">
            <w:pPr>
              <w:jc w:val="center"/>
            </w:pPr>
            <w:r>
              <w:rPr>
                <w:rFonts w:ascii="宋体" w:hAnsi="宋体" w:eastAsia="宋体"/>
                <w:sz w:val="16"/>
              </w:rPr>
              <w:t>239.10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5718C">
            <w:pPr>
              <w:jc w:val="center"/>
            </w:pPr>
            <w:r>
              <w:rPr>
                <w:rFonts w:ascii="宋体" w:hAnsi="宋体" w:eastAsia="宋体"/>
                <w:sz w:val="16"/>
              </w:rPr>
              <w:t>239.10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A83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0F71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D6AC7">
            <w:pPr>
              <w:jc w:val="center"/>
            </w:pPr>
            <w:r>
              <w:rPr>
                <w:rFonts w:ascii="宋体" w:hAnsi="宋体" w:eastAsia="宋体"/>
                <w:sz w:val="16"/>
              </w:rPr>
              <w:t>10.00分</w:t>
            </w:r>
          </w:p>
        </w:tc>
      </w:tr>
      <w:tr w14:paraId="268CF0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2B1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3A88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1BDC8">
            <w:pPr>
              <w:jc w:val="center"/>
            </w:pPr>
            <w:r>
              <w:rPr>
                <w:rFonts w:ascii="宋体" w:hAnsi="宋体" w:eastAsia="宋体"/>
                <w:sz w:val="16"/>
              </w:rPr>
              <w:t>275.56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82005">
            <w:pPr>
              <w:jc w:val="center"/>
            </w:pPr>
            <w:r>
              <w:rPr>
                <w:rFonts w:ascii="宋体" w:hAnsi="宋体" w:eastAsia="宋体"/>
                <w:sz w:val="16"/>
              </w:rPr>
              <w:t>239.10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D5135">
            <w:pPr>
              <w:jc w:val="center"/>
            </w:pPr>
            <w:r>
              <w:rPr>
                <w:rFonts w:ascii="宋体" w:hAnsi="宋体" w:eastAsia="宋体"/>
                <w:sz w:val="16"/>
              </w:rPr>
              <w:t>239.10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0FD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789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D84C0">
            <w:pPr>
              <w:jc w:val="center"/>
            </w:pPr>
            <w:r>
              <w:rPr>
                <w:rFonts w:ascii="宋体" w:hAnsi="宋体" w:eastAsia="宋体"/>
                <w:sz w:val="16"/>
              </w:rPr>
              <w:t>—</w:t>
            </w:r>
          </w:p>
        </w:tc>
      </w:tr>
      <w:tr w14:paraId="15A781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646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56A1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343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D68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709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F162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8C2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C64DB">
            <w:pPr>
              <w:jc w:val="center"/>
            </w:pPr>
            <w:r>
              <w:rPr>
                <w:rFonts w:ascii="宋体" w:hAnsi="宋体" w:eastAsia="宋体"/>
                <w:sz w:val="16"/>
              </w:rPr>
              <w:t>—</w:t>
            </w:r>
          </w:p>
        </w:tc>
      </w:tr>
      <w:tr w14:paraId="791485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5A45B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0ED57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76A6E5">
            <w:pPr>
              <w:jc w:val="center"/>
            </w:pPr>
            <w:r>
              <w:rPr>
                <w:rFonts w:ascii="宋体" w:hAnsi="宋体" w:eastAsia="宋体"/>
                <w:sz w:val="16"/>
              </w:rPr>
              <w:t>实际完成情况</w:t>
            </w:r>
          </w:p>
        </w:tc>
      </w:tr>
      <w:tr w14:paraId="1AD2F5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63D1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154CE9">
            <w:pPr>
              <w:jc w:val="both"/>
            </w:pPr>
            <w:r>
              <w:rPr>
                <w:rFonts w:ascii="宋体" w:hAnsi="宋体" w:eastAsia="宋体"/>
                <w:sz w:val="16"/>
              </w:rPr>
              <w:t>根据岳普湖县实际情况，为解决消防救援队伍改革</w:t>
            </w:r>
            <w:r>
              <w:rPr>
                <w:rFonts w:hint="eastAsia" w:ascii="宋体" w:hAnsi="宋体"/>
                <w:sz w:val="16"/>
                <w:lang w:eastAsia="zh-CN"/>
              </w:rPr>
              <w:t>过渡</w:t>
            </w:r>
            <w:r>
              <w:rPr>
                <w:rFonts w:ascii="宋体" w:hAnsi="宋体" w:eastAsia="宋体"/>
                <w:sz w:val="16"/>
              </w:rPr>
              <w:t>期间的经费保障和管理问题，进一步细化规范消防救援队伍经费保障管理工作，对岳普湖县消防救援大队提供业务经费和伙食费保障，经费保障单位人员数量45人。通过项目的实施保障单位日常工作正常开展，有效保障人民群众生命财产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248A38">
            <w:pPr>
              <w:jc w:val="both"/>
            </w:pPr>
            <w:r>
              <w:rPr>
                <w:rFonts w:ascii="宋体" w:hAnsi="宋体" w:eastAsia="宋体"/>
                <w:sz w:val="16"/>
              </w:rPr>
              <w:t>项目已完成岳普湖县消防救援大队业务经费和伙食费保障任务。经费保障单位人员数量45人。预算执行率100%。通过项目的实施有效保障单位日常工作正常开展，有效保障人民群众生命财产安全。</w:t>
            </w:r>
          </w:p>
        </w:tc>
      </w:tr>
      <w:tr w14:paraId="37C2B4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0155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67A6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AB3B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A579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5538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FCDE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5D69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16E4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D13F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F3E0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43CA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5C94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4B380">
            <w:pPr>
              <w:jc w:val="center"/>
            </w:pPr>
            <w:r>
              <w:rPr>
                <w:rFonts w:ascii="宋体" w:hAnsi="宋体" w:eastAsia="宋体"/>
                <w:sz w:val="16"/>
              </w:rPr>
              <w:t>偏差原因分析及改进措施</w:t>
            </w:r>
          </w:p>
        </w:tc>
      </w:tr>
      <w:tr w14:paraId="4A4D88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5143A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A37F7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DEB9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5E231">
            <w:pPr>
              <w:jc w:val="center"/>
            </w:pPr>
            <w:r>
              <w:rPr>
                <w:rFonts w:ascii="宋体" w:hAnsi="宋体" w:eastAsia="宋体"/>
                <w:sz w:val="16"/>
              </w:rPr>
              <w:t>保障单位人员数量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42729">
            <w:pPr>
              <w:jc w:val="center"/>
            </w:pPr>
            <w:r>
              <w:rPr>
                <w:rFonts w:ascii="宋体" w:hAnsi="宋体" w:eastAsia="宋体"/>
                <w:sz w:val="16"/>
              </w:rPr>
              <w:t>&gt;=45人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1DD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88670">
            <w:pPr>
              <w:jc w:val="center"/>
            </w:pPr>
            <w:r>
              <w:rPr>
                <w:rFonts w:ascii="宋体" w:hAnsi="宋体" w:eastAsia="宋体"/>
                <w:sz w:val="16"/>
              </w:rPr>
              <w:t>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E119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7B3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1B8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3B02F">
            <w:pPr>
              <w:jc w:val="center"/>
            </w:pPr>
            <w:r>
              <w:rPr>
                <w:rFonts w:ascii="宋体" w:hAnsi="宋体" w:eastAsia="宋体"/>
                <w:sz w:val="16"/>
              </w:rPr>
              <w:t>=45人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F564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97C3B">
            <w:pPr>
              <w:jc w:val="center"/>
            </w:pPr>
          </w:p>
        </w:tc>
      </w:tr>
      <w:tr w14:paraId="48B058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442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7264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548C8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08986">
            <w:pPr>
              <w:jc w:val="center"/>
            </w:pPr>
            <w:r>
              <w:rPr>
                <w:rFonts w:ascii="宋体" w:hAnsi="宋体" w:eastAsia="宋体"/>
                <w:sz w:val="16"/>
              </w:rPr>
              <w:t>项目经费保障率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BF7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50E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0B4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6E02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AE2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A7D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8AA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2FAD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D93DC">
            <w:pPr>
              <w:jc w:val="center"/>
            </w:pPr>
          </w:p>
        </w:tc>
      </w:tr>
      <w:tr w14:paraId="243F4F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546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6AA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123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B46A4">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5FA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39B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755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ABB2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1B5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F19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9BA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5888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8470D">
            <w:pPr>
              <w:jc w:val="center"/>
            </w:pPr>
          </w:p>
        </w:tc>
      </w:tr>
      <w:tr w14:paraId="4DFFB0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A94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9812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D5422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869D7">
            <w:pPr>
              <w:jc w:val="center"/>
            </w:pPr>
            <w:r>
              <w:rPr>
                <w:rFonts w:ascii="宋体" w:hAnsi="宋体" w:eastAsia="宋体"/>
                <w:sz w:val="16"/>
              </w:rPr>
              <w:t>经费支付及时性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EFB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ABD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48F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905F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CD1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B6D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D0E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1A15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5EE65">
            <w:pPr>
              <w:jc w:val="center"/>
            </w:pPr>
          </w:p>
        </w:tc>
      </w:tr>
      <w:tr w14:paraId="73F404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3E8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DE4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1B5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2E975">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80991">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948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6D6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3619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B205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58B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496E1">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B683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AE329">
            <w:pPr>
              <w:jc w:val="center"/>
            </w:pPr>
          </w:p>
        </w:tc>
      </w:tr>
      <w:tr w14:paraId="04D874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D183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F77C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41429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FA41A">
            <w:pPr>
              <w:jc w:val="center"/>
            </w:pPr>
            <w:r>
              <w:rPr>
                <w:rFonts w:ascii="宋体" w:hAnsi="宋体" w:eastAsia="宋体"/>
                <w:sz w:val="16"/>
              </w:rPr>
              <w:t>业务经费预算控制数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2EA4B">
            <w:pPr>
              <w:jc w:val="center"/>
            </w:pPr>
            <w:r>
              <w:rPr>
                <w:rFonts w:ascii="宋体" w:hAnsi="宋体" w:eastAsia="宋体"/>
                <w:sz w:val="16"/>
              </w:rPr>
              <w:t>&lt;=196.9万元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4C9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669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80E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5BC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882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C3383">
            <w:pPr>
              <w:jc w:val="center"/>
            </w:pPr>
            <w:r>
              <w:rPr>
                <w:rFonts w:ascii="宋体" w:hAnsi="宋体" w:eastAsia="宋体"/>
                <w:sz w:val="16"/>
              </w:rPr>
              <w:t>=196.9万元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C4D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D9417">
            <w:pPr>
              <w:jc w:val="center"/>
            </w:pPr>
          </w:p>
        </w:tc>
      </w:tr>
      <w:tr w14:paraId="39602A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BE5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CD8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2EE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FE9EF">
            <w:pPr>
              <w:jc w:val="center"/>
            </w:pPr>
            <w:r>
              <w:rPr>
                <w:rFonts w:ascii="宋体" w:hAnsi="宋体" w:eastAsia="宋体"/>
                <w:sz w:val="16"/>
              </w:rPr>
              <w:t>伙食费经费预算控制数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4165C">
            <w:pPr>
              <w:jc w:val="center"/>
            </w:pPr>
            <w:r>
              <w:rPr>
                <w:rFonts w:ascii="宋体" w:hAnsi="宋体" w:eastAsia="宋体"/>
                <w:sz w:val="16"/>
              </w:rPr>
              <w:t>&lt;=42.2万元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058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81E12">
            <w:pPr>
              <w:jc w:val="center"/>
            </w:pPr>
            <w:r>
              <w:rPr>
                <w:rFonts w:ascii="宋体" w:hAnsi="宋体" w:eastAsia="宋体"/>
                <w:sz w:val="16"/>
              </w:rPr>
              <w:t>40.35万元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AEA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BE6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4E7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E2513">
            <w:pPr>
              <w:jc w:val="center"/>
            </w:pPr>
            <w:r>
              <w:rPr>
                <w:rFonts w:ascii="宋体" w:hAnsi="宋体" w:eastAsia="宋体"/>
                <w:sz w:val="16"/>
              </w:rPr>
              <w:t>=42.2万元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C10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02B7E">
            <w:pPr>
              <w:jc w:val="center"/>
            </w:pPr>
          </w:p>
        </w:tc>
      </w:tr>
      <w:tr w14:paraId="7A2CE7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6B7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09D2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253C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9CFD6">
            <w:pPr>
              <w:jc w:val="center"/>
            </w:pPr>
            <w:r>
              <w:rPr>
                <w:rFonts w:ascii="宋体" w:hAnsi="宋体" w:eastAsia="宋体"/>
                <w:sz w:val="16"/>
              </w:rPr>
              <w:t>保障单位日常工作正常开展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3410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48F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9C19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9EF52">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0C6F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66D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DCFD4">
            <w:pPr>
              <w:jc w:val="center"/>
            </w:pP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A1E24">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476AC">
            <w:pPr>
              <w:jc w:val="center"/>
            </w:pPr>
          </w:p>
        </w:tc>
      </w:tr>
      <w:tr w14:paraId="187A456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30E0F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1B2A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3B99C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F03A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D04A671"/>
        </w:tc>
      </w:tr>
    </w:tbl>
    <w:p w14:paraId="0B878AFD">
      <w:r>
        <w:br w:type="page"/>
      </w:r>
    </w:p>
    <w:p w14:paraId="1BDC37CC">
      <w:pPr>
        <w:spacing w:line="640" w:lineRule="exact"/>
        <w:ind w:firstLine="640"/>
        <w:jc w:val="both"/>
        <w:outlineLvl w:val="2"/>
      </w:pPr>
      <w:r>
        <w:rPr>
          <w:rFonts w:ascii="黑体" w:hAnsi="黑体" w:eastAsia="黑体"/>
          <w:sz w:val="32"/>
        </w:rPr>
        <w:t>十二、其他需说明的事项</w:t>
      </w:r>
    </w:p>
    <w:p w14:paraId="2A795B66">
      <w:pPr>
        <w:spacing w:line="580" w:lineRule="exact"/>
        <w:ind w:firstLine="640"/>
        <w:jc w:val="both"/>
      </w:pPr>
      <w:r>
        <w:rPr>
          <w:rFonts w:ascii="仿宋_GB2312" w:hAnsi="仿宋_GB2312" w:eastAsia="仿宋_GB2312"/>
          <w:b w:val="0"/>
          <w:sz w:val="32"/>
        </w:rPr>
        <w:t>本单位无其他需说明的事项。</w:t>
      </w:r>
    </w:p>
    <w:p w14:paraId="63E98B5F">
      <w:r>
        <w:br w:type="page"/>
      </w:r>
    </w:p>
    <w:p w14:paraId="4CA2AF46">
      <w:pPr>
        <w:spacing w:line="240" w:lineRule="auto"/>
        <w:jc w:val="center"/>
        <w:outlineLvl w:val="1"/>
      </w:pPr>
      <w:r>
        <w:rPr>
          <w:rFonts w:ascii="黑体" w:hAnsi="黑体" w:eastAsia="黑体"/>
          <w:sz w:val="32"/>
        </w:rPr>
        <w:t>第三部分 专业名词解释</w:t>
      </w:r>
    </w:p>
    <w:p w14:paraId="5ACDFDD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D1B709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819DC9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95B780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5A9010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3C100B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BB9C4E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BE98AF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3D681D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A9FFD0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FE74DA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5BDD9B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29B2EB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BF1F12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D0BEA46">
      <w:r>
        <w:br w:type="page"/>
      </w:r>
    </w:p>
    <w:p w14:paraId="74F81CE9">
      <w:pPr>
        <w:spacing w:line="240" w:lineRule="auto"/>
        <w:jc w:val="center"/>
        <w:outlineLvl w:val="1"/>
      </w:pPr>
      <w:r>
        <w:rPr>
          <w:rFonts w:ascii="黑体" w:hAnsi="黑体" w:eastAsia="黑体"/>
          <w:sz w:val="32"/>
        </w:rPr>
        <w:t>第四部分 部门决算报表（见附表）</w:t>
      </w:r>
    </w:p>
    <w:p w14:paraId="38C39117">
      <w:pPr>
        <w:spacing w:line="240" w:lineRule="auto"/>
        <w:ind w:firstLine="640"/>
        <w:jc w:val="both"/>
      </w:pPr>
      <w:r>
        <w:rPr>
          <w:rFonts w:ascii="仿宋_GB2312" w:hAnsi="仿宋_GB2312" w:eastAsia="仿宋_GB2312"/>
          <w:b w:val="0"/>
          <w:sz w:val="32"/>
        </w:rPr>
        <w:t>一、《收入支出决算总表》</w:t>
      </w:r>
    </w:p>
    <w:p w14:paraId="0C4FC021">
      <w:pPr>
        <w:spacing w:line="240" w:lineRule="auto"/>
        <w:ind w:firstLine="640"/>
        <w:jc w:val="both"/>
      </w:pPr>
      <w:r>
        <w:rPr>
          <w:rFonts w:ascii="仿宋_GB2312" w:hAnsi="仿宋_GB2312" w:eastAsia="仿宋_GB2312"/>
          <w:b w:val="0"/>
          <w:sz w:val="32"/>
        </w:rPr>
        <w:t>二、《收入决算表》</w:t>
      </w:r>
    </w:p>
    <w:p w14:paraId="5A6A1D67">
      <w:pPr>
        <w:spacing w:line="240" w:lineRule="auto"/>
        <w:ind w:firstLine="640"/>
        <w:jc w:val="both"/>
      </w:pPr>
      <w:r>
        <w:rPr>
          <w:rFonts w:ascii="仿宋_GB2312" w:hAnsi="仿宋_GB2312" w:eastAsia="仿宋_GB2312"/>
          <w:b w:val="0"/>
          <w:sz w:val="32"/>
        </w:rPr>
        <w:t>三、《支出决算表》</w:t>
      </w:r>
    </w:p>
    <w:p w14:paraId="49B076F7">
      <w:pPr>
        <w:spacing w:line="240" w:lineRule="auto"/>
        <w:ind w:firstLine="640"/>
        <w:jc w:val="both"/>
      </w:pPr>
      <w:r>
        <w:rPr>
          <w:rFonts w:ascii="仿宋_GB2312" w:hAnsi="仿宋_GB2312" w:eastAsia="仿宋_GB2312"/>
          <w:b w:val="0"/>
          <w:sz w:val="32"/>
        </w:rPr>
        <w:t>四、《财政拨款收入支出决算总表》</w:t>
      </w:r>
    </w:p>
    <w:p w14:paraId="77CD4873">
      <w:pPr>
        <w:spacing w:line="240" w:lineRule="auto"/>
        <w:ind w:firstLine="640"/>
        <w:jc w:val="both"/>
      </w:pPr>
      <w:r>
        <w:rPr>
          <w:rFonts w:ascii="仿宋_GB2312" w:hAnsi="仿宋_GB2312" w:eastAsia="仿宋_GB2312"/>
          <w:b w:val="0"/>
          <w:sz w:val="32"/>
        </w:rPr>
        <w:t>五、《一般公共预算财政拨款支出决算表》</w:t>
      </w:r>
    </w:p>
    <w:p w14:paraId="70A4D836">
      <w:pPr>
        <w:spacing w:line="240" w:lineRule="auto"/>
        <w:ind w:firstLine="640"/>
        <w:jc w:val="both"/>
      </w:pPr>
      <w:r>
        <w:rPr>
          <w:rFonts w:ascii="仿宋_GB2312" w:hAnsi="仿宋_GB2312" w:eastAsia="仿宋_GB2312"/>
          <w:b w:val="0"/>
          <w:sz w:val="32"/>
        </w:rPr>
        <w:t>六、《一般公共预算财政拨款基本支出决算表》</w:t>
      </w:r>
    </w:p>
    <w:p w14:paraId="4607A821">
      <w:pPr>
        <w:spacing w:line="240" w:lineRule="auto"/>
        <w:ind w:firstLine="640"/>
        <w:jc w:val="both"/>
      </w:pPr>
      <w:r>
        <w:rPr>
          <w:rFonts w:ascii="仿宋_GB2312" w:hAnsi="仿宋_GB2312" w:eastAsia="仿宋_GB2312"/>
          <w:b w:val="0"/>
          <w:sz w:val="32"/>
        </w:rPr>
        <w:t>七、《政府性基金预算财政拨款收入支出决算表》</w:t>
      </w:r>
    </w:p>
    <w:p w14:paraId="3AD0ED3E">
      <w:pPr>
        <w:spacing w:line="240" w:lineRule="auto"/>
        <w:ind w:firstLine="640"/>
        <w:jc w:val="both"/>
      </w:pPr>
      <w:r>
        <w:rPr>
          <w:rFonts w:ascii="仿宋_GB2312" w:hAnsi="仿宋_GB2312" w:eastAsia="仿宋_GB2312"/>
          <w:b w:val="0"/>
          <w:sz w:val="32"/>
        </w:rPr>
        <w:t>八、《国有资本经营预算财政拨款收入支出决算表》</w:t>
      </w:r>
    </w:p>
    <w:p w14:paraId="47CF754C">
      <w:pPr>
        <w:spacing w:line="240" w:lineRule="auto"/>
        <w:ind w:firstLine="640"/>
        <w:jc w:val="both"/>
      </w:pPr>
      <w:r>
        <w:rPr>
          <w:rFonts w:ascii="仿宋_GB2312" w:hAnsi="仿宋_GB2312" w:eastAsia="仿宋_GB2312"/>
          <w:b w:val="0"/>
          <w:sz w:val="32"/>
        </w:rPr>
        <w:t>九、《财政拨款“三公”经费支出决算表》</w:t>
      </w:r>
    </w:p>
    <w:p w14:paraId="340F47F3">
      <w:pPr>
        <w:spacing w:line="240" w:lineRule="auto"/>
        <w:ind w:firstLine="640"/>
        <w:jc w:val="both"/>
      </w:pPr>
    </w:p>
    <w:p w14:paraId="25098C23">
      <w:pPr>
        <w:spacing w:line="240" w:lineRule="auto"/>
        <w:ind w:firstLine="640"/>
        <w:jc w:val="both"/>
      </w:pPr>
    </w:p>
    <w:p w14:paraId="75E7899A">
      <w:pPr>
        <w:spacing w:line="240" w:lineRule="auto"/>
        <w:ind w:firstLine="640"/>
        <w:jc w:val="both"/>
      </w:pPr>
    </w:p>
    <w:p w14:paraId="01ED8B74">
      <w:pPr>
        <w:spacing w:line="240" w:lineRule="auto"/>
        <w:ind w:firstLine="640"/>
        <w:jc w:val="both"/>
      </w:pPr>
    </w:p>
    <w:p w14:paraId="5C58BA5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038BB38-EC99-41FA-AF71-E6A1489FB15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47C2FAE-2124-438B-ABF8-D6C1023531D2}"/>
  </w:font>
  <w:font w:name="仿宋_GB2312">
    <w:panose1 w:val="02010609030101010101"/>
    <w:charset w:val="86"/>
    <w:family w:val="modern"/>
    <w:pitch w:val="default"/>
    <w:sig w:usb0="00000001" w:usb1="080E0000" w:usb2="00000000" w:usb3="00000000" w:csb0="00040000" w:csb1="00000000"/>
    <w:embedRegular r:id="rId3" w:fontKey="{0E98BA52-DF2F-4EB8-9490-37C30AFAE7F9}"/>
  </w:font>
  <w:font w:name="楷体_GB2312">
    <w:panose1 w:val="02010609030101010101"/>
    <w:charset w:val="86"/>
    <w:family w:val="auto"/>
    <w:pitch w:val="default"/>
    <w:sig w:usb0="00000001" w:usb1="080E0000" w:usb2="00000000" w:usb3="00000000" w:csb0="00040000" w:csb1="00000000"/>
    <w:embedRegular r:id="rId4" w:fontKey="{46D728F7-E36F-437D-9550-DC2C02DA7961}"/>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6041A23"/>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7BD4A31"/>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4233</Words>
  <Characters>4814</Characters>
  <Lines>0</Lines>
  <Paragraphs>0</Paragraphs>
  <TotalTime>4</TotalTime>
  <ScaleCrop>false</ScaleCrop>
  <LinksUpToDate>false</LinksUpToDate>
  <CharactersWithSpaces>4822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2025-09-12T10:14:35Z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eyJoZGlkIjoiMGIxZTI3ODM4ZmVjOGE5NDFiYmE3OTRiMjQ5OTEyNzIiLCJ1c2VySWQiOiIzNzI2MDMzNTYifQ==</vt:lpwstr>
  </property>
</Properties>
</file>