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岳普湖县爱国卫生运动服务中心2024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2159E52">
      <w:r>
        <w:br w:type="page"/>
      </w:r>
    </w:p>
    <w:p w14:paraId="7AB3C90E">
      <w:pPr>
        <w:spacing w:line="640" w:lineRule="exact"/>
        <w:jc w:val="center"/>
        <w:outlineLvl w:val="1"/>
      </w:pPr>
      <w:r>
        <w:rPr>
          <w:rFonts w:ascii="黑体" w:hAnsi="黑体" w:eastAsia="黑体"/>
          <w:sz w:val="32"/>
        </w:rPr>
        <w:t>第一部分 单位概况</w:t>
      </w:r>
    </w:p>
    <w:p w14:paraId="6F2CA8E9">
      <w:pPr>
        <w:spacing w:line="640" w:lineRule="exact"/>
        <w:ind w:firstLine="640"/>
        <w:jc w:val="both"/>
        <w:outlineLvl w:val="2"/>
      </w:pPr>
      <w:r>
        <w:rPr>
          <w:rFonts w:ascii="黑体" w:hAnsi="黑体" w:eastAsia="黑体"/>
          <w:sz w:val="32"/>
        </w:rPr>
        <w:t>一、主要职能</w:t>
      </w:r>
    </w:p>
    <w:p w14:paraId="061FEBD0">
      <w:pPr>
        <w:spacing w:line="580" w:lineRule="exact"/>
        <w:ind w:firstLine="640"/>
        <w:jc w:val="both"/>
      </w:pPr>
      <w:r>
        <w:rPr>
          <w:rFonts w:ascii="仿宋_GB2312" w:hAnsi="仿宋_GB2312" w:eastAsia="仿宋_GB2312"/>
          <w:sz w:val="32"/>
        </w:rPr>
        <w:t>宣传、贯彻有关爱国卫生工作的法律、法规、规章和政策；参与爱国卫生工作的监督检查、考核评价；开展创建卫生城市、卫生乡（镇）、村和卫生单位活动；开展全民健康教育活动；指导乡镇改水、改厕、除四害等环境卫生综合整治工作；认真履行《公共场所禁止吸烟暂行规定》，加强对烟草危害的宣传工作，制定控（禁）烟计划和制度，设立禁烟标志，落实控烟措施，创建无吸烟单位；完成主管部门交办的</w:t>
      </w:r>
      <w:r>
        <w:rPr>
          <w:rFonts w:hint="eastAsia" w:ascii="仿宋_GB2312" w:hAnsi="仿宋_GB2312" w:eastAsia="仿宋_GB2312"/>
          <w:sz w:val="32"/>
          <w:lang w:eastAsia="zh-CN"/>
        </w:rPr>
        <w:t>其他</w:t>
      </w:r>
      <w:r>
        <w:rPr>
          <w:rFonts w:ascii="仿宋_GB2312" w:hAnsi="仿宋_GB2312" w:eastAsia="仿宋_GB2312"/>
          <w:sz w:val="32"/>
        </w:rPr>
        <w:t>工作。</w:t>
      </w:r>
    </w:p>
    <w:p w14:paraId="7ECB7383">
      <w:pPr>
        <w:spacing w:line="640" w:lineRule="exact"/>
        <w:ind w:firstLine="640"/>
        <w:jc w:val="both"/>
        <w:outlineLvl w:val="2"/>
      </w:pPr>
      <w:r>
        <w:rPr>
          <w:rFonts w:ascii="黑体" w:hAnsi="黑体" w:eastAsia="黑体"/>
          <w:sz w:val="32"/>
        </w:rPr>
        <w:t>二、机构设置及人员情况</w:t>
      </w:r>
    </w:p>
    <w:p w14:paraId="3765F971">
      <w:pPr>
        <w:spacing w:line="580" w:lineRule="exact"/>
        <w:ind w:firstLine="640"/>
        <w:jc w:val="both"/>
      </w:pPr>
      <w:r>
        <w:rPr>
          <w:rFonts w:ascii="仿宋_GB2312" w:hAnsi="仿宋_GB2312" w:eastAsia="仿宋_GB2312"/>
          <w:sz w:val="32"/>
        </w:rPr>
        <w:t>岳普湖县爱国卫生运动服务中心2024年度，实有人数11人，其中：在职人员5人，增加0人；离休人员0人，增加0人；退休人员6人,增加0人。</w:t>
      </w:r>
    </w:p>
    <w:p w14:paraId="6C90B73D">
      <w:pPr>
        <w:spacing w:line="580" w:lineRule="exact"/>
        <w:ind w:firstLine="640"/>
        <w:jc w:val="both"/>
      </w:pPr>
      <w:r>
        <w:rPr>
          <w:rFonts w:ascii="仿宋_GB2312" w:hAnsi="仿宋_GB2312" w:eastAsia="仿宋_GB2312"/>
          <w:sz w:val="32"/>
        </w:rPr>
        <w:t>岳普湖县爱国卫生运动服务中心无下属预算单位，下设1个科室，分别是：综合办公室。</w:t>
      </w:r>
    </w:p>
    <w:p w14:paraId="6C056714">
      <w:r>
        <w:br w:type="page"/>
      </w:r>
    </w:p>
    <w:p w14:paraId="6C8BB938">
      <w:pPr>
        <w:spacing w:line="240" w:lineRule="auto"/>
        <w:jc w:val="center"/>
        <w:outlineLvl w:val="1"/>
      </w:pPr>
      <w:r>
        <w:rPr>
          <w:rFonts w:ascii="黑体" w:hAnsi="黑体" w:eastAsia="黑体"/>
          <w:sz w:val="32"/>
        </w:rPr>
        <w:t>第二部分 部门决算情况说明</w:t>
      </w:r>
    </w:p>
    <w:p w14:paraId="5A5D77C1">
      <w:pPr>
        <w:spacing w:line="640" w:lineRule="exact"/>
        <w:ind w:firstLine="640"/>
        <w:jc w:val="both"/>
        <w:outlineLvl w:val="2"/>
      </w:pPr>
      <w:r>
        <w:rPr>
          <w:rFonts w:ascii="黑体" w:hAnsi="黑体" w:eastAsia="黑体"/>
          <w:sz w:val="32"/>
        </w:rPr>
        <w:t>一、收入支出决算总体情况说明</w:t>
      </w:r>
    </w:p>
    <w:p w14:paraId="1100FA05">
      <w:pPr>
        <w:spacing w:line="580" w:lineRule="exact"/>
        <w:ind w:firstLine="640"/>
        <w:jc w:val="both"/>
      </w:pPr>
      <w:r>
        <w:rPr>
          <w:rFonts w:ascii="仿宋_GB2312" w:hAnsi="仿宋_GB2312" w:eastAsia="仿宋_GB2312"/>
          <w:b/>
          <w:sz w:val="32"/>
        </w:rPr>
        <w:t>2024年度收入总计108.18万元，</w:t>
      </w:r>
      <w:r>
        <w:rPr>
          <w:rFonts w:ascii="仿宋_GB2312" w:hAnsi="仿宋_GB2312" w:eastAsia="仿宋_GB2312"/>
          <w:b w:val="0"/>
          <w:sz w:val="32"/>
        </w:rPr>
        <w:t>其中：本年收入合计108.18万元，使用非财政拨款结余（含专用结余）0.00万元，年初结转和结余0.00万元。</w:t>
      </w:r>
    </w:p>
    <w:p w14:paraId="743E81B2">
      <w:pPr>
        <w:spacing w:line="580" w:lineRule="exact"/>
        <w:ind w:firstLine="640"/>
        <w:jc w:val="both"/>
      </w:pPr>
      <w:r>
        <w:rPr>
          <w:rFonts w:ascii="仿宋_GB2312" w:hAnsi="仿宋_GB2312" w:eastAsia="仿宋_GB2312"/>
          <w:b/>
          <w:sz w:val="32"/>
        </w:rPr>
        <w:t>2024年度支出总计108.18万元，</w:t>
      </w:r>
      <w:r>
        <w:rPr>
          <w:rFonts w:ascii="仿宋_GB2312" w:hAnsi="仿宋_GB2312" w:eastAsia="仿宋_GB2312"/>
          <w:b w:val="0"/>
          <w:sz w:val="32"/>
        </w:rPr>
        <w:t>其中：本年支出合计108.18万元，结余分配0.00万元，年末结转和结余0.00万元。</w:t>
      </w:r>
    </w:p>
    <w:p w14:paraId="49B32F2E">
      <w:pPr>
        <w:spacing w:line="580" w:lineRule="exact"/>
        <w:ind w:firstLine="640"/>
        <w:jc w:val="both"/>
      </w:pPr>
      <w:r>
        <w:rPr>
          <w:rFonts w:ascii="仿宋_GB2312" w:hAnsi="仿宋_GB2312" w:eastAsia="仿宋_GB2312"/>
          <w:b w:val="0"/>
          <w:sz w:val="32"/>
        </w:rPr>
        <w:t>收入支出总体与上年相比，减少6.80万元，下降5.91%，主要原因是：2023年支出中含补发在职人员2022年基础绩效奖、艰苦边远津贴增资部分，本年无此项支出，支出较上年减少。</w:t>
      </w:r>
    </w:p>
    <w:p w14:paraId="475DBB1B">
      <w:pPr>
        <w:spacing w:line="640" w:lineRule="exact"/>
        <w:ind w:firstLine="640"/>
        <w:jc w:val="both"/>
        <w:outlineLvl w:val="2"/>
      </w:pPr>
      <w:r>
        <w:rPr>
          <w:rFonts w:ascii="黑体" w:hAnsi="黑体" w:eastAsia="黑体"/>
          <w:sz w:val="32"/>
        </w:rPr>
        <w:t>二、收入决算情况说明</w:t>
      </w:r>
    </w:p>
    <w:p w14:paraId="5FE1A14A">
      <w:pPr>
        <w:spacing w:line="580" w:lineRule="exact"/>
        <w:ind w:firstLine="640"/>
        <w:jc w:val="both"/>
      </w:pPr>
      <w:r>
        <w:rPr>
          <w:rFonts w:ascii="仿宋_GB2312" w:hAnsi="仿宋_GB2312" w:eastAsia="仿宋_GB2312"/>
          <w:b/>
          <w:sz w:val="32"/>
        </w:rPr>
        <w:t>本年收入108.18万元，</w:t>
      </w:r>
      <w:r>
        <w:rPr>
          <w:rFonts w:ascii="仿宋_GB2312" w:hAnsi="仿宋_GB2312" w:eastAsia="仿宋_GB2312"/>
          <w:b w:val="0"/>
          <w:sz w:val="32"/>
        </w:rPr>
        <w:t>其中：财政拨款收入108.18万元，占100.00%；上级补助收入0.00万元，占0.00%；事业收入0.00万元，占0.00%；经营收入0.00万元，占0.00%；附属单位上缴收入0.00万元，占0.00%；其他收入0.00万元，占0.00%。</w:t>
      </w:r>
    </w:p>
    <w:p w14:paraId="3CC0D9FF">
      <w:pPr>
        <w:spacing w:line="640" w:lineRule="exact"/>
        <w:ind w:firstLine="640"/>
        <w:jc w:val="both"/>
        <w:outlineLvl w:val="2"/>
      </w:pPr>
      <w:r>
        <w:rPr>
          <w:rFonts w:ascii="黑体" w:hAnsi="黑体" w:eastAsia="黑体"/>
          <w:sz w:val="32"/>
        </w:rPr>
        <w:t>三、支出决算情况说明</w:t>
      </w:r>
    </w:p>
    <w:p w14:paraId="03AE833F">
      <w:pPr>
        <w:spacing w:line="580" w:lineRule="exact"/>
        <w:ind w:firstLine="640"/>
        <w:jc w:val="both"/>
      </w:pPr>
      <w:r>
        <w:rPr>
          <w:rFonts w:ascii="仿宋_GB2312" w:hAnsi="仿宋_GB2312" w:eastAsia="仿宋_GB2312"/>
          <w:b/>
          <w:sz w:val="32"/>
        </w:rPr>
        <w:t>本年支出108.18万元，</w:t>
      </w:r>
      <w:r>
        <w:rPr>
          <w:rFonts w:ascii="仿宋_GB2312" w:hAnsi="仿宋_GB2312" w:eastAsia="仿宋_GB2312"/>
          <w:b w:val="0"/>
          <w:sz w:val="32"/>
        </w:rPr>
        <w:t>其中：基本支出108.18万元，占100.00%；项目支出0.00万元，占0.00%；上缴上级支出0.00万元，占0.00%；经营支出0.00万元，占0.00%；对附属单位补助支出0.00万元，占0.00%。</w:t>
      </w:r>
    </w:p>
    <w:p w14:paraId="7A73ECDB">
      <w:pPr>
        <w:spacing w:line="640" w:lineRule="exact"/>
        <w:ind w:firstLine="640"/>
        <w:jc w:val="both"/>
        <w:outlineLvl w:val="2"/>
      </w:pPr>
      <w:r>
        <w:rPr>
          <w:rFonts w:ascii="黑体" w:hAnsi="黑体" w:eastAsia="黑体"/>
          <w:sz w:val="32"/>
        </w:rPr>
        <w:t>四、财政拨款收入支出决算总体情况说明</w:t>
      </w:r>
    </w:p>
    <w:p w14:paraId="66118CDB">
      <w:pPr>
        <w:spacing w:line="580" w:lineRule="exact"/>
        <w:ind w:firstLine="640"/>
        <w:jc w:val="both"/>
      </w:pPr>
      <w:r>
        <w:rPr>
          <w:rFonts w:ascii="仿宋_GB2312" w:hAnsi="仿宋_GB2312" w:eastAsia="仿宋_GB2312"/>
          <w:b/>
          <w:sz w:val="32"/>
        </w:rPr>
        <w:t>2024年度财政拨款收入总计108.18万元，</w:t>
      </w:r>
      <w:r>
        <w:rPr>
          <w:rFonts w:ascii="仿宋_GB2312" w:hAnsi="仿宋_GB2312" w:eastAsia="仿宋_GB2312"/>
          <w:b w:val="0"/>
          <w:sz w:val="32"/>
        </w:rPr>
        <w:t>其中：年初财政拨款结转和结余0.00万元，本年财政拨款收入108.18万元。</w:t>
      </w:r>
      <w:r>
        <w:rPr>
          <w:rFonts w:ascii="仿宋_GB2312" w:hAnsi="仿宋_GB2312" w:eastAsia="仿宋_GB2312"/>
          <w:b/>
          <w:sz w:val="32"/>
        </w:rPr>
        <w:t>财政拨款支出总计108.18万元，</w:t>
      </w:r>
      <w:r>
        <w:rPr>
          <w:rFonts w:ascii="仿宋_GB2312" w:hAnsi="仿宋_GB2312" w:eastAsia="仿宋_GB2312"/>
          <w:b w:val="0"/>
          <w:sz w:val="32"/>
        </w:rPr>
        <w:t>其中：年末财政拨款结转和结余0.00万元，本年财政拨款支出108.18万元。</w:t>
      </w:r>
    </w:p>
    <w:p w14:paraId="704AA3B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减少6.80万元，下降5.91%，主要原因是：2023年支出中含补发在职人员2022年基础绩效奖、艰苦边远津贴增资部分，本年无此项支出，支出较上年减少。</w:t>
      </w:r>
      <w:r>
        <w:rPr>
          <w:rFonts w:ascii="仿宋_GB2312" w:hAnsi="仿宋_GB2312" w:eastAsia="仿宋_GB2312"/>
          <w:b/>
          <w:sz w:val="32"/>
        </w:rPr>
        <w:t>与年初预算相比，</w:t>
      </w:r>
      <w:r>
        <w:rPr>
          <w:rFonts w:ascii="仿宋_GB2312" w:hAnsi="仿宋_GB2312" w:eastAsia="仿宋_GB2312"/>
          <w:b w:val="0"/>
          <w:sz w:val="32"/>
        </w:rPr>
        <w:t>年初预算数100.52万元，决算数108.18万元，预决算差异率7.62%，主要原因是：年中追加人员工资、社保、公积金基数调增部分资金，导致预决算存在差异。</w:t>
      </w:r>
    </w:p>
    <w:p w14:paraId="1225413E">
      <w:pPr>
        <w:spacing w:line="640" w:lineRule="exact"/>
        <w:ind w:firstLine="640"/>
        <w:jc w:val="both"/>
        <w:outlineLvl w:val="2"/>
      </w:pPr>
      <w:r>
        <w:rPr>
          <w:rFonts w:ascii="黑体" w:hAnsi="黑体" w:eastAsia="黑体"/>
          <w:sz w:val="32"/>
        </w:rPr>
        <w:t>五、一般公共预算财政拨款支出决算情况说明</w:t>
      </w:r>
    </w:p>
    <w:p w14:paraId="17C2B7E8">
      <w:pPr>
        <w:spacing w:line="640" w:lineRule="exact"/>
        <w:ind w:firstLine="640"/>
        <w:jc w:val="both"/>
        <w:outlineLvl w:val="3"/>
      </w:pPr>
      <w:r>
        <w:rPr>
          <w:rFonts w:ascii="楷体_GB2312" w:hAnsi="楷体_GB2312" w:eastAsia="楷体_GB2312"/>
          <w:b/>
          <w:sz w:val="32"/>
        </w:rPr>
        <w:t>（一）一般公共预算财政拨款支出决算总体情况</w:t>
      </w:r>
    </w:p>
    <w:p w14:paraId="4C87345B">
      <w:pPr>
        <w:spacing w:line="580" w:lineRule="exact"/>
        <w:ind w:firstLine="640"/>
        <w:jc w:val="both"/>
      </w:pPr>
      <w:r>
        <w:rPr>
          <w:rFonts w:ascii="仿宋_GB2312" w:hAnsi="仿宋_GB2312" w:eastAsia="仿宋_GB2312"/>
          <w:b/>
          <w:sz w:val="32"/>
        </w:rPr>
        <w:t>2024年度一般公共预算财政拨款支出108.18万元，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减少6.80万元，下降5.91%，主要原因是：2023年支出中含补发在职人员2022年基础绩效奖、艰苦边远津贴增资部分，本年无此项支出，支出较上年减少。</w:t>
      </w:r>
      <w:r>
        <w:rPr>
          <w:rFonts w:ascii="仿宋_GB2312" w:hAnsi="仿宋_GB2312" w:eastAsia="仿宋_GB2312"/>
          <w:b/>
          <w:sz w:val="32"/>
        </w:rPr>
        <w:t>与年初预算相比,</w:t>
      </w:r>
      <w:r>
        <w:rPr>
          <w:rFonts w:ascii="仿宋_GB2312" w:hAnsi="仿宋_GB2312" w:eastAsia="仿宋_GB2312"/>
          <w:b w:val="0"/>
          <w:sz w:val="32"/>
        </w:rPr>
        <w:t>年初预算数100.52万元，决算数108.18万元，预决算差异率7.62%，主要原因是：年中追加人员工资、社保、公积金基数调增部分资金，导致预决算存在差异。</w:t>
      </w:r>
    </w:p>
    <w:p w14:paraId="2215A22D">
      <w:pPr>
        <w:spacing w:line="640" w:lineRule="exact"/>
        <w:ind w:firstLine="640"/>
        <w:jc w:val="both"/>
        <w:outlineLvl w:val="3"/>
      </w:pPr>
      <w:r>
        <w:rPr>
          <w:rFonts w:ascii="楷体_GB2312" w:hAnsi="楷体_GB2312" w:eastAsia="楷体_GB2312"/>
          <w:b/>
          <w:sz w:val="32"/>
        </w:rPr>
        <w:t>（二）一般公共预算财政拨款支出决算结构情况</w:t>
      </w:r>
    </w:p>
    <w:p w14:paraId="257D71BA">
      <w:pPr>
        <w:spacing w:line="580" w:lineRule="exact"/>
        <w:ind w:firstLine="640"/>
        <w:jc w:val="both"/>
      </w:pPr>
      <w:r>
        <w:rPr>
          <w:rFonts w:ascii="仿宋_GB2312" w:hAnsi="仿宋_GB2312" w:eastAsia="仿宋_GB2312"/>
          <w:b w:val="0"/>
          <w:sz w:val="32"/>
        </w:rPr>
        <w:t>1.一般公共服务支出(类)72.61万元,占67.12%。</w:t>
      </w:r>
    </w:p>
    <w:p w14:paraId="74964FE7">
      <w:pPr>
        <w:spacing w:line="580" w:lineRule="exact"/>
        <w:ind w:firstLine="640"/>
        <w:jc w:val="both"/>
      </w:pPr>
      <w:r>
        <w:rPr>
          <w:rFonts w:ascii="仿宋_GB2312" w:hAnsi="仿宋_GB2312" w:eastAsia="仿宋_GB2312"/>
          <w:b w:val="0"/>
          <w:sz w:val="32"/>
        </w:rPr>
        <w:t>2.社会保障和就业支出(类)22.99万元,占21.25%。</w:t>
      </w:r>
    </w:p>
    <w:p w14:paraId="5E8F7447">
      <w:pPr>
        <w:spacing w:line="580" w:lineRule="exact"/>
        <w:ind w:firstLine="640"/>
        <w:jc w:val="both"/>
      </w:pPr>
      <w:r>
        <w:rPr>
          <w:rFonts w:ascii="仿宋_GB2312" w:hAnsi="仿宋_GB2312" w:eastAsia="仿宋_GB2312"/>
          <w:b w:val="0"/>
          <w:sz w:val="32"/>
        </w:rPr>
        <w:t>3.卫生健康支出(类)5.08万元,占4.70%。</w:t>
      </w:r>
    </w:p>
    <w:p w14:paraId="697BB30E">
      <w:pPr>
        <w:spacing w:line="580" w:lineRule="exact"/>
        <w:ind w:firstLine="640"/>
        <w:jc w:val="both"/>
      </w:pPr>
      <w:r>
        <w:rPr>
          <w:rFonts w:ascii="仿宋_GB2312" w:hAnsi="仿宋_GB2312" w:eastAsia="仿宋_GB2312"/>
          <w:b w:val="0"/>
          <w:sz w:val="32"/>
        </w:rPr>
        <w:t>4.住房保障支出(类)7.50万元,占6.93%。</w:t>
      </w:r>
    </w:p>
    <w:p w14:paraId="677A0FB0">
      <w:pPr>
        <w:spacing w:line="640" w:lineRule="exact"/>
        <w:ind w:firstLine="640"/>
        <w:jc w:val="both"/>
        <w:outlineLvl w:val="3"/>
      </w:pPr>
      <w:r>
        <w:rPr>
          <w:rFonts w:ascii="楷体_GB2312" w:hAnsi="楷体_GB2312" w:eastAsia="楷体_GB2312"/>
          <w:b/>
          <w:sz w:val="32"/>
        </w:rPr>
        <w:t>（三）一般公共预算财政拨款支出决算具体情况</w:t>
      </w:r>
    </w:p>
    <w:p w14:paraId="74891824">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72.61万元，比上年决算减少4.59万元，下降5.95%,主要原因是：2023年支出中有补发2022全年在职人员艰苦边远地区津贴增资额和基础绩效奖增资额，本年无此项支出，支出较上年减少。</w:t>
      </w:r>
    </w:p>
    <w:p w14:paraId="45F2090C">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2.社会保障和就业支出(类)行政事业单位养老支出(款)行政单位离退休(项):支出决算数为8.46万元，比上年决算增加1.70万元，增长25.15%,主要原因是：本年增加退休人员基础绩效奖，退休费支出增加。</w:t>
      </w:r>
    </w:p>
    <w:p w14:paraId="65583D3B">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3.社会保障和就业支出(类)行政事业单位养老支出(款)机关事业单位基本养老保险缴费支出(项):支出决算数为9.24万元，比上年决算减少0.08万元，下降0.86%,主要原因是：上年度年中在职人员减少1人，</w:t>
      </w:r>
      <w:r>
        <w:rPr>
          <w:rFonts w:hint="eastAsia" w:ascii="仿宋_GB2312" w:hAnsi="仿宋_GB2312" w:eastAsia="仿宋_GB2312"/>
          <w:b w:val="0"/>
          <w:sz w:val="32"/>
          <w:lang w:val="en-US" w:eastAsia="zh-CN"/>
        </w:rPr>
        <w:t>导致</w:t>
      </w:r>
      <w:r>
        <w:rPr>
          <w:rFonts w:ascii="仿宋_GB2312" w:hAnsi="仿宋_GB2312" w:eastAsia="仿宋_GB2312"/>
          <w:b w:val="0"/>
          <w:sz w:val="32"/>
        </w:rPr>
        <w:t>机关事业单位基本养老保险缴费支出较上年减少。</w:t>
      </w:r>
    </w:p>
    <w:p w14:paraId="3B8AB757">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4.社会保障和就业支出(类)行政事业单位养老支出(款)机关事业单位职业年金缴费支出(项):支出决算数为5.28万元，比上年决算减少1.40万元，下降20.96%,主要原因是：</w:t>
      </w:r>
      <w:r>
        <w:rPr>
          <w:rFonts w:hint="eastAsia" w:ascii="仿宋_GB2312" w:hAnsi="仿宋_GB2312" w:eastAsia="仿宋_GB2312"/>
          <w:b w:val="0"/>
          <w:sz w:val="32"/>
          <w:lang w:val="en-US" w:eastAsia="zh-CN"/>
        </w:rPr>
        <w:t>本年调出人员较上年减少，职业年金支出较上年减少</w:t>
      </w:r>
      <w:r>
        <w:rPr>
          <w:rFonts w:ascii="仿宋_GB2312" w:hAnsi="仿宋_GB2312" w:eastAsia="仿宋_GB2312"/>
          <w:b w:val="0"/>
          <w:sz w:val="32"/>
        </w:rPr>
        <w:t>。</w:t>
      </w:r>
    </w:p>
    <w:p w14:paraId="218B2F6A">
      <w:pPr>
        <w:spacing w:line="580" w:lineRule="exact"/>
        <w:ind w:firstLine="640"/>
        <w:jc w:val="both"/>
      </w:pPr>
      <w:r>
        <w:rPr>
          <w:rFonts w:ascii="仿宋_GB2312" w:hAnsi="仿宋_GB2312" w:eastAsia="仿宋_GB2312"/>
          <w:b w:val="0"/>
          <w:sz w:val="32"/>
        </w:rPr>
        <w:t>5.卫生健康支出(类)行政事业单位医疗(款)行政单位医疗(项):支出决算数为3.93万元，比上年决算减少2.05万元，下降34.28%,主要原因是：因退休人员医疗保险制度改革，退休人员基本医疗不再由单位缴纳，导致经费较上年减少。</w:t>
      </w:r>
    </w:p>
    <w:p w14:paraId="37E771AB">
      <w:pPr>
        <w:spacing w:line="580" w:lineRule="exact"/>
        <w:ind w:firstLine="640"/>
        <w:jc w:val="both"/>
      </w:pPr>
      <w:r>
        <w:rPr>
          <w:rFonts w:ascii="仿宋_GB2312" w:hAnsi="仿宋_GB2312" w:eastAsia="仿宋_GB2312"/>
          <w:b w:val="0"/>
          <w:sz w:val="32"/>
        </w:rPr>
        <w:t>6.卫生健康支出(类)行政事业单位医疗(款)公务员医疗补助(项):支出决算数为1.16万元，比上年决算减少0.76万元，下降39.58%,主要原因是：因退休人员医疗保险制度改革，退休人员公务员医疗补助不再由单位缴纳，导致经费较上年减少。</w:t>
      </w:r>
    </w:p>
    <w:p w14:paraId="3A5E316D">
      <w:pPr>
        <w:spacing w:line="580" w:lineRule="exact"/>
        <w:ind w:firstLine="640"/>
        <w:jc w:val="both"/>
      </w:pPr>
      <w:r>
        <w:rPr>
          <w:rFonts w:ascii="仿宋_GB2312" w:hAnsi="仿宋_GB2312" w:eastAsia="仿宋_GB2312"/>
          <w:b w:val="0"/>
          <w:sz w:val="32"/>
        </w:rPr>
        <w:t>7.住房保障支出(类)住房改革支出(款)住房公积金(项):支出决算数为7.50万元，比上年决算增加0.37万元，增长5.19%,主要原因是：本年在职人员工资基数调增，公积金缴费基数上涨，相应支出增加。</w:t>
      </w:r>
    </w:p>
    <w:p w14:paraId="01BAF177">
      <w:pPr>
        <w:spacing w:line="640" w:lineRule="exact"/>
        <w:ind w:firstLine="640"/>
        <w:jc w:val="both"/>
        <w:outlineLvl w:val="2"/>
      </w:pPr>
      <w:r>
        <w:rPr>
          <w:rFonts w:ascii="黑体" w:hAnsi="黑体" w:eastAsia="黑体"/>
          <w:sz w:val="32"/>
        </w:rPr>
        <w:t>六、一般公共预算财政拨款基本支出决算情况说明</w:t>
      </w:r>
    </w:p>
    <w:p w14:paraId="2EC3CF5D">
      <w:pPr>
        <w:spacing w:line="580" w:lineRule="exact"/>
        <w:ind w:firstLine="640"/>
        <w:jc w:val="both"/>
      </w:pPr>
      <w:r>
        <w:rPr>
          <w:rFonts w:ascii="仿宋_GB2312" w:hAnsi="仿宋_GB2312" w:eastAsia="仿宋_GB2312"/>
          <w:b w:val="0"/>
          <w:sz w:val="32"/>
        </w:rPr>
        <w:t>2024年度一般公共预算财政拨款基本支出108.18万元，其中：</w:t>
      </w:r>
      <w:r>
        <w:rPr>
          <w:rFonts w:ascii="仿宋_GB2312" w:hAnsi="仿宋_GB2312" w:eastAsia="仿宋_GB2312"/>
          <w:b/>
          <w:sz w:val="32"/>
        </w:rPr>
        <w:t>人员经费106.68万元，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w:t>
      </w:r>
    </w:p>
    <w:p w14:paraId="4ECAA572">
      <w:pPr>
        <w:spacing w:line="580" w:lineRule="exact"/>
        <w:ind w:firstLine="640"/>
        <w:jc w:val="both"/>
      </w:pPr>
      <w:r>
        <w:rPr>
          <w:rFonts w:ascii="仿宋_GB2312" w:hAnsi="仿宋_GB2312" w:eastAsia="仿宋_GB2312"/>
          <w:b/>
          <w:sz w:val="32"/>
        </w:rPr>
        <w:t>公用经费1.50万元，</w:t>
      </w:r>
      <w:r>
        <w:rPr>
          <w:rFonts w:ascii="仿宋_GB2312" w:hAnsi="仿宋_GB2312" w:eastAsia="仿宋_GB2312"/>
          <w:b w:val="0"/>
          <w:sz w:val="32"/>
        </w:rPr>
        <w:t>包括：办公费、印刷费、物业管理费、差旅费、劳务费。</w:t>
      </w:r>
    </w:p>
    <w:p w14:paraId="69C38295">
      <w:pPr>
        <w:spacing w:line="640" w:lineRule="exact"/>
        <w:ind w:firstLine="640"/>
        <w:jc w:val="both"/>
        <w:outlineLvl w:val="2"/>
      </w:pPr>
      <w:r>
        <w:rPr>
          <w:rFonts w:ascii="黑体" w:hAnsi="黑体" w:eastAsia="黑体"/>
          <w:sz w:val="32"/>
        </w:rPr>
        <w:t>七、政府性基金预算财政拨款收入支出决算情况说明</w:t>
      </w:r>
    </w:p>
    <w:p w14:paraId="755674F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A237297">
      <w:pPr>
        <w:spacing w:line="640" w:lineRule="exact"/>
        <w:ind w:firstLine="640"/>
        <w:jc w:val="both"/>
        <w:outlineLvl w:val="2"/>
      </w:pPr>
      <w:r>
        <w:rPr>
          <w:rFonts w:ascii="黑体" w:hAnsi="黑体" w:eastAsia="黑体"/>
          <w:sz w:val="32"/>
        </w:rPr>
        <w:t>八、国有资本经营预算财政拨款收入支出决算情况说明</w:t>
      </w:r>
    </w:p>
    <w:p w14:paraId="7D0C144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12BC78D">
      <w:pPr>
        <w:spacing w:line="640" w:lineRule="exact"/>
        <w:ind w:firstLine="640"/>
        <w:jc w:val="both"/>
        <w:outlineLvl w:val="2"/>
      </w:pPr>
      <w:r>
        <w:rPr>
          <w:rFonts w:ascii="黑体" w:hAnsi="黑体" w:eastAsia="黑体"/>
          <w:sz w:val="32"/>
        </w:rPr>
        <w:t>九、财政拨款“三公”经费支出决算情况说明</w:t>
      </w:r>
    </w:p>
    <w:p w14:paraId="12CDA54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AFB9BC2">
      <w:pPr>
        <w:spacing w:line="580" w:lineRule="exact"/>
        <w:ind w:firstLine="640"/>
        <w:jc w:val="both"/>
      </w:pPr>
      <w:r>
        <w:rPr>
          <w:rFonts w:ascii="仿宋_GB2312" w:hAnsi="仿宋_GB2312" w:eastAsia="仿宋_GB2312"/>
          <w:b/>
          <w:sz w:val="32"/>
        </w:rPr>
        <w:t>具体情况如下：</w:t>
      </w:r>
    </w:p>
    <w:p w14:paraId="07DA196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74EFAA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BE9900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339B38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43BC9A5">
      <w:pPr>
        <w:spacing w:line="640" w:lineRule="exact"/>
        <w:ind w:firstLine="640"/>
        <w:jc w:val="both"/>
        <w:outlineLvl w:val="2"/>
      </w:pPr>
      <w:r>
        <w:rPr>
          <w:rFonts w:ascii="黑体" w:hAnsi="黑体" w:eastAsia="黑体"/>
          <w:sz w:val="32"/>
        </w:rPr>
        <w:t>十、其他重要事项的情况说明</w:t>
      </w:r>
    </w:p>
    <w:p w14:paraId="7D8214BF">
      <w:pPr>
        <w:spacing w:line="640" w:lineRule="exact"/>
        <w:ind w:firstLine="640"/>
        <w:jc w:val="both"/>
        <w:outlineLvl w:val="3"/>
      </w:pPr>
      <w:r>
        <w:rPr>
          <w:rFonts w:ascii="楷体_GB2312" w:hAnsi="楷体_GB2312" w:eastAsia="楷体_GB2312"/>
          <w:b/>
          <w:sz w:val="32"/>
        </w:rPr>
        <w:t>（一）机关运行经费及公用经费支出情况</w:t>
      </w:r>
    </w:p>
    <w:p w14:paraId="0E7E304F">
      <w:pPr>
        <w:spacing w:line="580" w:lineRule="exact"/>
        <w:ind w:firstLine="640"/>
        <w:jc w:val="both"/>
      </w:pPr>
      <w:r>
        <w:rPr>
          <w:rFonts w:ascii="仿宋_GB2312" w:hAnsi="仿宋_GB2312" w:eastAsia="仿宋_GB2312"/>
          <w:b w:val="0"/>
          <w:sz w:val="32"/>
        </w:rPr>
        <w:t>2024年度岳普湖县爱国卫生运动服务中心（行政单位和参照公务员法管理事业单位）机关运行经费支出1.50万元，比上年减少0.30万元，下降16.67%，主要原因是：严控经费支出，厉行节约，减少经费支出。</w:t>
      </w:r>
    </w:p>
    <w:p w14:paraId="0F084DE2">
      <w:pPr>
        <w:spacing w:line="640" w:lineRule="exact"/>
        <w:ind w:firstLine="640"/>
        <w:jc w:val="both"/>
        <w:outlineLvl w:val="3"/>
      </w:pPr>
      <w:r>
        <w:rPr>
          <w:rFonts w:ascii="楷体_GB2312" w:hAnsi="楷体_GB2312" w:eastAsia="楷体_GB2312"/>
          <w:b/>
          <w:sz w:val="32"/>
        </w:rPr>
        <w:t>（二）政府采购情况</w:t>
      </w:r>
    </w:p>
    <w:p w14:paraId="051A42A8">
      <w:pPr>
        <w:spacing w:line="580" w:lineRule="exact"/>
        <w:ind w:firstLine="640"/>
        <w:jc w:val="both"/>
      </w:pPr>
      <w:r>
        <w:rPr>
          <w:rFonts w:ascii="仿宋_GB2312" w:hAnsi="仿宋_GB2312" w:eastAsia="仿宋_GB2312"/>
          <w:b w:val="0"/>
          <w:sz w:val="32"/>
        </w:rPr>
        <w:t>2024年度政府采购支出总额0.69万元，其中：政府采购货物支出0.00万元、政府采购工程支出0.00万元、政府采购服务支出0.69万元。</w:t>
      </w:r>
    </w:p>
    <w:p w14:paraId="241FCC99">
      <w:pPr>
        <w:spacing w:line="580" w:lineRule="exact"/>
        <w:ind w:firstLine="640"/>
        <w:jc w:val="both"/>
      </w:pPr>
      <w:r>
        <w:rPr>
          <w:rFonts w:ascii="仿宋_GB2312" w:hAnsi="仿宋_GB2312" w:eastAsia="仿宋_GB2312"/>
          <w:b w:val="0"/>
          <w:sz w:val="32"/>
        </w:rPr>
        <w:t>授予中小企业合同金额0.69万元，占政府采购支出总额的100.00%，其中：授予小微企业合同金额0.69万元，占政府采购支出总额的100.00%。</w:t>
      </w:r>
    </w:p>
    <w:p w14:paraId="78555478">
      <w:pPr>
        <w:spacing w:line="640" w:lineRule="exact"/>
        <w:ind w:firstLine="640"/>
        <w:jc w:val="both"/>
        <w:outlineLvl w:val="3"/>
      </w:pPr>
      <w:r>
        <w:rPr>
          <w:rFonts w:ascii="楷体_GB2312" w:hAnsi="楷体_GB2312" w:eastAsia="楷体_GB2312"/>
          <w:b/>
          <w:sz w:val="32"/>
        </w:rPr>
        <w:t>（三）国有资产占用情况说明</w:t>
      </w:r>
    </w:p>
    <w:p w14:paraId="48517248">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5529BC9">
      <w:pPr>
        <w:spacing w:line="640" w:lineRule="exact"/>
        <w:ind w:firstLine="640"/>
        <w:jc w:val="both"/>
        <w:outlineLvl w:val="2"/>
      </w:pPr>
      <w:r>
        <w:rPr>
          <w:rFonts w:ascii="黑体" w:hAnsi="黑体" w:eastAsia="黑体"/>
          <w:sz w:val="32"/>
        </w:rPr>
        <w:t>十一、预算绩效的情况说明</w:t>
      </w:r>
    </w:p>
    <w:p w14:paraId="3C7F94E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108.18万元，实际执行总额108.18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无预算绩效项目自评。具体附整体支出绩效自评表。</w:t>
      </w:r>
    </w:p>
    <w:p w14:paraId="1E34A08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1192"/>
        <w:gridCol w:w="774"/>
        <w:gridCol w:w="983"/>
        <w:gridCol w:w="983"/>
        <w:gridCol w:w="983"/>
        <w:gridCol w:w="983"/>
        <w:gridCol w:w="983"/>
      </w:tblGrid>
      <w:tr w14:paraId="3D585F68">
        <w:tblPrEx>
          <w:tblCellMar>
            <w:top w:w="0" w:type="dxa"/>
            <w:left w:w="108" w:type="dxa"/>
            <w:bottom w:w="0" w:type="dxa"/>
            <w:right w:w="108" w:type="dxa"/>
          </w:tblCellMar>
        </w:tblPrEx>
        <w:tc>
          <w:tcPr>
            <w:tcW w:w="8847" w:type="dxa"/>
            <w:gridSpan w:val="9"/>
            <w:vAlign w:val="center"/>
          </w:tcPr>
          <w:p w14:paraId="388C42E9">
            <w:pPr>
              <w:jc w:val="center"/>
            </w:pPr>
            <w:r>
              <w:rPr>
                <w:rFonts w:ascii="宋体" w:hAnsi="宋体" w:eastAsia="宋体"/>
                <w:sz w:val="24"/>
              </w:rPr>
              <w:t>单位整体支出绩效自评表</w:t>
            </w:r>
          </w:p>
        </w:tc>
      </w:tr>
      <w:tr w14:paraId="5BEF2D86">
        <w:tblPrEx>
          <w:tblCellMar>
            <w:top w:w="0" w:type="dxa"/>
            <w:left w:w="108" w:type="dxa"/>
            <w:bottom w:w="0" w:type="dxa"/>
            <w:right w:w="108" w:type="dxa"/>
          </w:tblCellMar>
        </w:tblPrEx>
        <w:tc>
          <w:tcPr>
            <w:tcW w:w="8847" w:type="dxa"/>
            <w:gridSpan w:val="9"/>
            <w:vAlign w:val="center"/>
          </w:tcPr>
          <w:p w14:paraId="41308009">
            <w:pPr>
              <w:jc w:val="center"/>
            </w:pPr>
            <w:r>
              <w:rPr>
                <w:rFonts w:ascii="宋体" w:hAnsi="宋体" w:eastAsia="宋体"/>
                <w:sz w:val="24"/>
              </w:rPr>
              <w:t>（2024年度）</w:t>
            </w:r>
          </w:p>
        </w:tc>
      </w:tr>
      <w:tr w14:paraId="159781A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8E68F">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D137D7B">
            <w:pPr>
              <w:jc w:val="center"/>
            </w:pPr>
            <w:r>
              <w:rPr>
                <w:rFonts w:ascii="宋体" w:hAnsi="宋体" w:eastAsia="宋体"/>
                <w:sz w:val="16"/>
              </w:rPr>
              <w:t>岳普湖县爱国卫生运动服务中心</w:t>
            </w:r>
          </w:p>
        </w:tc>
      </w:tr>
      <w:tr w14:paraId="0A7EE43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CC516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ED367">
            <w:pPr>
              <w:jc w:val="center"/>
            </w:pPr>
            <w:r>
              <w:rPr>
                <w:rFonts w:ascii="宋体" w:hAnsi="宋体" w:eastAsia="宋体"/>
                <w:sz w:val="16"/>
              </w:rPr>
              <w:t>资金来源</w:t>
            </w:r>
          </w:p>
        </w:tc>
        <w:tc>
          <w:tcPr>
            <w:tcW w:w="1192" w:type="dxa"/>
            <w:tcBorders>
              <w:top w:val="single" w:color="auto" w:sz="10" w:space="0"/>
              <w:left w:val="single" w:color="auto" w:sz="10" w:space="0"/>
              <w:bottom w:val="single" w:color="auto" w:sz="10" w:space="0"/>
              <w:right w:val="single" w:color="auto" w:sz="10" w:space="0"/>
              <w:insideV w:val="single" w:sz="10" w:space="0"/>
            </w:tcBorders>
            <w:vAlign w:val="center"/>
          </w:tcPr>
          <w:p w14:paraId="4AE1DA46">
            <w:pPr>
              <w:jc w:val="center"/>
            </w:pPr>
            <w:r>
              <w:rPr>
                <w:rFonts w:ascii="宋体" w:hAnsi="宋体" w:eastAsia="宋体"/>
                <w:sz w:val="16"/>
              </w:rPr>
              <w:t>年初预算数</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2CE1D4D7">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A0757">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8826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97F78">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22867">
            <w:pPr>
              <w:jc w:val="center"/>
            </w:pPr>
            <w:r>
              <w:rPr>
                <w:rFonts w:ascii="宋体" w:hAnsi="宋体" w:eastAsia="宋体"/>
                <w:sz w:val="16"/>
              </w:rPr>
              <w:t>得分</w:t>
            </w:r>
          </w:p>
        </w:tc>
      </w:tr>
      <w:tr w14:paraId="6F54C4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4EC3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6B87F">
            <w:pPr>
              <w:jc w:val="center"/>
            </w:pPr>
            <w:r>
              <w:rPr>
                <w:rFonts w:ascii="宋体" w:hAnsi="宋体" w:eastAsia="宋体"/>
                <w:sz w:val="16"/>
              </w:rPr>
              <w:t>年度总资金：</w:t>
            </w:r>
          </w:p>
        </w:tc>
        <w:tc>
          <w:tcPr>
            <w:tcW w:w="1192" w:type="dxa"/>
            <w:tcBorders>
              <w:top w:val="single" w:color="auto" w:sz="10" w:space="0"/>
              <w:left w:val="single" w:color="auto" w:sz="10" w:space="0"/>
              <w:bottom w:val="single" w:color="auto" w:sz="10" w:space="0"/>
              <w:right w:val="single" w:color="auto" w:sz="10" w:space="0"/>
              <w:insideV w:val="single" w:sz="10" w:space="0"/>
            </w:tcBorders>
            <w:vAlign w:val="center"/>
          </w:tcPr>
          <w:p w14:paraId="4C844B75">
            <w:pPr>
              <w:jc w:val="center"/>
            </w:pPr>
            <w:r>
              <w:rPr>
                <w:rFonts w:ascii="宋体" w:hAnsi="宋体" w:eastAsia="宋体"/>
                <w:sz w:val="16"/>
              </w:rPr>
              <w:t>100.52</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0C41D960">
            <w:pPr>
              <w:jc w:val="center"/>
            </w:pPr>
            <w:r>
              <w:rPr>
                <w:rFonts w:ascii="宋体" w:hAnsi="宋体" w:eastAsia="宋体"/>
                <w:sz w:val="16"/>
              </w:rPr>
              <w:t>108.18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0CBE7">
            <w:pPr>
              <w:jc w:val="center"/>
            </w:pPr>
            <w:r>
              <w:rPr>
                <w:rFonts w:ascii="宋体" w:hAnsi="宋体" w:eastAsia="宋体"/>
                <w:sz w:val="16"/>
              </w:rPr>
              <w:t>108.18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84F1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91F7B">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1BD40">
            <w:pPr>
              <w:jc w:val="center"/>
            </w:pPr>
            <w:r>
              <w:rPr>
                <w:rFonts w:ascii="宋体" w:hAnsi="宋体" w:eastAsia="宋体"/>
                <w:sz w:val="16"/>
              </w:rPr>
              <w:t>10</w:t>
            </w:r>
          </w:p>
        </w:tc>
      </w:tr>
      <w:tr w14:paraId="0E7C98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121E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D63FC">
            <w:pPr>
              <w:jc w:val="center"/>
            </w:pPr>
            <w:r>
              <w:rPr>
                <w:rFonts w:ascii="宋体" w:hAnsi="宋体" w:eastAsia="宋体"/>
                <w:sz w:val="16"/>
              </w:rPr>
              <w:t>上级资金：</w:t>
            </w:r>
          </w:p>
        </w:tc>
        <w:tc>
          <w:tcPr>
            <w:tcW w:w="1192" w:type="dxa"/>
            <w:tcBorders>
              <w:top w:val="single" w:color="auto" w:sz="10" w:space="0"/>
              <w:left w:val="single" w:color="auto" w:sz="10" w:space="0"/>
              <w:bottom w:val="single" w:color="auto" w:sz="10" w:space="0"/>
              <w:right w:val="single" w:color="auto" w:sz="10" w:space="0"/>
              <w:insideV w:val="single" w:sz="10" w:space="0"/>
            </w:tcBorders>
            <w:vAlign w:val="center"/>
          </w:tcPr>
          <w:p w14:paraId="3AC6F925">
            <w:pPr>
              <w:jc w:val="center"/>
            </w:pPr>
            <w:r>
              <w:rPr>
                <w:rFonts w:ascii="宋体" w:hAnsi="宋体" w:eastAsia="宋体"/>
                <w:sz w:val="16"/>
              </w:rPr>
              <w:t>0.00</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245B88C3">
            <w:pPr>
              <w:jc w:val="center"/>
            </w:pPr>
            <w:r>
              <w:rPr>
                <w:rFonts w:ascii="宋体" w:hAnsi="宋体" w:eastAsia="宋体"/>
                <w:sz w:val="16"/>
              </w:rPr>
              <w:t>1.32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2F685">
            <w:pPr>
              <w:jc w:val="center"/>
            </w:pPr>
            <w:r>
              <w:rPr>
                <w:rFonts w:ascii="宋体" w:hAnsi="宋体" w:eastAsia="宋体"/>
                <w:sz w:val="16"/>
              </w:rPr>
              <w:t>1.32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5FA7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5B71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33A07">
            <w:pPr>
              <w:jc w:val="center"/>
            </w:pPr>
            <w:r>
              <w:rPr>
                <w:rFonts w:ascii="宋体" w:hAnsi="宋体" w:eastAsia="宋体"/>
                <w:sz w:val="16"/>
              </w:rPr>
              <w:t>—</w:t>
            </w:r>
          </w:p>
        </w:tc>
      </w:tr>
      <w:tr w14:paraId="20B76A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9CC0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B9253">
            <w:pPr>
              <w:jc w:val="center"/>
            </w:pPr>
            <w:r>
              <w:rPr>
                <w:rFonts w:ascii="宋体" w:hAnsi="宋体" w:eastAsia="宋体"/>
                <w:sz w:val="16"/>
              </w:rPr>
              <w:t>本级资金：</w:t>
            </w:r>
          </w:p>
        </w:tc>
        <w:tc>
          <w:tcPr>
            <w:tcW w:w="1192" w:type="dxa"/>
            <w:tcBorders>
              <w:top w:val="single" w:color="auto" w:sz="10" w:space="0"/>
              <w:left w:val="single" w:color="auto" w:sz="10" w:space="0"/>
              <w:bottom w:val="single" w:color="auto" w:sz="10" w:space="0"/>
              <w:right w:val="single" w:color="auto" w:sz="10" w:space="0"/>
              <w:insideV w:val="single" w:sz="10" w:space="0"/>
            </w:tcBorders>
            <w:vAlign w:val="center"/>
          </w:tcPr>
          <w:p w14:paraId="07D3B79F">
            <w:pPr>
              <w:jc w:val="center"/>
            </w:pPr>
            <w:r>
              <w:rPr>
                <w:rFonts w:ascii="宋体" w:hAnsi="宋体" w:eastAsia="宋体"/>
                <w:sz w:val="16"/>
              </w:rPr>
              <w:t>100.52</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0B6B4D4D">
            <w:pPr>
              <w:jc w:val="center"/>
            </w:pPr>
            <w:r>
              <w:rPr>
                <w:rFonts w:ascii="宋体" w:hAnsi="宋体" w:eastAsia="宋体"/>
                <w:sz w:val="16"/>
              </w:rPr>
              <w:t>106.86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61B15">
            <w:pPr>
              <w:jc w:val="center"/>
            </w:pPr>
            <w:r>
              <w:rPr>
                <w:rFonts w:ascii="宋体" w:hAnsi="宋体" w:eastAsia="宋体"/>
                <w:sz w:val="16"/>
              </w:rPr>
              <w:t>106.86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0AA4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5FF7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64263">
            <w:pPr>
              <w:jc w:val="center"/>
            </w:pPr>
            <w:r>
              <w:rPr>
                <w:rFonts w:ascii="宋体" w:hAnsi="宋体" w:eastAsia="宋体"/>
                <w:sz w:val="16"/>
              </w:rPr>
              <w:t>—</w:t>
            </w:r>
          </w:p>
        </w:tc>
      </w:tr>
      <w:tr w14:paraId="3E70D1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3212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5635F">
            <w:pPr>
              <w:jc w:val="center"/>
            </w:pPr>
            <w:r>
              <w:rPr>
                <w:rFonts w:ascii="宋体" w:hAnsi="宋体" w:eastAsia="宋体"/>
                <w:sz w:val="16"/>
              </w:rPr>
              <w:t>其他资金：</w:t>
            </w:r>
          </w:p>
        </w:tc>
        <w:tc>
          <w:tcPr>
            <w:tcW w:w="1192" w:type="dxa"/>
            <w:tcBorders>
              <w:top w:val="single" w:color="auto" w:sz="10" w:space="0"/>
              <w:left w:val="single" w:color="auto" w:sz="10" w:space="0"/>
              <w:bottom w:val="single" w:color="auto" w:sz="10" w:space="0"/>
              <w:right w:val="single" w:color="auto" w:sz="10" w:space="0"/>
              <w:insideV w:val="single" w:sz="10" w:space="0"/>
            </w:tcBorders>
            <w:vAlign w:val="center"/>
          </w:tcPr>
          <w:p w14:paraId="65BDD4B7">
            <w:pPr>
              <w:jc w:val="center"/>
            </w:pPr>
            <w:r>
              <w:rPr>
                <w:rFonts w:ascii="宋体" w:hAnsi="宋体" w:eastAsia="宋体"/>
                <w:sz w:val="16"/>
              </w:rPr>
              <w:t>0.00</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130CFD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A9AC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7CDF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AEE0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06639">
            <w:pPr>
              <w:jc w:val="center"/>
            </w:pPr>
            <w:r>
              <w:rPr>
                <w:rFonts w:ascii="宋体" w:hAnsi="宋体" w:eastAsia="宋体"/>
                <w:sz w:val="16"/>
              </w:rPr>
              <w:t>—</w:t>
            </w:r>
          </w:p>
        </w:tc>
      </w:tr>
      <w:tr w14:paraId="2753BEB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1F4F6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F92C5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E236CD">
            <w:pPr>
              <w:jc w:val="center"/>
            </w:pPr>
            <w:r>
              <w:rPr>
                <w:rFonts w:ascii="宋体" w:hAnsi="宋体" w:eastAsia="宋体"/>
                <w:sz w:val="16"/>
              </w:rPr>
              <w:t>实际完成情况</w:t>
            </w:r>
          </w:p>
        </w:tc>
      </w:tr>
      <w:tr w14:paraId="5750BC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96F31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761B40">
            <w:pPr>
              <w:jc w:val="both"/>
            </w:pPr>
            <w:r>
              <w:rPr>
                <w:rFonts w:ascii="宋体" w:hAnsi="宋体" w:eastAsia="宋体"/>
                <w:sz w:val="16"/>
              </w:rPr>
              <w:t>开展爱国卫生教育宣传覆盖乡镇数量9个，开展爱国卫生教育宣传次数4次，在县级人员密集场所开展多样化的宣传方式，覆盖全县辖区，达到不低于98%的知晓率，向各级单位下发消灭“四害”知识宣传资料覆盖全县各级单位，确保除“四害”工作圆满完成。联合县住建局对已开工或即将开工的建筑工地实施打围作业、封闭式施工等标准化宣传，确保打围作业率达到98%以上。深入开展爱国卫生运动工作，巩固卫生创建成果，倡导群众保持良好的卫生习惯，提升居民文明意识和健康卫生意识。</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FDA3A8">
            <w:pPr>
              <w:jc w:val="both"/>
            </w:pPr>
            <w:r>
              <w:rPr>
                <w:rFonts w:ascii="宋体" w:hAnsi="宋体" w:eastAsia="宋体"/>
                <w:sz w:val="16"/>
              </w:rPr>
              <w:t>开展爱国卫生教育宣传覆盖岳普湖县9个乡镇，全年开展爱国卫生教育宣传活动4次，已经在县级人员密集场所开展了多样化的宣传方式，覆盖全县辖区。按期向各级单位下发了消灭“四害”知识宣传资料，除“四害”工作按时圆满完成，有效降低了岳普湖县病媒生物防治密度。已经及时联合了岳普湖县住建局对开工的建筑工地实施打围作业、封闭式施工等标准化宣传，打围作业率达到100%。通过广泛传播健康知识，倡导文明健康的生活方式，结合创建国家卫生县城验收指标，大力开展健康教育、健康素养活动。全方位多层次推进了岳普湖县环境卫生综合整治，村镇环境卫生整治按期完成。严格落实了垃圾消毒回收登记制度，确保了生活垃圾日产日清；加强了城中村、背街小巷、散居楼等区域的管理清理；深入开展了爱国卫生运动工作，进一步巩固了卫生创建成果，持续倡导群众保持良好的卫生习惯，有效提升了居民文明意识和健康卫生意识。</w:t>
            </w:r>
          </w:p>
        </w:tc>
      </w:tr>
      <w:tr w14:paraId="1D3EC72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CC94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CD2FB">
            <w:pPr>
              <w:jc w:val="center"/>
            </w:pPr>
            <w:r>
              <w:rPr>
                <w:rFonts w:ascii="宋体" w:hAnsi="宋体" w:eastAsia="宋体"/>
                <w:sz w:val="16"/>
              </w:rPr>
              <w:t>二级指标</w:t>
            </w:r>
          </w:p>
        </w:tc>
        <w:tc>
          <w:tcPr>
            <w:tcW w:w="1192" w:type="dxa"/>
            <w:tcBorders>
              <w:top w:val="single" w:color="auto" w:sz="10" w:space="0"/>
              <w:left w:val="single" w:color="auto" w:sz="10" w:space="0"/>
              <w:bottom w:val="single" w:color="auto" w:sz="10" w:space="0"/>
              <w:right w:val="single" w:color="auto" w:sz="10" w:space="0"/>
              <w:insideV w:val="single" w:sz="10" w:space="0"/>
            </w:tcBorders>
            <w:vAlign w:val="center"/>
          </w:tcPr>
          <w:p w14:paraId="0F12D736">
            <w:pPr>
              <w:jc w:val="center"/>
            </w:pPr>
            <w:r>
              <w:rPr>
                <w:rFonts w:ascii="宋体" w:hAnsi="宋体" w:eastAsia="宋体"/>
                <w:sz w:val="16"/>
              </w:rPr>
              <w:t>三级指标</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3F3A1B92">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8AAA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3589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E802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5B70A">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1B134">
            <w:pPr>
              <w:jc w:val="center"/>
            </w:pPr>
            <w:r>
              <w:rPr>
                <w:rFonts w:ascii="宋体" w:hAnsi="宋体" w:eastAsia="宋体"/>
                <w:sz w:val="16"/>
              </w:rPr>
              <w:t>得分</w:t>
            </w:r>
          </w:p>
        </w:tc>
      </w:tr>
      <w:tr w14:paraId="4CB133D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7163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CC9355">
            <w:pPr>
              <w:jc w:val="center"/>
            </w:pPr>
            <w:r>
              <w:rPr>
                <w:rFonts w:ascii="宋体" w:hAnsi="宋体" w:eastAsia="宋体"/>
                <w:sz w:val="16"/>
              </w:rPr>
              <w:t>数量指标</w:t>
            </w:r>
          </w:p>
        </w:tc>
        <w:tc>
          <w:tcPr>
            <w:tcW w:w="1192" w:type="dxa"/>
            <w:tcBorders>
              <w:top w:val="single" w:color="auto" w:sz="10" w:space="0"/>
              <w:left w:val="single" w:color="auto" w:sz="10" w:space="0"/>
              <w:bottom w:val="single" w:color="auto" w:sz="10" w:space="0"/>
              <w:right w:val="single" w:color="auto" w:sz="10" w:space="0"/>
              <w:insideV w:val="single" w:sz="10" w:space="0"/>
            </w:tcBorders>
            <w:vAlign w:val="center"/>
          </w:tcPr>
          <w:p w14:paraId="1B6BBE45">
            <w:pPr>
              <w:jc w:val="center"/>
            </w:pPr>
            <w:r>
              <w:rPr>
                <w:rFonts w:ascii="宋体" w:hAnsi="宋体" w:eastAsia="宋体"/>
                <w:sz w:val="16"/>
              </w:rPr>
              <w:t>开展爱国卫生教育宣传覆盖乡镇数量</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719B9B05">
            <w:pPr>
              <w:jc w:val="center"/>
            </w:pPr>
            <w:r>
              <w:rPr>
                <w:rFonts w:ascii="宋体" w:hAnsi="宋体" w:eastAsia="宋体"/>
                <w:sz w:val="16"/>
              </w:rPr>
              <w:t>&gt;=9个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FDF9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88D3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E59E0">
            <w:pPr>
              <w:jc w:val="center"/>
            </w:pPr>
            <w:r>
              <w:rPr>
                <w:rFonts w:ascii="宋体" w:hAnsi="宋体" w:eastAsia="宋体"/>
                <w:sz w:val="16"/>
              </w:rPr>
              <w:t>9个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D80C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E3879">
            <w:pPr>
              <w:jc w:val="center"/>
            </w:pPr>
            <w:r>
              <w:rPr>
                <w:rFonts w:ascii="宋体" w:hAnsi="宋体" w:eastAsia="宋体"/>
                <w:sz w:val="16"/>
              </w:rPr>
              <w:t>18</w:t>
            </w:r>
          </w:p>
        </w:tc>
      </w:tr>
      <w:tr w14:paraId="577364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9A3A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CCB885"/>
        </w:tc>
        <w:tc>
          <w:tcPr>
            <w:tcW w:w="1192" w:type="dxa"/>
            <w:tcBorders>
              <w:top w:val="single" w:color="auto" w:sz="10" w:space="0"/>
              <w:left w:val="single" w:color="auto" w:sz="10" w:space="0"/>
              <w:bottom w:val="single" w:color="auto" w:sz="10" w:space="0"/>
              <w:right w:val="single" w:color="auto" w:sz="10" w:space="0"/>
              <w:insideV w:val="single" w:sz="10" w:space="0"/>
            </w:tcBorders>
            <w:vAlign w:val="center"/>
          </w:tcPr>
          <w:p w14:paraId="430A304B">
            <w:pPr>
              <w:jc w:val="center"/>
            </w:pPr>
            <w:r>
              <w:rPr>
                <w:rFonts w:ascii="宋体" w:hAnsi="宋体" w:eastAsia="宋体"/>
                <w:sz w:val="16"/>
              </w:rPr>
              <w:t>开展爱国卫生教育宣传次数</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062DC28C">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89B00">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385B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C237A">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360F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5E03A">
            <w:pPr>
              <w:jc w:val="center"/>
            </w:pPr>
            <w:r>
              <w:rPr>
                <w:rFonts w:ascii="宋体" w:hAnsi="宋体" w:eastAsia="宋体"/>
                <w:sz w:val="16"/>
              </w:rPr>
              <w:t>18</w:t>
            </w:r>
          </w:p>
        </w:tc>
      </w:tr>
      <w:tr w14:paraId="1A7EC1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2FD9C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51241C">
            <w:pPr>
              <w:jc w:val="center"/>
            </w:pPr>
            <w:r>
              <w:rPr>
                <w:rFonts w:ascii="宋体" w:hAnsi="宋体" w:eastAsia="宋体"/>
                <w:sz w:val="16"/>
              </w:rPr>
              <w:t>质量指标</w:t>
            </w:r>
          </w:p>
        </w:tc>
        <w:tc>
          <w:tcPr>
            <w:tcW w:w="1192" w:type="dxa"/>
            <w:tcBorders>
              <w:top w:val="single" w:color="auto" w:sz="10" w:space="0"/>
              <w:left w:val="single" w:color="auto" w:sz="10" w:space="0"/>
              <w:bottom w:val="single" w:color="auto" w:sz="10" w:space="0"/>
              <w:right w:val="single" w:color="auto" w:sz="10" w:space="0"/>
              <w:insideV w:val="single" w:sz="10" w:space="0"/>
            </w:tcBorders>
            <w:vAlign w:val="center"/>
          </w:tcPr>
          <w:p w14:paraId="6702D94D">
            <w:pPr>
              <w:jc w:val="center"/>
            </w:pPr>
            <w:r>
              <w:rPr>
                <w:rFonts w:ascii="宋体" w:hAnsi="宋体" w:eastAsia="宋体"/>
                <w:sz w:val="16"/>
              </w:rPr>
              <w:t>爱国卫生教育宣传知晓率</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6B48E850">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24A43">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BBD7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75B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90381">
            <w:pPr>
              <w:jc w:val="center"/>
            </w:pPr>
            <w:r>
              <w:rPr>
                <w:rFonts w:ascii="宋体" w:hAnsi="宋体" w:eastAsia="宋体"/>
                <w:sz w:val="16"/>
              </w:rPr>
              <w:t>102.04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95D4E">
            <w:pPr>
              <w:jc w:val="center"/>
            </w:pPr>
            <w:r>
              <w:rPr>
                <w:rFonts w:ascii="宋体" w:hAnsi="宋体" w:eastAsia="宋体"/>
                <w:sz w:val="16"/>
              </w:rPr>
              <w:t>18</w:t>
            </w:r>
          </w:p>
        </w:tc>
      </w:tr>
      <w:tr w14:paraId="382EC9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CE26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5AC590"/>
        </w:tc>
        <w:tc>
          <w:tcPr>
            <w:tcW w:w="1192" w:type="dxa"/>
            <w:tcBorders>
              <w:top w:val="single" w:color="auto" w:sz="10" w:space="0"/>
              <w:left w:val="single" w:color="auto" w:sz="10" w:space="0"/>
              <w:bottom w:val="single" w:color="auto" w:sz="10" w:space="0"/>
              <w:right w:val="single" w:color="auto" w:sz="10" w:space="0"/>
              <w:insideV w:val="single" w:sz="10" w:space="0"/>
            </w:tcBorders>
            <w:vAlign w:val="center"/>
          </w:tcPr>
          <w:p w14:paraId="124C0161">
            <w:pPr>
              <w:jc w:val="center"/>
            </w:pPr>
            <w:r>
              <w:rPr>
                <w:rFonts w:ascii="宋体" w:hAnsi="宋体" w:eastAsia="宋体"/>
                <w:sz w:val="16"/>
              </w:rPr>
              <w:t>打围作业率</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06E2968D">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9AAF6">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ED44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7E7D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FE3B1">
            <w:pPr>
              <w:jc w:val="center"/>
            </w:pPr>
            <w:r>
              <w:rPr>
                <w:rFonts w:ascii="宋体" w:hAnsi="宋体" w:eastAsia="宋体"/>
                <w:sz w:val="16"/>
              </w:rPr>
              <w:t>102.04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37002">
            <w:pPr>
              <w:jc w:val="center"/>
            </w:pPr>
            <w:r>
              <w:rPr>
                <w:rFonts w:ascii="宋体" w:hAnsi="宋体" w:eastAsia="宋体"/>
                <w:sz w:val="16"/>
              </w:rPr>
              <w:t>18</w:t>
            </w:r>
          </w:p>
        </w:tc>
      </w:tr>
      <w:tr w14:paraId="0B0158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9BFA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0AB44">
            <w:pPr>
              <w:jc w:val="center"/>
            </w:pPr>
            <w:r>
              <w:rPr>
                <w:rFonts w:ascii="宋体" w:hAnsi="宋体" w:eastAsia="宋体"/>
                <w:sz w:val="16"/>
              </w:rPr>
              <w:t>时效指标</w:t>
            </w:r>
          </w:p>
        </w:tc>
        <w:tc>
          <w:tcPr>
            <w:tcW w:w="1192" w:type="dxa"/>
            <w:tcBorders>
              <w:top w:val="single" w:color="auto" w:sz="10" w:space="0"/>
              <w:left w:val="single" w:color="auto" w:sz="10" w:space="0"/>
              <w:bottom w:val="single" w:color="auto" w:sz="10" w:space="0"/>
              <w:right w:val="single" w:color="auto" w:sz="10" w:space="0"/>
              <w:insideV w:val="single" w:sz="10" w:space="0"/>
            </w:tcBorders>
            <w:vAlign w:val="center"/>
          </w:tcPr>
          <w:p w14:paraId="55CE302A">
            <w:pPr>
              <w:jc w:val="center"/>
            </w:pPr>
            <w:r>
              <w:rPr>
                <w:rFonts w:ascii="宋体" w:hAnsi="宋体" w:eastAsia="宋体"/>
                <w:sz w:val="16"/>
              </w:rPr>
              <w:t>除“四害”工作按期完成率</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250160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9ACC8">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4A847">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863B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DA90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2C8AD">
            <w:pPr>
              <w:jc w:val="center"/>
            </w:pPr>
            <w:r>
              <w:rPr>
                <w:rFonts w:ascii="宋体" w:hAnsi="宋体" w:eastAsia="宋体"/>
                <w:sz w:val="16"/>
              </w:rPr>
              <w:t>18</w:t>
            </w:r>
          </w:p>
        </w:tc>
      </w:tr>
    </w:tbl>
    <w:p w14:paraId="00AC052E">
      <w:r>
        <w:br w:type="page"/>
      </w:r>
    </w:p>
    <w:p w14:paraId="1013F2ED">
      <w:pPr>
        <w:spacing w:line="640" w:lineRule="exact"/>
        <w:ind w:firstLine="640"/>
        <w:jc w:val="both"/>
        <w:outlineLvl w:val="2"/>
      </w:pPr>
      <w:r>
        <w:rPr>
          <w:rFonts w:ascii="黑体" w:hAnsi="黑体" w:eastAsia="黑体"/>
          <w:sz w:val="32"/>
        </w:rPr>
        <w:t>十二、其他需说明的事项</w:t>
      </w:r>
    </w:p>
    <w:p w14:paraId="6D701CD0">
      <w:pPr>
        <w:spacing w:line="580" w:lineRule="exact"/>
        <w:ind w:firstLine="640"/>
        <w:jc w:val="both"/>
      </w:pPr>
      <w:r>
        <w:rPr>
          <w:rFonts w:ascii="仿宋_GB2312" w:hAnsi="仿宋_GB2312" w:eastAsia="仿宋_GB2312"/>
          <w:b w:val="0"/>
          <w:sz w:val="32"/>
        </w:rPr>
        <w:t>本单位无其他需说明的事项。</w:t>
      </w:r>
    </w:p>
    <w:p w14:paraId="193EE2B1">
      <w:r>
        <w:br w:type="page"/>
      </w:r>
    </w:p>
    <w:p w14:paraId="5F79D484">
      <w:pPr>
        <w:spacing w:line="240" w:lineRule="auto"/>
        <w:jc w:val="center"/>
        <w:outlineLvl w:val="1"/>
      </w:pPr>
      <w:r>
        <w:rPr>
          <w:rFonts w:ascii="黑体" w:hAnsi="黑体" w:eastAsia="黑体"/>
          <w:sz w:val="32"/>
        </w:rPr>
        <w:t>第三部分 专业名词解释</w:t>
      </w:r>
    </w:p>
    <w:p w14:paraId="1A9C0BD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3DE2C8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4129AA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39B553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5C5B46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BE72CC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F21FB1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BE6B5E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5CA067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F7B82C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1ADAEE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EB3279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960343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C90191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AED4263">
      <w:r>
        <w:br w:type="page"/>
      </w:r>
    </w:p>
    <w:p w14:paraId="2E6C74AF">
      <w:pPr>
        <w:spacing w:line="240" w:lineRule="auto"/>
        <w:jc w:val="center"/>
        <w:outlineLvl w:val="1"/>
      </w:pPr>
      <w:r>
        <w:rPr>
          <w:rFonts w:ascii="黑体" w:hAnsi="黑体" w:eastAsia="黑体"/>
          <w:sz w:val="32"/>
        </w:rPr>
        <w:t>第四部分 部门决算报表（见附表）</w:t>
      </w:r>
    </w:p>
    <w:p w14:paraId="7704578C">
      <w:pPr>
        <w:spacing w:line="240" w:lineRule="auto"/>
        <w:ind w:firstLine="640"/>
        <w:jc w:val="both"/>
      </w:pPr>
      <w:r>
        <w:rPr>
          <w:rFonts w:ascii="仿宋_GB2312" w:hAnsi="仿宋_GB2312" w:eastAsia="仿宋_GB2312"/>
          <w:b w:val="0"/>
          <w:sz w:val="32"/>
        </w:rPr>
        <w:t>一、《收入支出决算总表》</w:t>
      </w:r>
    </w:p>
    <w:p w14:paraId="4B475F5A">
      <w:pPr>
        <w:spacing w:line="240" w:lineRule="auto"/>
        <w:ind w:firstLine="640"/>
        <w:jc w:val="both"/>
      </w:pPr>
      <w:r>
        <w:rPr>
          <w:rFonts w:ascii="仿宋_GB2312" w:hAnsi="仿宋_GB2312" w:eastAsia="仿宋_GB2312"/>
          <w:b w:val="0"/>
          <w:sz w:val="32"/>
        </w:rPr>
        <w:t>二、《收入决算表》</w:t>
      </w:r>
    </w:p>
    <w:p w14:paraId="7DBE97CB">
      <w:pPr>
        <w:spacing w:line="240" w:lineRule="auto"/>
        <w:ind w:firstLine="640"/>
        <w:jc w:val="both"/>
      </w:pPr>
      <w:r>
        <w:rPr>
          <w:rFonts w:ascii="仿宋_GB2312" w:hAnsi="仿宋_GB2312" w:eastAsia="仿宋_GB2312"/>
          <w:b w:val="0"/>
          <w:sz w:val="32"/>
        </w:rPr>
        <w:t>三、《支出决算表》</w:t>
      </w:r>
    </w:p>
    <w:p w14:paraId="363A63F7">
      <w:pPr>
        <w:spacing w:line="240" w:lineRule="auto"/>
        <w:ind w:firstLine="640"/>
        <w:jc w:val="both"/>
      </w:pPr>
      <w:r>
        <w:rPr>
          <w:rFonts w:ascii="仿宋_GB2312" w:hAnsi="仿宋_GB2312" w:eastAsia="仿宋_GB2312"/>
          <w:b w:val="0"/>
          <w:sz w:val="32"/>
        </w:rPr>
        <w:t>四、《财政拨款收入支出决算总表》</w:t>
      </w:r>
    </w:p>
    <w:p w14:paraId="45E37548">
      <w:pPr>
        <w:spacing w:line="240" w:lineRule="auto"/>
        <w:ind w:firstLine="640"/>
        <w:jc w:val="both"/>
      </w:pPr>
      <w:r>
        <w:rPr>
          <w:rFonts w:ascii="仿宋_GB2312" w:hAnsi="仿宋_GB2312" w:eastAsia="仿宋_GB2312"/>
          <w:b w:val="0"/>
          <w:sz w:val="32"/>
        </w:rPr>
        <w:t>五、《一般公共预算财政拨款支出决算表》</w:t>
      </w:r>
    </w:p>
    <w:p w14:paraId="0CD65A76">
      <w:pPr>
        <w:spacing w:line="240" w:lineRule="auto"/>
        <w:ind w:firstLine="640"/>
        <w:jc w:val="both"/>
      </w:pPr>
      <w:r>
        <w:rPr>
          <w:rFonts w:ascii="仿宋_GB2312" w:hAnsi="仿宋_GB2312" w:eastAsia="仿宋_GB2312"/>
          <w:b w:val="0"/>
          <w:sz w:val="32"/>
        </w:rPr>
        <w:t>六、《一般公共预算财政拨款基本支出决算表》</w:t>
      </w:r>
    </w:p>
    <w:p w14:paraId="4B5B5674">
      <w:pPr>
        <w:spacing w:line="240" w:lineRule="auto"/>
        <w:ind w:firstLine="640"/>
        <w:jc w:val="both"/>
      </w:pPr>
      <w:r>
        <w:rPr>
          <w:rFonts w:ascii="仿宋_GB2312" w:hAnsi="仿宋_GB2312" w:eastAsia="仿宋_GB2312"/>
          <w:b w:val="0"/>
          <w:sz w:val="32"/>
        </w:rPr>
        <w:t>七、《政府性基金预算财政拨款收入支出决算表》</w:t>
      </w:r>
    </w:p>
    <w:p w14:paraId="5234F673">
      <w:pPr>
        <w:spacing w:line="240" w:lineRule="auto"/>
        <w:ind w:firstLine="640"/>
        <w:jc w:val="both"/>
      </w:pPr>
      <w:r>
        <w:rPr>
          <w:rFonts w:ascii="仿宋_GB2312" w:hAnsi="仿宋_GB2312" w:eastAsia="仿宋_GB2312"/>
          <w:b w:val="0"/>
          <w:sz w:val="32"/>
        </w:rPr>
        <w:t>八、《国有资本经营预算财政拨款收入支出决算表》</w:t>
      </w:r>
    </w:p>
    <w:p w14:paraId="3700F267">
      <w:pPr>
        <w:spacing w:line="240" w:lineRule="auto"/>
        <w:ind w:firstLine="640"/>
        <w:jc w:val="both"/>
      </w:pPr>
      <w:r>
        <w:rPr>
          <w:rFonts w:ascii="仿宋_GB2312" w:hAnsi="仿宋_GB2312" w:eastAsia="仿宋_GB2312"/>
          <w:b w:val="0"/>
          <w:sz w:val="32"/>
        </w:rPr>
        <w:t>九、《财政拨款“三公”经费支出决算表》</w:t>
      </w:r>
    </w:p>
    <w:p w14:paraId="28E0CE0D">
      <w:pPr>
        <w:spacing w:line="240" w:lineRule="auto"/>
        <w:ind w:firstLine="640"/>
        <w:jc w:val="both"/>
      </w:pPr>
    </w:p>
    <w:p w14:paraId="3932BEFE">
      <w:pPr>
        <w:spacing w:line="240" w:lineRule="auto"/>
        <w:ind w:firstLine="640"/>
        <w:jc w:val="both"/>
      </w:pPr>
    </w:p>
    <w:p w14:paraId="60796BBD">
      <w:pPr>
        <w:spacing w:line="240" w:lineRule="auto"/>
        <w:ind w:firstLine="640"/>
        <w:jc w:val="both"/>
      </w:pPr>
    </w:p>
    <w:p w14:paraId="3591B977">
      <w:pPr>
        <w:spacing w:line="240" w:lineRule="auto"/>
        <w:ind w:firstLine="640"/>
        <w:jc w:val="both"/>
      </w:pPr>
    </w:p>
    <w:p w14:paraId="6D38613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1F172B"/>
    <w:rsid w:val="38006E2C"/>
    <w:rsid w:val="3914510A"/>
    <w:rsid w:val="3B1220C9"/>
    <w:rsid w:val="3D5275AC"/>
    <w:rsid w:val="3EA7725F"/>
    <w:rsid w:val="3EC014A1"/>
    <w:rsid w:val="3EE739FA"/>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FDB2DBE"/>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4068</Words>
  <Characters>4692</Characters>
  <Lines>0</Lines>
  <Paragraphs>0</Paragraphs>
  <TotalTime>5</TotalTime>
  <ScaleCrop>false</ScaleCrop>
  <LinksUpToDate>false</LinksUpToDate>
  <CharactersWithSpaces>4700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2025-09-15T02:24:31Z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