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岳普湖县行政服务中心2024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6BD2D91">
      <w:r>
        <w:br w:type="page"/>
      </w:r>
    </w:p>
    <w:p w14:paraId="507742DA">
      <w:pPr>
        <w:spacing w:line="640" w:lineRule="exact"/>
        <w:jc w:val="center"/>
        <w:outlineLvl w:val="1"/>
      </w:pPr>
      <w:r>
        <w:rPr>
          <w:rFonts w:ascii="黑体" w:hAnsi="黑体" w:eastAsia="黑体"/>
          <w:sz w:val="32"/>
        </w:rPr>
        <w:t>第一部分 单位概况</w:t>
      </w:r>
    </w:p>
    <w:p w14:paraId="1822929A">
      <w:pPr>
        <w:spacing w:line="640" w:lineRule="exact"/>
        <w:ind w:firstLine="640"/>
        <w:jc w:val="both"/>
        <w:outlineLvl w:val="2"/>
      </w:pPr>
      <w:r>
        <w:rPr>
          <w:rFonts w:ascii="黑体" w:hAnsi="黑体" w:eastAsia="黑体"/>
          <w:sz w:val="32"/>
        </w:rPr>
        <w:t>一、主要职能</w:t>
      </w:r>
    </w:p>
    <w:p w14:paraId="4A16DC46">
      <w:pPr>
        <w:spacing w:line="580" w:lineRule="exact"/>
        <w:ind w:firstLine="640"/>
        <w:jc w:val="both"/>
      </w:pPr>
      <w:r>
        <w:rPr>
          <w:rFonts w:ascii="仿宋_GB2312" w:hAnsi="仿宋_GB2312" w:eastAsia="仿宋_GB2312"/>
          <w:sz w:val="32"/>
        </w:rPr>
        <w:t>贯彻执行国家和自治区、地区有关行政审批、政务服务法律、法规、规章和方针政策</w:t>
      </w:r>
      <w:r>
        <w:rPr>
          <w:rFonts w:hint="eastAsia" w:ascii="仿宋_GB2312" w:hAnsi="仿宋_GB2312" w:eastAsia="仿宋_GB2312"/>
          <w:sz w:val="32"/>
          <w:lang w:eastAsia="zh-CN"/>
        </w:rPr>
        <w:t>；</w:t>
      </w:r>
      <w:r>
        <w:rPr>
          <w:rFonts w:ascii="仿宋_GB2312" w:hAnsi="仿宋_GB2312" w:eastAsia="仿宋_GB2312"/>
          <w:sz w:val="32"/>
        </w:rPr>
        <w:t>负责组织拟定推进政府职能转变和“放管服”改革方案并组织实施</w:t>
      </w:r>
      <w:bookmarkStart w:id="0" w:name="_GoBack"/>
      <w:bookmarkEnd w:id="0"/>
      <w:r>
        <w:rPr>
          <w:rFonts w:hint="eastAsia" w:ascii="仿宋_GB2312" w:hAnsi="仿宋_GB2312" w:eastAsia="仿宋_GB2312"/>
          <w:sz w:val="32"/>
          <w:lang w:eastAsia="zh-CN"/>
        </w:rPr>
        <w:t>；</w:t>
      </w:r>
      <w:r>
        <w:rPr>
          <w:rFonts w:ascii="仿宋_GB2312" w:hAnsi="仿宋_GB2312" w:eastAsia="仿宋_GB2312"/>
          <w:sz w:val="32"/>
        </w:rPr>
        <w:t>负责组织拟定行政审批制度改革的意见建议</w:t>
      </w:r>
      <w:r>
        <w:rPr>
          <w:rFonts w:hint="eastAsia" w:ascii="仿宋_GB2312" w:hAnsi="仿宋_GB2312" w:eastAsia="仿宋_GB2312"/>
          <w:sz w:val="32"/>
          <w:lang w:eastAsia="zh-CN"/>
        </w:rPr>
        <w:t>；</w:t>
      </w:r>
      <w:r>
        <w:rPr>
          <w:rFonts w:ascii="仿宋_GB2312" w:hAnsi="仿宋_GB2312" w:eastAsia="仿宋_GB2312"/>
          <w:sz w:val="32"/>
        </w:rPr>
        <w:t>制定政务服务管理相关制度和管理办法，并监督实施</w:t>
      </w:r>
      <w:r>
        <w:rPr>
          <w:rFonts w:hint="eastAsia" w:ascii="仿宋_GB2312" w:hAnsi="仿宋_GB2312" w:eastAsia="仿宋_GB2312"/>
          <w:sz w:val="32"/>
          <w:lang w:eastAsia="zh-CN"/>
        </w:rPr>
        <w:t>；</w:t>
      </w:r>
      <w:r>
        <w:rPr>
          <w:rFonts w:ascii="仿宋_GB2312" w:hAnsi="仿宋_GB2312" w:eastAsia="仿宋_GB2312"/>
          <w:sz w:val="32"/>
        </w:rPr>
        <w:t>负责对进驻县政务服务平台的行政审批项目及公共服务等事项的组织协调和监督管理</w:t>
      </w:r>
      <w:r>
        <w:rPr>
          <w:rFonts w:hint="eastAsia" w:ascii="仿宋_GB2312" w:hAnsi="仿宋_GB2312" w:eastAsia="仿宋_GB2312"/>
          <w:sz w:val="32"/>
          <w:lang w:eastAsia="zh-CN"/>
        </w:rPr>
        <w:t>；</w:t>
      </w:r>
      <w:r>
        <w:rPr>
          <w:rFonts w:ascii="仿宋_GB2312" w:hAnsi="仿宋_GB2312" w:eastAsia="仿宋_GB2312"/>
          <w:sz w:val="32"/>
        </w:rPr>
        <w:t>建立健全县政务服务评价体系和评价机制</w:t>
      </w:r>
      <w:r>
        <w:rPr>
          <w:rFonts w:hint="eastAsia" w:ascii="仿宋_GB2312" w:hAnsi="仿宋_GB2312" w:eastAsia="仿宋_GB2312"/>
          <w:sz w:val="32"/>
          <w:lang w:eastAsia="zh-CN"/>
        </w:rPr>
        <w:t>；</w:t>
      </w:r>
      <w:r>
        <w:rPr>
          <w:rFonts w:ascii="仿宋_GB2312" w:hAnsi="仿宋_GB2312" w:eastAsia="仿宋_GB2312"/>
          <w:sz w:val="32"/>
        </w:rPr>
        <w:t>负责牵头整合建立统一规范的政务服务平台及其电子化系统建设</w:t>
      </w:r>
      <w:r>
        <w:rPr>
          <w:rFonts w:hint="eastAsia" w:ascii="仿宋_GB2312" w:hAnsi="仿宋_GB2312" w:eastAsia="仿宋_GB2312"/>
          <w:sz w:val="32"/>
          <w:lang w:eastAsia="zh-CN"/>
        </w:rPr>
        <w:t>；</w:t>
      </w:r>
      <w:r>
        <w:rPr>
          <w:rFonts w:ascii="仿宋_GB2312" w:hAnsi="仿宋_GB2312" w:eastAsia="仿宋_GB2312"/>
          <w:sz w:val="32"/>
        </w:rPr>
        <w:t>负责规范行政服务中心业务运行和人员管理的规章制度，管理办法，并组织实施</w:t>
      </w:r>
      <w:r>
        <w:rPr>
          <w:rFonts w:hint="eastAsia" w:ascii="仿宋_GB2312" w:hAnsi="仿宋_GB2312" w:eastAsia="仿宋_GB2312"/>
          <w:sz w:val="32"/>
          <w:lang w:eastAsia="zh-CN"/>
        </w:rPr>
        <w:t>；</w:t>
      </w:r>
      <w:r>
        <w:rPr>
          <w:rFonts w:ascii="仿宋_GB2312" w:hAnsi="仿宋_GB2312" w:eastAsia="仿宋_GB2312"/>
          <w:sz w:val="32"/>
        </w:rPr>
        <w:t>对涉及两个以上部门平行审批事项的组织协调</w:t>
      </w:r>
      <w:r>
        <w:rPr>
          <w:rFonts w:hint="eastAsia" w:ascii="仿宋_GB2312" w:hAnsi="仿宋_GB2312" w:eastAsia="仿宋_GB2312"/>
          <w:sz w:val="32"/>
          <w:lang w:eastAsia="zh-CN"/>
        </w:rPr>
        <w:t>；</w:t>
      </w:r>
      <w:r>
        <w:rPr>
          <w:rFonts w:ascii="仿宋_GB2312" w:hAnsi="仿宋_GB2312" w:eastAsia="仿宋_GB2312"/>
          <w:sz w:val="32"/>
        </w:rPr>
        <w:t>对审批项目的运转情况进行协调、监督</w:t>
      </w:r>
      <w:r>
        <w:rPr>
          <w:rFonts w:hint="eastAsia" w:ascii="仿宋_GB2312" w:hAnsi="仿宋_GB2312" w:eastAsia="仿宋_GB2312"/>
          <w:sz w:val="32"/>
          <w:lang w:eastAsia="zh-CN"/>
        </w:rPr>
        <w:t>；</w:t>
      </w:r>
      <w:r>
        <w:rPr>
          <w:rFonts w:ascii="仿宋_GB2312" w:hAnsi="仿宋_GB2312" w:eastAsia="仿宋_GB2312"/>
          <w:sz w:val="32"/>
        </w:rPr>
        <w:t>负责对行政服务中心的窗口及其工作人员管理，组织进驻部门窗口规范、高效、优质服务，并提供相关业务咨询</w:t>
      </w:r>
      <w:r>
        <w:rPr>
          <w:rFonts w:hint="eastAsia" w:ascii="仿宋_GB2312" w:hAnsi="仿宋_GB2312" w:eastAsia="仿宋_GB2312"/>
          <w:sz w:val="32"/>
          <w:lang w:eastAsia="zh-CN"/>
        </w:rPr>
        <w:t>；</w:t>
      </w:r>
      <w:r>
        <w:rPr>
          <w:rFonts w:ascii="仿宋_GB2312" w:hAnsi="仿宋_GB2312" w:eastAsia="仿宋_GB2312"/>
          <w:sz w:val="32"/>
        </w:rPr>
        <w:t>负责对窗口工作人员进行考核，受理当事人对窗口及其工作人员服务质量、效率等方面的投诉</w:t>
      </w:r>
      <w:r>
        <w:rPr>
          <w:rFonts w:hint="eastAsia" w:ascii="仿宋_GB2312" w:hAnsi="仿宋_GB2312" w:eastAsia="仿宋_GB2312"/>
          <w:sz w:val="32"/>
          <w:lang w:eastAsia="zh-CN"/>
        </w:rPr>
        <w:t>；</w:t>
      </w:r>
      <w:r>
        <w:rPr>
          <w:rFonts w:ascii="仿宋_GB2312" w:hAnsi="仿宋_GB2312" w:eastAsia="仿宋_GB2312"/>
          <w:sz w:val="32"/>
        </w:rPr>
        <w:t>负责对全县政务服务工作进行业务指导</w:t>
      </w:r>
      <w:r>
        <w:rPr>
          <w:rFonts w:hint="eastAsia" w:ascii="仿宋_GB2312" w:hAnsi="仿宋_GB2312" w:eastAsia="仿宋_GB2312"/>
          <w:sz w:val="32"/>
          <w:lang w:eastAsia="zh-CN"/>
        </w:rPr>
        <w:t>；</w:t>
      </w:r>
      <w:r>
        <w:rPr>
          <w:rFonts w:ascii="仿宋_GB2312" w:hAnsi="仿宋_GB2312" w:eastAsia="仿宋_GB2312"/>
          <w:sz w:val="32"/>
        </w:rPr>
        <w:t>负责行政审批、政务服务相关配套改革事项和措施的落实</w:t>
      </w:r>
      <w:r>
        <w:rPr>
          <w:rFonts w:hint="eastAsia" w:ascii="仿宋_GB2312" w:hAnsi="仿宋_GB2312" w:eastAsia="仿宋_GB2312"/>
          <w:sz w:val="32"/>
          <w:lang w:eastAsia="zh-CN"/>
        </w:rPr>
        <w:t>；</w:t>
      </w:r>
      <w:r>
        <w:rPr>
          <w:rFonts w:ascii="仿宋_GB2312" w:hAnsi="仿宋_GB2312" w:eastAsia="仿宋_GB2312"/>
          <w:sz w:val="32"/>
        </w:rPr>
        <w:t>完成县委、县人民政府交办的其他任务。</w:t>
      </w:r>
    </w:p>
    <w:p w14:paraId="1AA33BCA">
      <w:pPr>
        <w:spacing w:line="640" w:lineRule="exact"/>
        <w:ind w:firstLine="640"/>
        <w:jc w:val="both"/>
        <w:outlineLvl w:val="2"/>
      </w:pPr>
      <w:r>
        <w:rPr>
          <w:rFonts w:ascii="黑体" w:hAnsi="黑体" w:eastAsia="黑体"/>
          <w:sz w:val="32"/>
        </w:rPr>
        <w:t>二、机构设置及人员情况</w:t>
      </w:r>
    </w:p>
    <w:p w14:paraId="034D1216">
      <w:pPr>
        <w:spacing w:line="580" w:lineRule="exact"/>
        <w:ind w:firstLine="640"/>
        <w:jc w:val="both"/>
      </w:pPr>
      <w:r>
        <w:rPr>
          <w:rFonts w:ascii="仿宋_GB2312" w:hAnsi="仿宋_GB2312" w:eastAsia="仿宋_GB2312"/>
          <w:sz w:val="32"/>
        </w:rPr>
        <w:t>岳普湖县行政服务中心2024年度，实有人数6人，其中：在职人员6人，增加1人；离休人员0人，增加0人；退休人员0人,增加0人。</w:t>
      </w:r>
    </w:p>
    <w:p w14:paraId="2A55E5D8">
      <w:pPr>
        <w:spacing w:line="580" w:lineRule="exact"/>
        <w:ind w:firstLine="640"/>
        <w:jc w:val="both"/>
      </w:pPr>
      <w:r>
        <w:rPr>
          <w:rFonts w:ascii="仿宋_GB2312" w:hAnsi="仿宋_GB2312" w:eastAsia="仿宋_GB2312"/>
          <w:sz w:val="32"/>
        </w:rPr>
        <w:t>岳普湖县行政服务中心无下属预算单位，下设6个科室，分别是：财务室、保密室、综合办、主任办公室、副主任办公室、党建办。</w:t>
      </w:r>
    </w:p>
    <w:p w14:paraId="04EB2D2D">
      <w:r>
        <w:br w:type="page"/>
      </w:r>
    </w:p>
    <w:p w14:paraId="3F6BD774">
      <w:pPr>
        <w:spacing w:line="240" w:lineRule="auto"/>
        <w:jc w:val="center"/>
        <w:outlineLvl w:val="1"/>
      </w:pPr>
      <w:r>
        <w:rPr>
          <w:rFonts w:ascii="黑体" w:hAnsi="黑体" w:eastAsia="黑体"/>
          <w:sz w:val="32"/>
        </w:rPr>
        <w:t>第二部分 部门决算情况说明</w:t>
      </w:r>
    </w:p>
    <w:p w14:paraId="6E6FCA42">
      <w:pPr>
        <w:spacing w:line="640" w:lineRule="exact"/>
        <w:ind w:firstLine="640"/>
        <w:jc w:val="both"/>
        <w:outlineLvl w:val="2"/>
      </w:pPr>
      <w:r>
        <w:rPr>
          <w:rFonts w:ascii="黑体" w:hAnsi="黑体" w:eastAsia="黑体"/>
          <w:sz w:val="32"/>
        </w:rPr>
        <w:t>一、收入支出决算总体情况说明</w:t>
      </w:r>
    </w:p>
    <w:p w14:paraId="2490DF8E">
      <w:pPr>
        <w:spacing w:line="580" w:lineRule="exact"/>
        <w:ind w:firstLine="640"/>
        <w:jc w:val="both"/>
      </w:pPr>
      <w:r>
        <w:rPr>
          <w:rFonts w:ascii="仿宋_GB2312" w:hAnsi="仿宋_GB2312" w:eastAsia="仿宋_GB2312"/>
          <w:b/>
          <w:sz w:val="32"/>
        </w:rPr>
        <w:t>2024年度收入总计369.21万元，</w:t>
      </w:r>
      <w:r>
        <w:rPr>
          <w:rFonts w:ascii="仿宋_GB2312" w:hAnsi="仿宋_GB2312" w:eastAsia="仿宋_GB2312"/>
          <w:b w:val="0"/>
          <w:sz w:val="32"/>
        </w:rPr>
        <w:t>其中：本年收入合计369.21万元，使用非财政拨款结余（含专用结余）0.00万元，年初结转和结余0.00万元。</w:t>
      </w:r>
    </w:p>
    <w:p w14:paraId="143C9CC6">
      <w:pPr>
        <w:spacing w:line="580" w:lineRule="exact"/>
        <w:ind w:firstLine="640"/>
        <w:jc w:val="both"/>
      </w:pPr>
      <w:r>
        <w:rPr>
          <w:rFonts w:ascii="仿宋_GB2312" w:hAnsi="仿宋_GB2312" w:eastAsia="仿宋_GB2312"/>
          <w:b/>
          <w:sz w:val="32"/>
        </w:rPr>
        <w:t>2024年度支出总计369.21万元，</w:t>
      </w:r>
      <w:r>
        <w:rPr>
          <w:rFonts w:ascii="仿宋_GB2312" w:hAnsi="仿宋_GB2312" w:eastAsia="仿宋_GB2312"/>
          <w:b w:val="0"/>
          <w:sz w:val="32"/>
        </w:rPr>
        <w:t>其中：本年支出合计369.21万元，结余分配0.00万元，年末结转和结余0.00万元。</w:t>
      </w:r>
    </w:p>
    <w:p w14:paraId="453B6AA0">
      <w:pPr>
        <w:spacing w:line="580" w:lineRule="exact"/>
        <w:ind w:firstLine="640"/>
        <w:jc w:val="both"/>
      </w:pPr>
      <w:r>
        <w:rPr>
          <w:rFonts w:ascii="仿宋_GB2312" w:hAnsi="仿宋_GB2312" w:eastAsia="仿宋_GB2312"/>
          <w:b w:val="0"/>
          <w:sz w:val="32"/>
        </w:rPr>
        <w:t>收入支出总体与上年相比，增加146.13万元，增长65.51%，主要原因是：本年在职人员增加，人员工资调薪，工资、社保、公积金等相关人员经费增加；岳普湖县营商环境优化提升援疆项目资金增加。</w:t>
      </w:r>
    </w:p>
    <w:p w14:paraId="01499BC8">
      <w:pPr>
        <w:spacing w:line="640" w:lineRule="exact"/>
        <w:ind w:firstLine="640"/>
        <w:jc w:val="both"/>
        <w:outlineLvl w:val="2"/>
      </w:pPr>
      <w:r>
        <w:rPr>
          <w:rFonts w:ascii="黑体" w:hAnsi="黑体" w:eastAsia="黑体"/>
          <w:sz w:val="32"/>
        </w:rPr>
        <w:t>二、收入决算情况说明</w:t>
      </w:r>
    </w:p>
    <w:p w14:paraId="6C6DD865">
      <w:pPr>
        <w:spacing w:line="580" w:lineRule="exact"/>
        <w:ind w:firstLine="640"/>
        <w:jc w:val="both"/>
      </w:pPr>
      <w:r>
        <w:rPr>
          <w:rFonts w:ascii="仿宋_GB2312" w:hAnsi="仿宋_GB2312" w:eastAsia="仿宋_GB2312"/>
          <w:b/>
          <w:sz w:val="32"/>
        </w:rPr>
        <w:t>本年收入369.21万元，</w:t>
      </w:r>
      <w:r>
        <w:rPr>
          <w:rFonts w:ascii="仿宋_GB2312" w:hAnsi="仿宋_GB2312" w:eastAsia="仿宋_GB2312"/>
          <w:b w:val="0"/>
          <w:sz w:val="32"/>
        </w:rPr>
        <w:t>其中：财政拨款收入132.48万元，占35.88%；上级补助收入0.00万元，占0.00%；事业收入0.00万元，占0.00%；经营收入0.00万元，占0.00%；附属单位上缴收入0.00万元，占0.00%；其他收入236.72万元，占64.12%。</w:t>
      </w:r>
    </w:p>
    <w:p w14:paraId="457EF703">
      <w:pPr>
        <w:spacing w:line="640" w:lineRule="exact"/>
        <w:ind w:firstLine="640"/>
        <w:jc w:val="both"/>
        <w:outlineLvl w:val="2"/>
      </w:pPr>
      <w:r>
        <w:rPr>
          <w:rFonts w:ascii="黑体" w:hAnsi="黑体" w:eastAsia="黑体"/>
          <w:sz w:val="32"/>
        </w:rPr>
        <w:t>三、支出决算情况说明</w:t>
      </w:r>
    </w:p>
    <w:p w14:paraId="1BEC5A14">
      <w:pPr>
        <w:spacing w:line="580" w:lineRule="exact"/>
        <w:ind w:firstLine="640"/>
        <w:jc w:val="both"/>
      </w:pPr>
      <w:r>
        <w:rPr>
          <w:rFonts w:ascii="仿宋_GB2312" w:hAnsi="仿宋_GB2312" w:eastAsia="仿宋_GB2312"/>
          <w:b/>
          <w:sz w:val="32"/>
        </w:rPr>
        <w:t>本年支出369.21万元，</w:t>
      </w:r>
      <w:r>
        <w:rPr>
          <w:rFonts w:ascii="仿宋_GB2312" w:hAnsi="仿宋_GB2312" w:eastAsia="仿宋_GB2312"/>
          <w:b w:val="0"/>
          <w:sz w:val="32"/>
        </w:rPr>
        <w:t>其中：基本支出120.48万元，占32.63%；项目支出248.72万元，占67.37%；上缴上级支出0.00万元，占0.00%；经营支出0.00万元，占0.00%；对附属单位补助支出0.00万元，占0.00%。</w:t>
      </w:r>
    </w:p>
    <w:p w14:paraId="07E442CD">
      <w:pPr>
        <w:spacing w:line="640" w:lineRule="exact"/>
        <w:ind w:firstLine="640"/>
        <w:jc w:val="both"/>
        <w:outlineLvl w:val="2"/>
      </w:pPr>
      <w:r>
        <w:rPr>
          <w:rFonts w:ascii="黑体" w:hAnsi="黑体" w:eastAsia="黑体"/>
          <w:sz w:val="32"/>
        </w:rPr>
        <w:t>四、财政拨款收入支出决算总体情况说明</w:t>
      </w:r>
    </w:p>
    <w:p w14:paraId="03710870">
      <w:pPr>
        <w:spacing w:line="580" w:lineRule="exact"/>
        <w:ind w:firstLine="640"/>
        <w:jc w:val="both"/>
      </w:pPr>
      <w:r>
        <w:rPr>
          <w:rFonts w:ascii="仿宋_GB2312" w:hAnsi="仿宋_GB2312" w:eastAsia="仿宋_GB2312"/>
          <w:b/>
          <w:sz w:val="32"/>
        </w:rPr>
        <w:t>2024年度财政拨款收入总计132.48万元，</w:t>
      </w:r>
      <w:r>
        <w:rPr>
          <w:rFonts w:ascii="仿宋_GB2312" w:hAnsi="仿宋_GB2312" w:eastAsia="仿宋_GB2312"/>
          <w:b w:val="0"/>
          <w:sz w:val="32"/>
        </w:rPr>
        <w:t>其中：年初财政拨款结转和结余0.00万元，本年财政拨款收入132.48万元。</w:t>
      </w:r>
      <w:r>
        <w:rPr>
          <w:rFonts w:ascii="仿宋_GB2312" w:hAnsi="仿宋_GB2312" w:eastAsia="仿宋_GB2312"/>
          <w:b/>
          <w:sz w:val="32"/>
        </w:rPr>
        <w:t>财政拨款支出总计132.48万元，</w:t>
      </w:r>
      <w:r>
        <w:rPr>
          <w:rFonts w:ascii="仿宋_GB2312" w:hAnsi="仿宋_GB2312" w:eastAsia="仿宋_GB2312"/>
          <w:b w:val="0"/>
          <w:sz w:val="32"/>
        </w:rPr>
        <w:t>其中：年末财政拨款结转和结余0.00万元，本年财政拨款支出132.48万元。</w:t>
      </w:r>
    </w:p>
    <w:p w14:paraId="20C5342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增加25.40万元，增长23.72%，主要原因是：本年在职人员增加，人员工资调薪，工资、社保、公积金等相关人员经费增加。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年初预算数108.19万元，决算数132.48万元，预决算差异率22.45%，主要原因是：本年在职人员工资调薪，工资、社保、公积金等相关人员经费增加，年中追加人员经费。</w:t>
      </w:r>
    </w:p>
    <w:p w14:paraId="7858C8EE">
      <w:pPr>
        <w:spacing w:line="640" w:lineRule="exact"/>
        <w:ind w:firstLine="640"/>
        <w:jc w:val="both"/>
        <w:outlineLvl w:val="2"/>
      </w:pPr>
      <w:r>
        <w:rPr>
          <w:rFonts w:ascii="黑体" w:hAnsi="黑体" w:eastAsia="黑体"/>
          <w:sz w:val="32"/>
        </w:rPr>
        <w:t>五、一般公共预算财政拨款支出决算情况说明</w:t>
      </w:r>
    </w:p>
    <w:p w14:paraId="0AA4E9AC">
      <w:pPr>
        <w:spacing w:line="640" w:lineRule="exact"/>
        <w:ind w:firstLine="640"/>
        <w:jc w:val="both"/>
        <w:outlineLvl w:val="3"/>
      </w:pPr>
      <w:r>
        <w:rPr>
          <w:rFonts w:ascii="楷体_GB2312" w:hAnsi="楷体_GB2312" w:eastAsia="楷体_GB2312"/>
          <w:b/>
          <w:sz w:val="32"/>
        </w:rPr>
        <w:t>（一）一般公共预算财政拨款支出决算总体情况</w:t>
      </w:r>
    </w:p>
    <w:p w14:paraId="76BD70BD">
      <w:pPr>
        <w:spacing w:line="580" w:lineRule="exact"/>
        <w:ind w:firstLine="640"/>
        <w:jc w:val="both"/>
      </w:pPr>
      <w:r>
        <w:rPr>
          <w:rFonts w:ascii="仿宋_GB2312" w:hAnsi="仿宋_GB2312" w:eastAsia="仿宋_GB2312"/>
          <w:b/>
          <w:sz w:val="32"/>
        </w:rPr>
        <w:t>2024年度一般公共预算财政拨款支出132.48万元，</w:t>
      </w:r>
      <w:r>
        <w:rPr>
          <w:rFonts w:ascii="仿宋_GB2312" w:hAnsi="仿宋_GB2312" w:eastAsia="仿宋_GB2312"/>
          <w:b w:val="0"/>
          <w:sz w:val="32"/>
        </w:rPr>
        <w:t>占本年支出合计的35.88%。</w:t>
      </w:r>
      <w:r>
        <w:rPr>
          <w:rFonts w:ascii="仿宋_GB2312" w:hAnsi="仿宋_GB2312" w:eastAsia="仿宋_GB2312"/>
          <w:b/>
          <w:sz w:val="32"/>
        </w:rPr>
        <w:t>与上年相比，</w:t>
      </w:r>
      <w:r>
        <w:rPr>
          <w:rFonts w:ascii="仿宋_GB2312" w:hAnsi="仿宋_GB2312" w:eastAsia="仿宋_GB2312"/>
          <w:b w:val="0"/>
          <w:sz w:val="32"/>
        </w:rPr>
        <w:t>增加25.40万元，增长23.72%，主要原因是：本年在职人员增加，人员工资调薪，工资、社保、公积金等相关人员经费增加。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年初预算数108.19万元，决算数132.48万元，预决算差异率22.45%，主要原因是：本年在职人员工资调薪，工资、社保、公积金等相关人员经费增加，年中追加人员经费。</w:t>
      </w:r>
    </w:p>
    <w:p w14:paraId="1BCC930E">
      <w:pPr>
        <w:spacing w:line="640" w:lineRule="exact"/>
        <w:ind w:firstLine="640"/>
        <w:jc w:val="both"/>
        <w:outlineLvl w:val="3"/>
      </w:pPr>
      <w:r>
        <w:rPr>
          <w:rFonts w:ascii="楷体_GB2312" w:hAnsi="楷体_GB2312" w:eastAsia="楷体_GB2312"/>
          <w:b/>
          <w:sz w:val="32"/>
        </w:rPr>
        <w:t>（二）一般公共预算财政拨款支出决算结构情况</w:t>
      </w:r>
    </w:p>
    <w:p w14:paraId="33C4D63D">
      <w:pPr>
        <w:spacing w:line="580" w:lineRule="exact"/>
        <w:ind w:firstLine="640"/>
        <w:jc w:val="both"/>
      </w:pPr>
      <w:r>
        <w:rPr>
          <w:rFonts w:ascii="仿宋_GB2312" w:hAnsi="仿宋_GB2312" w:eastAsia="仿宋_GB2312"/>
          <w:b w:val="0"/>
          <w:sz w:val="32"/>
        </w:rPr>
        <w:t>1.一般公共服务支出(类)112.69万元,占85.06%。</w:t>
      </w:r>
    </w:p>
    <w:p w14:paraId="5185F022">
      <w:pPr>
        <w:spacing w:line="580" w:lineRule="exact"/>
        <w:ind w:firstLine="640"/>
        <w:jc w:val="both"/>
      </w:pPr>
      <w:r>
        <w:rPr>
          <w:rFonts w:ascii="仿宋_GB2312" w:hAnsi="仿宋_GB2312" w:eastAsia="仿宋_GB2312"/>
          <w:b w:val="0"/>
          <w:sz w:val="32"/>
        </w:rPr>
        <w:t>2.社会保障和就业支出(类)9.11万元,占6.88%。</w:t>
      </w:r>
    </w:p>
    <w:p w14:paraId="6C1A6669">
      <w:pPr>
        <w:spacing w:line="580" w:lineRule="exact"/>
        <w:ind w:firstLine="640"/>
        <w:jc w:val="both"/>
      </w:pPr>
      <w:r>
        <w:rPr>
          <w:rFonts w:ascii="仿宋_GB2312" w:hAnsi="仿宋_GB2312" w:eastAsia="仿宋_GB2312"/>
          <w:b w:val="0"/>
          <w:sz w:val="32"/>
        </w:rPr>
        <w:t>3.卫生健康支出(类)3.23万元,占2.44%。</w:t>
      </w:r>
    </w:p>
    <w:p w14:paraId="7C883F5F">
      <w:pPr>
        <w:spacing w:line="580" w:lineRule="exact"/>
        <w:ind w:firstLine="640"/>
        <w:jc w:val="both"/>
      </w:pPr>
      <w:r>
        <w:rPr>
          <w:rFonts w:ascii="仿宋_GB2312" w:hAnsi="仿宋_GB2312" w:eastAsia="仿宋_GB2312"/>
          <w:b w:val="0"/>
          <w:sz w:val="32"/>
        </w:rPr>
        <w:t>4.住房保障支出(类)7.45万元,占5.62%。</w:t>
      </w:r>
    </w:p>
    <w:p w14:paraId="4E3E8A1C">
      <w:pPr>
        <w:spacing w:line="640" w:lineRule="exact"/>
        <w:ind w:firstLine="640"/>
        <w:jc w:val="both"/>
        <w:outlineLvl w:val="3"/>
      </w:pPr>
      <w:r>
        <w:rPr>
          <w:rFonts w:ascii="楷体_GB2312" w:hAnsi="楷体_GB2312" w:eastAsia="楷体_GB2312"/>
          <w:b/>
          <w:sz w:val="32"/>
        </w:rPr>
        <w:t>（三）一般公共预算财政拨款支出决算具体情况</w:t>
      </w:r>
    </w:p>
    <w:p w14:paraId="4923B3E8">
      <w:pPr>
        <w:spacing w:line="580" w:lineRule="exact"/>
        <w:ind w:firstLine="640"/>
        <w:jc w:val="both"/>
      </w:pPr>
      <w:r>
        <w:rPr>
          <w:rFonts w:ascii="仿宋_GB2312" w:hAnsi="仿宋_GB2312" w:eastAsia="仿宋_GB2312"/>
          <w:b w:val="0"/>
          <w:sz w:val="32"/>
        </w:rPr>
        <w:t>1.一般公共服务支出(类)政府办公厅（室）及相关机构事务(款)事业运行(项):支出决算数为100.69万元，比上年决算增加8.65万元，增长9.40%,主要原因是：本年在职人员工资调薪，工资等相关人员经费增加。</w:t>
      </w:r>
    </w:p>
    <w:p w14:paraId="2045D7EF">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12.00万元，比上年决算增加12.00万元，增长100.00%,主要原因是：本年增加岳普湖县行政服务中心公用经费项目。</w:t>
      </w:r>
    </w:p>
    <w:p w14:paraId="358F6A8B">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9.11万元，比上年决算增加2.39万元，增长35.57%,主要原因是：本年在职人员增加，人员调薪，养老保险缴费增加。</w:t>
      </w:r>
    </w:p>
    <w:p w14:paraId="6D8205E9">
      <w:pPr>
        <w:spacing w:line="580" w:lineRule="exact"/>
        <w:ind w:firstLine="640"/>
        <w:jc w:val="both"/>
      </w:pPr>
      <w:r>
        <w:rPr>
          <w:rFonts w:ascii="仿宋_GB2312" w:hAnsi="仿宋_GB2312" w:eastAsia="仿宋_GB2312"/>
          <w:b w:val="0"/>
          <w:sz w:val="32"/>
        </w:rPr>
        <w:t>4.卫生健康支出(类)行政事业单位医疗(款)事业单位医疗(项):支出决算数为3.23万元，比上年决算增加0.31万元，增长10.62%,主要原因是：本年在职人员增加，人员调薪，事业单位医疗缴费增加。</w:t>
      </w:r>
    </w:p>
    <w:p w14:paraId="359AFD28">
      <w:pPr>
        <w:spacing w:line="580" w:lineRule="exact"/>
        <w:ind w:firstLine="640"/>
        <w:jc w:val="both"/>
      </w:pPr>
      <w:r>
        <w:rPr>
          <w:rFonts w:ascii="仿宋_GB2312" w:hAnsi="仿宋_GB2312" w:eastAsia="仿宋_GB2312"/>
          <w:b w:val="0"/>
          <w:sz w:val="32"/>
        </w:rPr>
        <w:t>5.住房保障支出(类)住房改革支出(款)住房公积金(项):支出决算数为7.45万元，比上年决算增加2.05万元，增长37.96%,主要原因是：本年在职人员增加，人员调薪，住房公积金缴费增加。</w:t>
      </w:r>
    </w:p>
    <w:p w14:paraId="06DC0875">
      <w:pPr>
        <w:spacing w:line="640" w:lineRule="exact"/>
        <w:ind w:firstLine="640"/>
        <w:jc w:val="both"/>
        <w:outlineLvl w:val="2"/>
      </w:pPr>
      <w:r>
        <w:rPr>
          <w:rFonts w:ascii="黑体" w:hAnsi="黑体" w:eastAsia="黑体"/>
          <w:sz w:val="32"/>
        </w:rPr>
        <w:t>六、一般公共预算财政拨款基本支出决算情况说明</w:t>
      </w:r>
    </w:p>
    <w:p w14:paraId="7B53453B">
      <w:pPr>
        <w:spacing w:line="580" w:lineRule="exact"/>
        <w:ind w:firstLine="640"/>
        <w:jc w:val="both"/>
      </w:pPr>
      <w:r>
        <w:rPr>
          <w:rFonts w:ascii="仿宋_GB2312" w:hAnsi="仿宋_GB2312" w:eastAsia="仿宋_GB2312"/>
          <w:b w:val="0"/>
          <w:sz w:val="32"/>
        </w:rPr>
        <w:t>2024年度一般公共预算财政拨款基本支出120.48万元，其中：</w:t>
      </w:r>
      <w:r>
        <w:rPr>
          <w:rFonts w:ascii="仿宋_GB2312" w:hAnsi="仿宋_GB2312" w:eastAsia="仿宋_GB2312"/>
          <w:b/>
          <w:sz w:val="32"/>
        </w:rPr>
        <w:t>人员经费104.08万元，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w:t>
      </w:r>
    </w:p>
    <w:p w14:paraId="11EA0F9E">
      <w:pPr>
        <w:spacing w:line="580" w:lineRule="exact"/>
        <w:ind w:firstLine="640"/>
        <w:jc w:val="both"/>
      </w:pPr>
      <w:r>
        <w:rPr>
          <w:rFonts w:ascii="仿宋_GB2312" w:hAnsi="仿宋_GB2312" w:eastAsia="仿宋_GB2312"/>
          <w:b/>
          <w:sz w:val="32"/>
        </w:rPr>
        <w:t>公用经费16.40万元，</w:t>
      </w:r>
      <w:r>
        <w:rPr>
          <w:rFonts w:ascii="仿宋_GB2312" w:hAnsi="仿宋_GB2312" w:eastAsia="仿宋_GB2312"/>
          <w:b w:val="0"/>
          <w:sz w:val="32"/>
        </w:rPr>
        <w:t>包括：办公费、水费、电费、邮电费、取暖费、物业管理费、差旅费。</w:t>
      </w:r>
    </w:p>
    <w:p w14:paraId="0CF0E803">
      <w:pPr>
        <w:spacing w:line="640" w:lineRule="exact"/>
        <w:ind w:firstLine="640"/>
        <w:jc w:val="both"/>
        <w:outlineLvl w:val="2"/>
      </w:pPr>
      <w:r>
        <w:rPr>
          <w:rFonts w:ascii="黑体" w:hAnsi="黑体" w:eastAsia="黑体"/>
          <w:sz w:val="32"/>
        </w:rPr>
        <w:t>七、政府性基金预算财政拨款收入支出决算情况说明</w:t>
      </w:r>
    </w:p>
    <w:p w14:paraId="4723681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2D15D81">
      <w:pPr>
        <w:spacing w:line="640" w:lineRule="exact"/>
        <w:ind w:firstLine="640"/>
        <w:jc w:val="both"/>
        <w:outlineLvl w:val="2"/>
      </w:pPr>
      <w:r>
        <w:rPr>
          <w:rFonts w:ascii="黑体" w:hAnsi="黑体" w:eastAsia="黑体"/>
          <w:sz w:val="32"/>
        </w:rPr>
        <w:t>八、国有资本经营预算财政拨款收入支出决算情况说明</w:t>
      </w:r>
    </w:p>
    <w:p w14:paraId="259AC80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CEAB582">
      <w:pPr>
        <w:spacing w:line="640" w:lineRule="exact"/>
        <w:ind w:firstLine="640"/>
        <w:jc w:val="both"/>
        <w:outlineLvl w:val="2"/>
      </w:pPr>
      <w:r>
        <w:rPr>
          <w:rFonts w:ascii="黑体" w:hAnsi="黑体" w:eastAsia="黑体"/>
          <w:sz w:val="32"/>
        </w:rPr>
        <w:t>九、财政拨款“三公”经费支出决算情况说明</w:t>
      </w:r>
    </w:p>
    <w:p w14:paraId="1011193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D46D69C">
      <w:pPr>
        <w:spacing w:line="580" w:lineRule="exact"/>
        <w:ind w:firstLine="640"/>
        <w:jc w:val="both"/>
      </w:pPr>
      <w:r>
        <w:rPr>
          <w:rFonts w:ascii="仿宋_GB2312" w:hAnsi="仿宋_GB2312" w:eastAsia="仿宋_GB2312"/>
          <w:b/>
          <w:sz w:val="32"/>
        </w:rPr>
        <w:t>具体情况如下：</w:t>
      </w:r>
    </w:p>
    <w:p w14:paraId="534CA50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7853B2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4056B6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05BFCA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3BEEA01">
      <w:pPr>
        <w:spacing w:line="640" w:lineRule="exact"/>
        <w:ind w:firstLine="640"/>
        <w:jc w:val="both"/>
        <w:outlineLvl w:val="2"/>
      </w:pPr>
      <w:r>
        <w:rPr>
          <w:rFonts w:ascii="黑体" w:hAnsi="黑体" w:eastAsia="黑体"/>
          <w:sz w:val="32"/>
        </w:rPr>
        <w:t>十、其他重要事项的情况说明</w:t>
      </w:r>
    </w:p>
    <w:p w14:paraId="588E776C">
      <w:pPr>
        <w:spacing w:line="640" w:lineRule="exact"/>
        <w:ind w:firstLine="640"/>
        <w:jc w:val="both"/>
        <w:outlineLvl w:val="3"/>
      </w:pPr>
      <w:r>
        <w:rPr>
          <w:rFonts w:ascii="楷体_GB2312" w:hAnsi="楷体_GB2312" w:eastAsia="楷体_GB2312"/>
          <w:b/>
          <w:sz w:val="32"/>
        </w:rPr>
        <w:t>（一）机关运行经费及公用经费支出情况</w:t>
      </w:r>
    </w:p>
    <w:p w14:paraId="471F3A3D">
      <w:pPr>
        <w:spacing w:line="580" w:lineRule="exact"/>
        <w:ind w:firstLine="640"/>
        <w:jc w:val="both"/>
      </w:pPr>
      <w:r>
        <w:rPr>
          <w:rFonts w:ascii="仿宋_GB2312" w:hAnsi="仿宋_GB2312" w:eastAsia="仿宋_GB2312"/>
          <w:b w:val="0"/>
          <w:sz w:val="32"/>
        </w:rPr>
        <w:t>2024年度岳普湖县行政服务中心（事业单位）公用经费支出16.40万元，比上年增加1.25万元，增长8.25%，主要原因是：本年办公费较上年增加，导致公用经费较上年增加。</w:t>
      </w:r>
    </w:p>
    <w:p w14:paraId="47FA5367">
      <w:pPr>
        <w:spacing w:line="640" w:lineRule="exact"/>
        <w:ind w:firstLine="640"/>
        <w:jc w:val="both"/>
        <w:outlineLvl w:val="3"/>
      </w:pPr>
      <w:r>
        <w:rPr>
          <w:rFonts w:ascii="楷体_GB2312" w:hAnsi="楷体_GB2312" w:eastAsia="楷体_GB2312"/>
          <w:b/>
          <w:sz w:val="32"/>
        </w:rPr>
        <w:t>（二）政府采购情况</w:t>
      </w:r>
    </w:p>
    <w:p w14:paraId="595B6BB0">
      <w:pPr>
        <w:spacing w:line="580" w:lineRule="exact"/>
        <w:ind w:firstLine="640"/>
        <w:jc w:val="both"/>
      </w:pPr>
      <w:r>
        <w:rPr>
          <w:rFonts w:ascii="仿宋_GB2312" w:hAnsi="仿宋_GB2312" w:eastAsia="仿宋_GB2312"/>
          <w:b w:val="0"/>
          <w:sz w:val="32"/>
        </w:rPr>
        <w:t>2024年度政府采购支出总额14.40万元，其中：政府采购货物支出0.00万元、政府采购工程支出0.00万元、政府采购服务支出14.40万元。</w:t>
      </w:r>
    </w:p>
    <w:p w14:paraId="4930558D">
      <w:pPr>
        <w:spacing w:line="580" w:lineRule="exact"/>
        <w:ind w:firstLine="640"/>
        <w:jc w:val="both"/>
      </w:pPr>
      <w:r>
        <w:rPr>
          <w:rFonts w:ascii="仿宋_GB2312" w:hAnsi="仿宋_GB2312" w:eastAsia="仿宋_GB2312"/>
          <w:b w:val="0"/>
          <w:sz w:val="32"/>
        </w:rPr>
        <w:t>授予中小企业合同金额14.40万元，占政府采购支出总额的100.00%，其中：授予小微企业合同金额14.40万元，占政府采购支出总额的100.00%。</w:t>
      </w:r>
    </w:p>
    <w:p w14:paraId="4DAC74DC">
      <w:pPr>
        <w:spacing w:line="640" w:lineRule="exact"/>
        <w:ind w:firstLine="640"/>
        <w:jc w:val="both"/>
        <w:outlineLvl w:val="3"/>
      </w:pPr>
      <w:r>
        <w:rPr>
          <w:rFonts w:ascii="楷体_GB2312" w:hAnsi="楷体_GB2312" w:eastAsia="楷体_GB2312"/>
          <w:b/>
          <w:sz w:val="32"/>
        </w:rPr>
        <w:t>（三）国有资产占用情况说明</w:t>
      </w:r>
    </w:p>
    <w:p w14:paraId="38DDC576">
      <w:pPr>
        <w:spacing w:line="580" w:lineRule="exact"/>
        <w:ind w:firstLine="640"/>
        <w:jc w:val="both"/>
      </w:pPr>
      <w:r>
        <w:rPr>
          <w:rFonts w:ascii="仿宋_GB2312" w:hAnsi="仿宋_GB2312" w:eastAsia="仿宋_GB2312"/>
          <w:b w:val="0"/>
          <w:sz w:val="32"/>
        </w:rPr>
        <w:t>截至2024年12月31日，房屋6,466.26平方米，价值1,389.63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0C81CCF">
      <w:pPr>
        <w:spacing w:line="640" w:lineRule="exact"/>
        <w:ind w:firstLine="640"/>
        <w:jc w:val="both"/>
        <w:outlineLvl w:val="2"/>
      </w:pPr>
      <w:r>
        <w:rPr>
          <w:rFonts w:ascii="黑体" w:hAnsi="黑体" w:eastAsia="黑体"/>
          <w:sz w:val="32"/>
        </w:rPr>
        <w:t>十一、预算绩效的情况说明</w:t>
      </w:r>
    </w:p>
    <w:p w14:paraId="56321AD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369.20万元，实际执行总额369.20万元；预算绩效评价项目3个，全年预算数254.81万元，全年执行数248.72万元。预算绩效管理取得的成效：一是项目管理规范。建立完善的管理机制，明确各方的职责和权利，加强内部协调和沟通，确保项目实施的顺利进行。同时，注重项目的过程管理和监督，及时发现和解决问题，确保项目的质量。二是充分推进服务质量。为</w:t>
      </w:r>
      <w:r>
        <w:rPr>
          <w:rFonts w:hint="eastAsia" w:ascii="仿宋_GB2312" w:hAnsi="仿宋_GB2312" w:eastAsia="仿宋_GB2312"/>
          <w:b w:val="0"/>
          <w:sz w:val="32"/>
          <w:lang w:eastAsia="zh-CN"/>
        </w:rPr>
        <w:t>更好地服务</w:t>
      </w:r>
      <w:r>
        <w:rPr>
          <w:rFonts w:ascii="仿宋_GB2312" w:hAnsi="仿宋_GB2312" w:eastAsia="仿宋_GB2312"/>
          <w:b w:val="0"/>
          <w:sz w:val="32"/>
        </w:rPr>
        <w:t>群众，行政服务中心建立帮办代办综合窗口，全时段、全流程为群众提供免费服务，最大程度利企便民，办事群众凡遇到流程不明白、业务不熟悉</w:t>
      </w:r>
      <w:r>
        <w:rPr>
          <w:rFonts w:hint="eastAsia" w:ascii="仿宋_GB2312" w:hAnsi="仿宋_GB2312" w:eastAsia="仿宋_GB2312"/>
          <w:b w:val="0"/>
          <w:sz w:val="32"/>
          <w:lang w:eastAsia="zh-CN"/>
        </w:rPr>
        <w:t>或</w:t>
      </w:r>
      <w:r>
        <w:rPr>
          <w:rFonts w:ascii="仿宋_GB2312" w:hAnsi="仿宋_GB2312" w:eastAsia="仿宋_GB2312"/>
          <w:b w:val="0"/>
          <w:sz w:val="32"/>
        </w:rPr>
        <w:t>资料不齐全等问题，可随时咨询求助，“保姆式”服务，得到了广大群众的好评。发现的问题及原因：一是人员配备不足：过于重视项目短期行为，人员配备方面存在不足。导致项目管理过程中出现疏漏和错误。二是系统数据联通性还需加强：由于各部门间系统不兼容，数据不共享，很多部门的事项只能在行业部门自己的独立系统办理，造成了办事群众需要向多部门多次重复递交材料的现象。下一步改进措施：一是灵活调配资源，以弥补人力资源的不足。强化团队协作，优化团队结构，提高团队效率。二是加强系统适配性，尽快将各部门系统与</w:t>
      </w:r>
      <w:r>
        <w:rPr>
          <w:rFonts w:hint="eastAsia" w:ascii="仿宋_GB2312" w:hAnsi="仿宋_GB2312" w:eastAsia="仿宋_GB2312"/>
          <w:b w:val="0"/>
          <w:sz w:val="32"/>
          <w:lang w:eastAsia="zh-CN"/>
        </w:rPr>
        <w:t>政务</w:t>
      </w:r>
      <w:r>
        <w:rPr>
          <w:rFonts w:ascii="仿宋_GB2312" w:hAnsi="仿宋_GB2312" w:eastAsia="仿宋_GB2312"/>
          <w:b w:val="0"/>
          <w:sz w:val="32"/>
        </w:rPr>
        <w:t>服务平台数据互通，让办事群众更快更好</w:t>
      </w:r>
      <w:r>
        <w:rPr>
          <w:rFonts w:hint="eastAsia" w:ascii="仿宋_GB2312" w:hAnsi="仿宋_GB2312" w:eastAsia="仿宋_GB2312"/>
          <w:b w:val="0"/>
          <w:sz w:val="32"/>
          <w:lang w:eastAsia="zh-CN"/>
        </w:rPr>
        <w:t>地</w:t>
      </w:r>
      <w:r>
        <w:rPr>
          <w:rFonts w:ascii="仿宋_GB2312" w:hAnsi="仿宋_GB2312" w:eastAsia="仿宋_GB2312"/>
          <w:b w:val="0"/>
          <w:sz w:val="32"/>
        </w:rPr>
        <w:t>完成业务办理，提高社会工作服务能力。具体附整体支出绩效自评表，项目支出绩效自评表和评价报告。</w:t>
      </w:r>
    </w:p>
    <w:p w14:paraId="2AD3B17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B884DE3">
        <w:tblPrEx>
          <w:tblCellMar>
            <w:top w:w="0" w:type="dxa"/>
            <w:left w:w="108" w:type="dxa"/>
            <w:bottom w:w="0" w:type="dxa"/>
            <w:right w:w="108" w:type="dxa"/>
          </w:tblCellMar>
        </w:tblPrEx>
        <w:tc>
          <w:tcPr>
            <w:tcW w:w="8847" w:type="dxa"/>
            <w:gridSpan w:val="9"/>
            <w:vAlign w:val="center"/>
          </w:tcPr>
          <w:p w14:paraId="613515A5">
            <w:pPr>
              <w:jc w:val="center"/>
            </w:pPr>
            <w:r>
              <w:rPr>
                <w:rFonts w:ascii="宋体" w:hAnsi="宋体" w:eastAsia="宋体"/>
                <w:sz w:val="24"/>
              </w:rPr>
              <w:t>单位整体支出绩效自评表</w:t>
            </w:r>
          </w:p>
        </w:tc>
      </w:tr>
      <w:tr w14:paraId="7043FF32">
        <w:tblPrEx>
          <w:tblCellMar>
            <w:top w:w="0" w:type="dxa"/>
            <w:left w:w="108" w:type="dxa"/>
            <w:bottom w:w="0" w:type="dxa"/>
            <w:right w:w="108" w:type="dxa"/>
          </w:tblCellMar>
        </w:tblPrEx>
        <w:tc>
          <w:tcPr>
            <w:tcW w:w="8847" w:type="dxa"/>
            <w:gridSpan w:val="9"/>
            <w:vAlign w:val="center"/>
          </w:tcPr>
          <w:p w14:paraId="2CBAD823">
            <w:pPr>
              <w:jc w:val="center"/>
            </w:pPr>
            <w:r>
              <w:rPr>
                <w:rFonts w:ascii="宋体" w:hAnsi="宋体" w:eastAsia="宋体"/>
                <w:sz w:val="24"/>
              </w:rPr>
              <w:t>（2024年度）</w:t>
            </w:r>
          </w:p>
        </w:tc>
      </w:tr>
      <w:tr w14:paraId="1C5B393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F243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207B1DB">
            <w:pPr>
              <w:jc w:val="center"/>
            </w:pPr>
            <w:r>
              <w:rPr>
                <w:rFonts w:ascii="宋体" w:hAnsi="宋体" w:eastAsia="宋体"/>
                <w:sz w:val="16"/>
              </w:rPr>
              <w:t>岳普湖县行政服务中心</w:t>
            </w:r>
          </w:p>
        </w:tc>
      </w:tr>
      <w:tr w14:paraId="0125EF2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A5360D">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ECF8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695E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0D59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F148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E31D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31CA1">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F64C6">
            <w:pPr>
              <w:jc w:val="center"/>
            </w:pPr>
            <w:r>
              <w:rPr>
                <w:rFonts w:ascii="宋体" w:hAnsi="宋体" w:eastAsia="宋体"/>
                <w:sz w:val="16"/>
              </w:rPr>
              <w:t>得分</w:t>
            </w:r>
          </w:p>
        </w:tc>
      </w:tr>
      <w:tr w14:paraId="511CE4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E50F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E96F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50EA3">
            <w:pPr>
              <w:jc w:val="center"/>
            </w:pPr>
            <w:r>
              <w:rPr>
                <w:rFonts w:ascii="宋体" w:hAnsi="宋体" w:eastAsia="宋体"/>
                <w:sz w:val="16"/>
              </w:rPr>
              <w:t>108.19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73A24">
            <w:pPr>
              <w:jc w:val="center"/>
            </w:pPr>
            <w:r>
              <w:rPr>
                <w:rFonts w:ascii="宋体" w:hAnsi="宋体" w:eastAsia="宋体"/>
                <w:sz w:val="16"/>
              </w:rPr>
              <w:t>369.20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21EC4">
            <w:pPr>
              <w:jc w:val="center"/>
            </w:pPr>
            <w:r>
              <w:rPr>
                <w:rFonts w:ascii="宋体" w:hAnsi="宋体" w:eastAsia="宋体"/>
                <w:sz w:val="16"/>
              </w:rPr>
              <w:t>369.20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6442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8371F">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50493">
            <w:pPr>
              <w:jc w:val="center"/>
            </w:pPr>
            <w:r>
              <w:rPr>
                <w:rFonts w:ascii="宋体" w:hAnsi="宋体" w:eastAsia="宋体"/>
                <w:sz w:val="16"/>
              </w:rPr>
              <w:t>10</w:t>
            </w:r>
          </w:p>
        </w:tc>
      </w:tr>
      <w:tr w14:paraId="774CE8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87768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7BC5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0A78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A792B">
            <w:pPr>
              <w:jc w:val="center"/>
            </w:pPr>
            <w:r>
              <w:rPr>
                <w:rFonts w:ascii="宋体" w:hAnsi="宋体" w:eastAsia="宋体"/>
                <w:sz w:val="16"/>
              </w:rPr>
              <w:t>14.79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D6119">
            <w:pPr>
              <w:jc w:val="center"/>
            </w:pPr>
            <w:r>
              <w:rPr>
                <w:rFonts w:ascii="宋体" w:hAnsi="宋体" w:eastAsia="宋体"/>
                <w:sz w:val="16"/>
              </w:rPr>
              <w:t>14.79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28F9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4DBC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17F2D">
            <w:pPr>
              <w:jc w:val="center"/>
            </w:pPr>
            <w:r>
              <w:rPr>
                <w:rFonts w:ascii="宋体" w:hAnsi="宋体" w:eastAsia="宋体"/>
                <w:sz w:val="16"/>
              </w:rPr>
              <w:t>—</w:t>
            </w:r>
          </w:p>
        </w:tc>
      </w:tr>
      <w:tr w14:paraId="40DCA3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BBF8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F23E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645B1">
            <w:pPr>
              <w:jc w:val="center"/>
            </w:pPr>
            <w:r>
              <w:rPr>
                <w:rFonts w:ascii="宋体" w:hAnsi="宋体" w:eastAsia="宋体"/>
                <w:sz w:val="16"/>
              </w:rPr>
              <w:t>108.19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611BC">
            <w:pPr>
              <w:jc w:val="center"/>
            </w:pPr>
            <w:r>
              <w:rPr>
                <w:rFonts w:ascii="宋体" w:hAnsi="宋体" w:eastAsia="宋体"/>
                <w:sz w:val="16"/>
              </w:rPr>
              <w:t>117.69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9DF42">
            <w:pPr>
              <w:jc w:val="center"/>
            </w:pPr>
            <w:r>
              <w:rPr>
                <w:rFonts w:ascii="宋体" w:hAnsi="宋体" w:eastAsia="宋体"/>
                <w:sz w:val="16"/>
              </w:rPr>
              <w:t>117.69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CA51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4C3C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A4032">
            <w:pPr>
              <w:jc w:val="center"/>
            </w:pPr>
            <w:r>
              <w:rPr>
                <w:rFonts w:ascii="宋体" w:hAnsi="宋体" w:eastAsia="宋体"/>
                <w:sz w:val="16"/>
              </w:rPr>
              <w:t>—</w:t>
            </w:r>
          </w:p>
        </w:tc>
      </w:tr>
      <w:tr w14:paraId="043C57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D8CE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4847D">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89A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6A536">
            <w:pPr>
              <w:jc w:val="center"/>
            </w:pPr>
            <w:r>
              <w:rPr>
                <w:rFonts w:ascii="宋体" w:hAnsi="宋体" w:eastAsia="宋体"/>
                <w:sz w:val="16"/>
              </w:rPr>
              <w:t>236.72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8F058">
            <w:pPr>
              <w:jc w:val="center"/>
            </w:pPr>
            <w:r>
              <w:rPr>
                <w:rFonts w:ascii="宋体" w:hAnsi="宋体" w:eastAsia="宋体"/>
                <w:sz w:val="16"/>
              </w:rPr>
              <w:t>236.72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B55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B421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EEF28">
            <w:pPr>
              <w:jc w:val="center"/>
            </w:pPr>
            <w:r>
              <w:rPr>
                <w:rFonts w:ascii="宋体" w:hAnsi="宋体" w:eastAsia="宋体"/>
                <w:sz w:val="16"/>
              </w:rPr>
              <w:t>—</w:t>
            </w:r>
          </w:p>
        </w:tc>
      </w:tr>
      <w:tr w14:paraId="389D9F7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E10E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5BAE6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6FA94E">
            <w:pPr>
              <w:jc w:val="center"/>
            </w:pPr>
            <w:r>
              <w:rPr>
                <w:rFonts w:ascii="宋体" w:hAnsi="宋体" w:eastAsia="宋体"/>
                <w:sz w:val="16"/>
              </w:rPr>
              <w:t>实际完成情况</w:t>
            </w:r>
          </w:p>
        </w:tc>
      </w:tr>
      <w:tr w14:paraId="2EAF14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05231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EE13F2">
            <w:pPr>
              <w:jc w:val="both"/>
            </w:pPr>
            <w:r>
              <w:rPr>
                <w:rFonts w:ascii="宋体" w:hAnsi="宋体" w:eastAsia="宋体"/>
                <w:sz w:val="16"/>
              </w:rPr>
              <w:t>按期保障38个业务部门纳入行政服务中心审批服务，保障政务服务一体化平台部门（单位）账号启用数量46个，提升行政服务智能化水平，推进行政服务事项标准化建设，不断提升行政审批服务效能。继续加强营商环境建设，推动岳普湖县优化营商环境取得新成效。深化“放管服”改革，为全县经济社会高质量发展提供良好环境。完成全县行政服务部门行政审批监督工作和管理工作，保障行政效率切实提高，着力营造全地区最优的行政服务环境和投资营商环境，为岳普湖县经济社会发展作出积极的贡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5A4F33">
            <w:pPr>
              <w:jc w:val="both"/>
            </w:pPr>
            <w:r>
              <w:rPr>
                <w:rFonts w:ascii="宋体" w:hAnsi="宋体" w:eastAsia="宋体"/>
                <w:sz w:val="16"/>
              </w:rPr>
              <w:t>岳普湖县行政服务中心本年度已完成保障38个业务部门纳入行政服务中心审批服务，保障政务服务一体化平台部门（单位）账号启用数量46个，精简审批流程，提升行政服务智能化水平，全面推行“一窗受理、集成服务”模式。已完成本年度推进行政服务事项标准化建设工作，不断提升行政审批服务效能，让企业和群众办事更加便捷高效。已完成本年度加强营商环境建设工作，紧紧围绕打造“岳好办”政务服务品牌为目标，推动岳普湖县优化营商环境取得新成效。已完成本年度深化“放管服”改革工作，让企业和群众办事更加便捷高效，为全县经济社会高质量发展提供良好环境。已完成全县行政服务部门行政审批监督工作和管理工作，不断推进审批制度改革，坚持依法行政，优化流程、优化服务。保障行政效率切实提高，着力营造全地区最优的行政服务环境和投资营商环境，为岳普湖县经济社会发展作出积极的贡献。</w:t>
            </w:r>
          </w:p>
        </w:tc>
      </w:tr>
      <w:tr w14:paraId="4505425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0D4F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2E64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818A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B7F27">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75D67">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8CDA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A5D8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F78D1">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0D748">
            <w:pPr>
              <w:jc w:val="center"/>
            </w:pPr>
            <w:r>
              <w:rPr>
                <w:rFonts w:ascii="宋体" w:hAnsi="宋体" w:eastAsia="宋体"/>
                <w:sz w:val="16"/>
              </w:rPr>
              <w:t>得分</w:t>
            </w:r>
          </w:p>
        </w:tc>
      </w:tr>
      <w:tr w14:paraId="0040A96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EEB0C">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7D66B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82AB3">
            <w:pPr>
              <w:jc w:val="center"/>
            </w:pPr>
            <w:r>
              <w:rPr>
                <w:rFonts w:ascii="宋体" w:hAnsi="宋体" w:eastAsia="宋体"/>
                <w:sz w:val="16"/>
              </w:rPr>
              <w:t>纳入中心审批服务业务部门数量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BDD7E">
            <w:pPr>
              <w:jc w:val="center"/>
            </w:pPr>
            <w:r>
              <w:rPr>
                <w:rFonts w:ascii="宋体" w:hAnsi="宋体" w:eastAsia="宋体"/>
                <w:sz w:val="16"/>
              </w:rPr>
              <w:t>&gt;=38个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2AFB7">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C2A1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9828A">
            <w:pPr>
              <w:jc w:val="center"/>
            </w:pPr>
            <w:r>
              <w:rPr>
                <w:rFonts w:ascii="宋体" w:hAnsi="宋体" w:eastAsia="宋体"/>
                <w:sz w:val="16"/>
              </w:rPr>
              <w:t>38个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2BCC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26589">
            <w:pPr>
              <w:jc w:val="center"/>
            </w:pPr>
            <w:r>
              <w:rPr>
                <w:rFonts w:ascii="宋体" w:hAnsi="宋体" w:eastAsia="宋体"/>
                <w:sz w:val="16"/>
              </w:rPr>
              <w:t>15</w:t>
            </w:r>
          </w:p>
        </w:tc>
      </w:tr>
      <w:tr w14:paraId="72B724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ED0A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C048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8A97E">
            <w:pPr>
              <w:jc w:val="center"/>
            </w:pPr>
            <w:r>
              <w:rPr>
                <w:rFonts w:ascii="宋体" w:hAnsi="宋体" w:eastAsia="宋体"/>
                <w:sz w:val="16"/>
              </w:rPr>
              <w:t>政务服务一体化平台使用部门数量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352A1">
            <w:pPr>
              <w:jc w:val="center"/>
            </w:pPr>
            <w:r>
              <w:rPr>
                <w:rFonts w:ascii="宋体" w:hAnsi="宋体" w:eastAsia="宋体"/>
                <w:sz w:val="16"/>
              </w:rPr>
              <w:t>&gt;=46个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9B5E5">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4355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17654">
            <w:pPr>
              <w:jc w:val="center"/>
            </w:pPr>
            <w:r>
              <w:rPr>
                <w:rFonts w:ascii="宋体" w:hAnsi="宋体" w:eastAsia="宋体"/>
                <w:sz w:val="16"/>
              </w:rPr>
              <w:t>46个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68C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24CEC">
            <w:pPr>
              <w:jc w:val="center"/>
            </w:pPr>
            <w:r>
              <w:rPr>
                <w:rFonts w:ascii="宋体" w:hAnsi="宋体" w:eastAsia="宋体"/>
                <w:sz w:val="16"/>
              </w:rPr>
              <w:t>15</w:t>
            </w:r>
          </w:p>
        </w:tc>
      </w:tr>
      <w:tr w14:paraId="2A2AF4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D191C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71F7A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41C5B">
            <w:pPr>
              <w:jc w:val="center"/>
            </w:pPr>
            <w:r>
              <w:rPr>
                <w:rFonts w:ascii="宋体" w:hAnsi="宋体" w:eastAsia="宋体"/>
                <w:sz w:val="16"/>
              </w:rPr>
              <w:t>行政审批监督管理工作完成率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FDFD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ED30C">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04C0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F7A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71D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7736A">
            <w:pPr>
              <w:jc w:val="center"/>
            </w:pPr>
            <w:r>
              <w:rPr>
                <w:rFonts w:ascii="宋体" w:hAnsi="宋体" w:eastAsia="宋体"/>
                <w:sz w:val="16"/>
              </w:rPr>
              <w:t>15</w:t>
            </w:r>
          </w:p>
        </w:tc>
      </w:tr>
      <w:tr w14:paraId="6E6995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27D56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740A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BF137">
            <w:pPr>
              <w:jc w:val="center"/>
            </w:pPr>
            <w:r>
              <w:rPr>
                <w:rFonts w:ascii="宋体" w:hAnsi="宋体" w:eastAsia="宋体"/>
                <w:sz w:val="16"/>
              </w:rPr>
              <w:t>“放管服”改革工作完成率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6090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313A5">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942F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5A40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A065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C99B5">
            <w:pPr>
              <w:jc w:val="center"/>
            </w:pPr>
            <w:r>
              <w:rPr>
                <w:rFonts w:ascii="宋体" w:hAnsi="宋体" w:eastAsia="宋体"/>
                <w:sz w:val="16"/>
              </w:rPr>
              <w:t>15</w:t>
            </w:r>
          </w:p>
        </w:tc>
      </w:tr>
      <w:tr w14:paraId="798AFB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1C711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A06A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B7C3E">
            <w:pPr>
              <w:jc w:val="center"/>
            </w:pPr>
            <w:r>
              <w:rPr>
                <w:rFonts w:ascii="宋体" w:hAnsi="宋体" w:eastAsia="宋体"/>
                <w:sz w:val="16"/>
              </w:rPr>
              <w:t>营商环境建设工作覆盖率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51D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FA6FB">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E31C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5A38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63A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AE5CF">
            <w:pPr>
              <w:jc w:val="center"/>
            </w:pPr>
            <w:r>
              <w:rPr>
                <w:rFonts w:ascii="宋体" w:hAnsi="宋体" w:eastAsia="宋体"/>
                <w:sz w:val="16"/>
              </w:rPr>
              <w:t>15</w:t>
            </w:r>
          </w:p>
        </w:tc>
      </w:tr>
      <w:tr w14:paraId="4838A3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49DE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FF1C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B0283">
            <w:pPr>
              <w:jc w:val="center"/>
            </w:pPr>
            <w:r>
              <w:rPr>
                <w:rFonts w:ascii="宋体" w:hAnsi="宋体" w:eastAsia="宋体"/>
                <w:sz w:val="16"/>
              </w:rPr>
              <w:t>行政服务事项标准化建设工作完成率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178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B0A6F">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CFB2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B147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56A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FDBF2">
            <w:pPr>
              <w:jc w:val="center"/>
            </w:pPr>
            <w:r>
              <w:rPr>
                <w:rFonts w:ascii="宋体" w:hAnsi="宋体" w:eastAsia="宋体"/>
                <w:sz w:val="16"/>
              </w:rPr>
              <w:t>15</w:t>
            </w:r>
          </w:p>
        </w:tc>
      </w:tr>
    </w:tbl>
    <w:p w14:paraId="6AF63D25">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26"/>
        <w:gridCol w:w="856"/>
        <w:gridCol w:w="616"/>
        <w:gridCol w:w="616"/>
        <w:gridCol w:w="621"/>
        <w:gridCol w:w="616"/>
        <w:gridCol w:w="616"/>
        <w:gridCol w:w="777"/>
        <w:gridCol w:w="633"/>
        <w:gridCol w:w="598"/>
        <w:gridCol w:w="627"/>
      </w:tblGrid>
      <w:tr w14:paraId="2C82A098">
        <w:tblPrEx>
          <w:tblCellMar>
            <w:top w:w="0" w:type="dxa"/>
            <w:left w:w="108" w:type="dxa"/>
            <w:bottom w:w="0" w:type="dxa"/>
            <w:right w:w="108" w:type="dxa"/>
          </w:tblCellMar>
        </w:tblPrEx>
        <w:tc>
          <w:tcPr>
            <w:tcW w:w="8848" w:type="dxa"/>
            <w:gridSpan w:val="14"/>
            <w:vAlign w:val="center"/>
          </w:tcPr>
          <w:p w14:paraId="5D5D5422">
            <w:pPr>
              <w:jc w:val="center"/>
            </w:pPr>
            <w:r>
              <w:rPr>
                <w:rFonts w:ascii="宋体" w:hAnsi="宋体" w:eastAsia="宋体"/>
                <w:sz w:val="24"/>
              </w:rPr>
              <w:t>项目支出绩效自评表</w:t>
            </w:r>
          </w:p>
        </w:tc>
      </w:tr>
      <w:tr w14:paraId="40D40256">
        <w:tblPrEx>
          <w:tblCellMar>
            <w:top w:w="0" w:type="dxa"/>
            <w:left w:w="108" w:type="dxa"/>
            <w:bottom w:w="0" w:type="dxa"/>
            <w:right w:w="108" w:type="dxa"/>
          </w:tblCellMar>
        </w:tblPrEx>
        <w:tc>
          <w:tcPr>
            <w:tcW w:w="8848" w:type="dxa"/>
            <w:gridSpan w:val="14"/>
            <w:vAlign w:val="center"/>
          </w:tcPr>
          <w:p w14:paraId="7CE09B8E">
            <w:pPr>
              <w:jc w:val="center"/>
            </w:pPr>
            <w:r>
              <w:rPr>
                <w:rFonts w:ascii="宋体" w:hAnsi="宋体" w:eastAsia="宋体"/>
                <w:sz w:val="24"/>
              </w:rPr>
              <w:t>(2024年度)</w:t>
            </w:r>
          </w:p>
        </w:tc>
      </w:tr>
      <w:tr w14:paraId="07BE96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F619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34664F">
            <w:pPr>
              <w:jc w:val="center"/>
            </w:pPr>
            <w:r>
              <w:rPr>
                <w:rFonts w:ascii="宋体" w:hAnsi="宋体" w:eastAsia="宋体"/>
                <w:sz w:val="16"/>
              </w:rPr>
              <w:t>岳普湖县营商环境优化提升（消防提升改造）项目</w:t>
            </w:r>
          </w:p>
        </w:tc>
      </w:tr>
      <w:tr w14:paraId="6C9DE8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4532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85AA0A">
            <w:pPr>
              <w:jc w:val="center"/>
            </w:pPr>
            <w:r>
              <w:rPr>
                <w:rFonts w:ascii="宋体" w:hAnsi="宋体" w:eastAsia="宋体"/>
                <w:sz w:val="16"/>
              </w:rPr>
              <w:t>岳普湖县行政服务中心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757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3A27CC">
            <w:pPr>
              <w:jc w:val="center"/>
            </w:pPr>
            <w:r>
              <w:rPr>
                <w:rFonts w:ascii="宋体" w:hAnsi="宋体" w:eastAsia="宋体"/>
                <w:sz w:val="16"/>
              </w:rPr>
              <w:t>岳普湖县行政服务中心</w:t>
            </w:r>
          </w:p>
        </w:tc>
      </w:tr>
      <w:tr w14:paraId="7E2617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AC6C7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0DC2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0152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7E62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568A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E331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B69C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32BD">
            <w:pPr>
              <w:jc w:val="center"/>
            </w:pPr>
            <w:r>
              <w:rPr>
                <w:rFonts w:ascii="宋体" w:hAnsi="宋体" w:eastAsia="宋体"/>
                <w:sz w:val="16"/>
              </w:rPr>
              <w:t>得分</w:t>
            </w:r>
          </w:p>
        </w:tc>
      </w:tr>
      <w:tr w14:paraId="4F16A6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DA1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A438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6B7ED">
            <w:pPr>
              <w:jc w:val="center"/>
            </w:pPr>
            <w:r>
              <w:rPr>
                <w:rFonts w:ascii="宋体" w:hAnsi="宋体" w:eastAsia="宋体"/>
                <w:sz w:val="16"/>
              </w:rPr>
              <w:t>212.93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830E7">
            <w:pPr>
              <w:jc w:val="center"/>
            </w:pPr>
            <w:r>
              <w:rPr>
                <w:rFonts w:ascii="宋体" w:hAnsi="宋体" w:eastAsia="宋体"/>
                <w:sz w:val="16"/>
              </w:rPr>
              <w:t>212.93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005FE">
            <w:pPr>
              <w:jc w:val="center"/>
            </w:pPr>
            <w:r>
              <w:rPr>
                <w:rFonts w:ascii="宋体" w:hAnsi="宋体" w:eastAsia="宋体"/>
                <w:sz w:val="16"/>
              </w:rPr>
              <w:t>206.84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2B7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D48E3">
            <w:pPr>
              <w:jc w:val="center"/>
            </w:pPr>
            <w:r>
              <w:rPr>
                <w:rFonts w:ascii="宋体" w:hAnsi="宋体" w:eastAsia="宋体"/>
                <w:sz w:val="16"/>
              </w:rPr>
              <w:t>97.14%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C7F66">
            <w:pPr>
              <w:jc w:val="center"/>
            </w:pPr>
            <w:r>
              <w:rPr>
                <w:rFonts w:ascii="宋体" w:hAnsi="宋体" w:eastAsia="宋体"/>
                <w:sz w:val="16"/>
              </w:rPr>
              <w:t>9.29分</w:t>
            </w:r>
          </w:p>
        </w:tc>
      </w:tr>
      <w:tr w14:paraId="046A47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D64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F363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C0E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E17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387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241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73F0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0249B">
            <w:pPr>
              <w:jc w:val="center"/>
            </w:pPr>
            <w:r>
              <w:rPr>
                <w:rFonts w:ascii="宋体" w:hAnsi="宋体" w:eastAsia="宋体"/>
                <w:sz w:val="16"/>
              </w:rPr>
              <w:t>—</w:t>
            </w:r>
          </w:p>
        </w:tc>
      </w:tr>
      <w:tr w14:paraId="459AE4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388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D1BE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B29CE">
            <w:pPr>
              <w:jc w:val="center"/>
            </w:pPr>
            <w:r>
              <w:rPr>
                <w:rFonts w:ascii="宋体" w:hAnsi="宋体" w:eastAsia="宋体"/>
                <w:sz w:val="16"/>
              </w:rPr>
              <w:t>212.93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C94EB">
            <w:pPr>
              <w:jc w:val="center"/>
            </w:pPr>
            <w:r>
              <w:rPr>
                <w:rFonts w:ascii="宋体" w:hAnsi="宋体" w:eastAsia="宋体"/>
                <w:sz w:val="16"/>
              </w:rPr>
              <w:t>212.93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106D1">
            <w:pPr>
              <w:jc w:val="center"/>
            </w:pPr>
            <w:r>
              <w:rPr>
                <w:rFonts w:ascii="宋体" w:hAnsi="宋体" w:eastAsia="宋体"/>
                <w:sz w:val="16"/>
              </w:rPr>
              <w:t>206.84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703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6538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D5BD8">
            <w:pPr>
              <w:jc w:val="center"/>
            </w:pPr>
            <w:r>
              <w:rPr>
                <w:rFonts w:ascii="宋体" w:hAnsi="宋体" w:eastAsia="宋体"/>
                <w:sz w:val="16"/>
              </w:rPr>
              <w:t>—</w:t>
            </w:r>
          </w:p>
        </w:tc>
      </w:tr>
      <w:tr w14:paraId="3B4005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38570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07DCC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52A4FD">
            <w:pPr>
              <w:jc w:val="center"/>
            </w:pPr>
            <w:r>
              <w:rPr>
                <w:rFonts w:ascii="宋体" w:hAnsi="宋体" w:eastAsia="宋体"/>
                <w:sz w:val="16"/>
              </w:rPr>
              <w:t>实际完成情况</w:t>
            </w:r>
          </w:p>
        </w:tc>
      </w:tr>
      <w:tr w14:paraId="0A0B3D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FF14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BC77CB">
            <w:pPr>
              <w:jc w:val="both"/>
            </w:pPr>
            <w:r>
              <w:rPr>
                <w:rFonts w:ascii="宋体" w:hAnsi="宋体" w:eastAsia="宋体"/>
                <w:sz w:val="16"/>
              </w:rPr>
              <w:t>根据岳普湖县实际情况，对岳普湖县行政服务中心进行消防提升改造及附属设施配套，包括消防水池、消防管道铺设、室内消防管道改造、防水处理及相关附属配套设施设备。消防提升改造工程数量1个。通过项目的实施杜绝安全隐患，提高防火灭火能力，切实保障国有财产安全和办事群众的人身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9C13DA">
            <w:pPr>
              <w:jc w:val="both"/>
            </w:pPr>
            <w:r>
              <w:rPr>
                <w:rFonts w:ascii="宋体" w:hAnsi="宋体" w:eastAsia="宋体"/>
                <w:sz w:val="16"/>
              </w:rPr>
              <w:t>项目已完成岳普湖县行政服务中心消防提升改造及附属设施配套工程建设任务。包括消防水池、消防管道铺设、室内消防管道改造、防水处理及相关附属配套设施设备。消防提升改造工程数量1个。预算执行率97.1%。剩余资金为质保金。通过项目的实施杜绝安全隐患，提高防火灭火能力，切实保障国有财产安全和办事群众的人身安全。项目的受益人员满意度为100%。</w:t>
            </w:r>
          </w:p>
        </w:tc>
      </w:tr>
      <w:tr w14:paraId="6D5134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2EC7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4351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1503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EE13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9771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C7D5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C09E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5A9B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2E7F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EA19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66DD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346D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F77F9">
            <w:pPr>
              <w:jc w:val="center"/>
            </w:pPr>
            <w:r>
              <w:rPr>
                <w:rFonts w:ascii="宋体" w:hAnsi="宋体" w:eastAsia="宋体"/>
                <w:sz w:val="16"/>
              </w:rPr>
              <w:t>偏差原因分析及改进措施</w:t>
            </w:r>
          </w:p>
        </w:tc>
      </w:tr>
      <w:tr w14:paraId="71110A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5F88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A3668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447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54828">
            <w:pPr>
              <w:jc w:val="center"/>
            </w:pPr>
            <w:r>
              <w:rPr>
                <w:rFonts w:ascii="宋体" w:hAnsi="宋体" w:eastAsia="宋体"/>
                <w:sz w:val="16"/>
              </w:rPr>
              <w:t>消防提升改造工程数量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366F6">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8E8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BD9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AA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2DD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14C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240C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D8E3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A5871">
            <w:pPr>
              <w:jc w:val="center"/>
            </w:pPr>
          </w:p>
        </w:tc>
      </w:tr>
      <w:tr w14:paraId="400210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6B5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2BC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730D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F9232">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C92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C66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8BC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524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37C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D54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FD7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E30A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56936">
            <w:pPr>
              <w:jc w:val="center"/>
            </w:pPr>
          </w:p>
        </w:tc>
      </w:tr>
      <w:tr w14:paraId="3BD85A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CB0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586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56D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C1A9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4A6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D84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DF0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E80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B90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A73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FF3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E72F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BD8FC">
            <w:pPr>
              <w:jc w:val="center"/>
            </w:pPr>
          </w:p>
        </w:tc>
      </w:tr>
      <w:tr w14:paraId="7E847A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972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B9F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B383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67013">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639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7D3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24B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1736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281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7BD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C3961">
            <w:pPr>
              <w:jc w:val="center"/>
            </w:pPr>
            <w:r>
              <w:rPr>
                <w:rFonts w:ascii="宋体" w:hAnsi="宋体" w:eastAsia="宋体"/>
                <w:sz w:val="16"/>
              </w:rPr>
              <w:t>=97.14%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19ED4">
            <w:pPr>
              <w:jc w:val="center"/>
            </w:pPr>
            <w:r>
              <w:rPr>
                <w:rFonts w:ascii="宋体" w:hAnsi="宋体" w:eastAsia="宋体"/>
                <w:sz w:val="16"/>
              </w:rPr>
              <w:t>7.43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9FF91">
            <w:pPr>
              <w:jc w:val="center"/>
            </w:pPr>
            <w:r>
              <w:rPr>
                <w:rFonts w:ascii="宋体" w:hAnsi="宋体" w:eastAsia="宋体"/>
                <w:sz w:val="16"/>
              </w:rPr>
              <w:t>未完成原因：项目工程已完成，验收合格，剩余资金为项目质保金，目前未到支付时间。采取的措施：做好后续资金审批资料准备工作，待质保期结束后，按时支付剩余项目资金。</w:t>
            </w:r>
          </w:p>
        </w:tc>
      </w:tr>
      <w:tr w14:paraId="515E6B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7A6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796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C3D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3D46">
            <w:pPr>
              <w:jc w:val="center"/>
            </w:pPr>
            <w:r>
              <w:rPr>
                <w:rFonts w:ascii="宋体" w:hAnsi="宋体" w:eastAsia="宋体"/>
                <w:sz w:val="16"/>
              </w:rPr>
              <w:t>项目验收完成时间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A3875">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3EF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8D9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359C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0AB0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361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B1DD1">
            <w:pPr>
              <w:jc w:val="center"/>
            </w:pPr>
            <w:r>
              <w:rPr>
                <w:rFonts w:ascii="宋体" w:hAnsi="宋体" w:eastAsia="宋体"/>
                <w:sz w:val="16"/>
              </w:rPr>
              <w:t>=2024年7月25日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0320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5FC65">
            <w:pPr>
              <w:jc w:val="center"/>
            </w:pPr>
          </w:p>
        </w:tc>
      </w:tr>
      <w:tr w14:paraId="25DD54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FAB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7E09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9796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C528A">
            <w:pPr>
              <w:jc w:val="center"/>
            </w:pPr>
            <w:r>
              <w:rPr>
                <w:rFonts w:ascii="宋体" w:hAnsi="宋体" w:eastAsia="宋体"/>
                <w:sz w:val="16"/>
              </w:rPr>
              <w:t>提升改造工程预算控制数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2932E">
            <w:pPr>
              <w:jc w:val="center"/>
            </w:pPr>
            <w:r>
              <w:rPr>
                <w:rFonts w:ascii="宋体" w:hAnsi="宋体" w:eastAsia="宋体"/>
                <w:sz w:val="16"/>
              </w:rPr>
              <w:t>&lt;=212.93万元/个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6AB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F3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5693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56E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AD3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3559B">
            <w:pPr>
              <w:jc w:val="center"/>
            </w:pPr>
            <w:r>
              <w:rPr>
                <w:rFonts w:ascii="宋体" w:hAnsi="宋体" w:eastAsia="宋体"/>
                <w:sz w:val="16"/>
              </w:rPr>
              <w:t>=206.84万元/个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6432B">
            <w:pPr>
              <w:jc w:val="center"/>
            </w:pPr>
            <w:r>
              <w:rPr>
                <w:rFonts w:ascii="宋体" w:hAnsi="宋体" w:eastAsia="宋体"/>
                <w:sz w:val="16"/>
              </w:rPr>
              <w:t>18.57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3B867">
            <w:pPr>
              <w:jc w:val="center"/>
            </w:pPr>
            <w:r>
              <w:rPr>
                <w:rFonts w:ascii="宋体" w:hAnsi="宋体" w:eastAsia="宋体"/>
                <w:sz w:val="16"/>
              </w:rPr>
              <w:t>未完成原因：项目工程已完成，验收合格，剩余资金为项目质保金，目前未到支付时间。采取的措施：做好后续资金审批资料准备工作，待质保期结束后，按时支付剩余项目资金。</w:t>
            </w:r>
          </w:p>
        </w:tc>
      </w:tr>
      <w:tr w14:paraId="29ECBC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135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00D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DCE6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F659A">
            <w:pPr>
              <w:jc w:val="center"/>
            </w:pPr>
            <w:r>
              <w:rPr>
                <w:rFonts w:ascii="宋体" w:hAnsi="宋体" w:eastAsia="宋体"/>
                <w:sz w:val="16"/>
              </w:rPr>
              <w:t>杜绝安全隐患，提高防火灭火能力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69BB3">
            <w:pPr>
              <w:jc w:val="center"/>
            </w:pPr>
            <w:r>
              <w:rPr>
                <w:rFonts w:ascii="宋体" w:hAnsi="宋体" w:eastAsia="宋体"/>
                <w:sz w:val="16"/>
              </w:rPr>
              <w:t>有效杜绝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D89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B10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55C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DA20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842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3234F">
            <w:pPr>
              <w:jc w:val="center"/>
            </w:pPr>
            <w:r>
              <w:rPr>
                <w:rFonts w:ascii="宋体" w:hAnsi="宋体" w:eastAsia="宋体"/>
                <w:sz w:val="16"/>
              </w:rPr>
              <w:t>有效杜绝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AAEE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095C0">
            <w:pPr>
              <w:jc w:val="center"/>
            </w:pPr>
          </w:p>
        </w:tc>
      </w:tr>
      <w:tr w14:paraId="66EC25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92C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8EC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AED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79064">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1EED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168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CBE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987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30A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C46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AB4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7CE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BD634">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984227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24E5E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10A3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94439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985A9">
            <w:pPr>
              <w:jc w:val="center"/>
            </w:pPr>
            <w:r>
              <w:rPr>
                <w:rFonts w:ascii="宋体" w:hAnsi="宋体" w:eastAsia="宋体"/>
                <w:sz w:val="16"/>
              </w:rPr>
              <w:t>97.29分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9990C22"/>
        </w:tc>
      </w:tr>
    </w:tbl>
    <w:p w14:paraId="1178FB0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18676E8">
        <w:tblPrEx>
          <w:tblCellMar>
            <w:top w:w="0" w:type="dxa"/>
            <w:left w:w="108" w:type="dxa"/>
            <w:bottom w:w="0" w:type="dxa"/>
            <w:right w:w="108" w:type="dxa"/>
          </w:tblCellMar>
        </w:tblPrEx>
        <w:tc>
          <w:tcPr>
            <w:tcW w:w="8848" w:type="dxa"/>
            <w:gridSpan w:val="14"/>
            <w:vAlign w:val="center"/>
          </w:tcPr>
          <w:p w14:paraId="63525AE6">
            <w:pPr>
              <w:jc w:val="center"/>
            </w:pPr>
            <w:r>
              <w:rPr>
                <w:rFonts w:ascii="宋体" w:hAnsi="宋体" w:eastAsia="宋体"/>
                <w:sz w:val="24"/>
              </w:rPr>
              <w:t>项目支出绩效自评表</w:t>
            </w:r>
          </w:p>
        </w:tc>
      </w:tr>
      <w:tr w14:paraId="14317D52">
        <w:tblPrEx>
          <w:tblCellMar>
            <w:top w:w="0" w:type="dxa"/>
            <w:left w:w="108" w:type="dxa"/>
            <w:bottom w:w="0" w:type="dxa"/>
            <w:right w:w="108" w:type="dxa"/>
          </w:tblCellMar>
        </w:tblPrEx>
        <w:tc>
          <w:tcPr>
            <w:tcW w:w="8848" w:type="dxa"/>
            <w:gridSpan w:val="14"/>
            <w:vAlign w:val="center"/>
          </w:tcPr>
          <w:p w14:paraId="1D1BE0CD">
            <w:pPr>
              <w:jc w:val="center"/>
            </w:pPr>
            <w:r>
              <w:rPr>
                <w:rFonts w:ascii="宋体" w:hAnsi="宋体" w:eastAsia="宋体"/>
                <w:sz w:val="24"/>
              </w:rPr>
              <w:t>(2024年度)</w:t>
            </w:r>
          </w:p>
        </w:tc>
      </w:tr>
      <w:tr w14:paraId="001819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FDCA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60CA48">
            <w:pPr>
              <w:jc w:val="center"/>
            </w:pPr>
            <w:r>
              <w:rPr>
                <w:rFonts w:ascii="宋体" w:hAnsi="宋体" w:eastAsia="宋体"/>
                <w:sz w:val="16"/>
              </w:rPr>
              <w:t>行政服务中心偿还以前年度欠款项目</w:t>
            </w:r>
          </w:p>
        </w:tc>
      </w:tr>
      <w:tr w14:paraId="05A5DC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B14F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90E6FA">
            <w:pPr>
              <w:jc w:val="center"/>
            </w:pPr>
            <w:r>
              <w:rPr>
                <w:rFonts w:ascii="宋体" w:hAnsi="宋体" w:eastAsia="宋体"/>
                <w:sz w:val="16"/>
              </w:rPr>
              <w:t>岳普湖县行政服务中心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1A61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46556D">
            <w:pPr>
              <w:jc w:val="center"/>
            </w:pPr>
            <w:r>
              <w:rPr>
                <w:rFonts w:ascii="宋体" w:hAnsi="宋体" w:eastAsia="宋体"/>
                <w:sz w:val="16"/>
              </w:rPr>
              <w:t>岳普湖县行政服务中心</w:t>
            </w:r>
          </w:p>
        </w:tc>
      </w:tr>
      <w:tr w14:paraId="4C26AC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764D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CA41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1943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E47A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3F4F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C730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AD95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0F984">
            <w:pPr>
              <w:jc w:val="center"/>
            </w:pPr>
            <w:r>
              <w:rPr>
                <w:rFonts w:ascii="宋体" w:hAnsi="宋体" w:eastAsia="宋体"/>
                <w:sz w:val="16"/>
              </w:rPr>
              <w:t>得分</w:t>
            </w:r>
          </w:p>
        </w:tc>
      </w:tr>
      <w:tr w14:paraId="274B8F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060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4134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E0092">
            <w:pPr>
              <w:jc w:val="center"/>
            </w:pPr>
            <w:r>
              <w:rPr>
                <w:rFonts w:ascii="宋体" w:hAnsi="宋体" w:eastAsia="宋体"/>
                <w:sz w:val="16"/>
              </w:rPr>
              <w:t>29.88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F5661">
            <w:pPr>
              <w:jc w:val="center"/>
            </w:pPr>
            <w:r>
              <w:rPr>
                <w:rFonts w:ascii="宋体" w:hAnsi="宋体" w:eastAsia="宋体"/>
                <w:sz w:val="16"/>
              </w:rPr>
              <w:t>29.88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6D4A1">
            <w:pPr>
              <w:jc w:val="center"/>
            </w:pPr>
            <w:r>
              <w:rPr>
                <w:rFonts w:ascii="宋体" w:hAnsi="宋体" w:eastAsia="宋体"/>
                <w:sz w:val="16"/>
              </w:rPr>
              <w:t>29.88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D13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1A2A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B4D3D">
            <w:pPr>
              <w:jc w:val="center"/>
            </w:pPr>
            <w:r>
              <w:rPr>
                <w:rFonts w:ascii="宋体" w:hAnsi="宋体" w:eastAsia="宋体"/>
                <w:sz w:val="16"/>
              </w:rPr>
              <w:t>10.00分</w:t>
            </w:r>
          </w:p>
        </w:tc>
      </w:tr>
      <w:tr w14:paraId="21434D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BC5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BFF5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4E288">
            <w:pPr>
              <w:jc w:val="center"/>
            </w:pPr>
            <w:r>
              <w:rPr>
                <w:rFonts w:ascii="宋体" w:hAnsi="宋体" w:eastAsia="宋体"/>
                <w:sz w:val="16"/>
              </w:rPr>
              <w:t>29.88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BEE65">
            <w:pPr>
              <w:jc w:val="center"/>
            </w:pPr>
            <w:r>
              <w:rPr>
                <w:rFonts w:ascii="宋体" w:hAnsi="宋体" w:eastAsia="宋体"/>
                <w:sz w:val="16"/>
              </w:rPr>
              <w:t>29.88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22EC3">
            <w:pPr>
              <w:jc w:val="center"/>
            </w:pPr>
            <w:r>
              <w:rPr>
                <w:rFonts w:ascii="宋体" w:hAnsi="宋体" w:eastAsia="宋体"/>
                <w:sz w:val="16"/>
              </w:rPr>
              <w:t>29.88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27E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44B1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9924">
            <w:pPr>
              <w:jc w:val="center"/>
            </w:pPr>
            <w:r>
              <w:rPr>
                <w:rFonts w:ascii="宋体" w:hAnsi="宋体" w:eastAsia="宋体"/>
                <w:sz w:val="16"/>
              </w:rPr>
              <w:t>—</w:t>
            </w:r>
          </w:p>
        </w:tc>
      </w:tr>
      <w:tr w14:paraId="247ACE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979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B7EC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23B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D74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DDD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EC1E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A9FF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4932C">
            <w:pPr>
              <w:jc w:val="center"/>
            </w:pPr>
            <w:r>
              <w:rPr>
                <w:rFonts w:ascii="宋体" w:hAnsi="宋体" w:eastAsia="宋体"/>
                <w:sz w:val="16"/>
              </w:rPr>
              <w:t>—</w:t>
            </w:r>
          </w:p>
        </w:tc>
      </w:tr>
      <w:tr w14:paraId="3C5F2A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72D3C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99297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1D65FB">
            <w:pPr>
              <w:jc w:val="center"/>
            </w:pPr>
            <w:r>
              <w:rPr>
                <w:rFonts w:ascii="宋体" w:hAnsi="宋体" w:eastAsia="宋体"/>
                <w:sz w:val="16"/>
              </w:rPr>
              <w:t>实际完成情况</w:t>
            </w:r>
          </w:p>
        </w:tc>
      </w:tr>
      <w:tr w14:paraId="119847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B1AA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4A848F">
            <w:pPr>
              <w:jc w:val="both"/>
            </w:pPr>
            <w:r>
              <w:rPr>
                <w:rFonts w:ascii="宋体" w:hAnsi="宋体" w:eastAsia="宋体"/>
                <w:sz w:val="16"/>
              </w:rPr>
              <w:t>根据岳普湖县实际情况，为响应国家政策，提升社会公众服务能力，提高政府公信力。对2021年岳普湖县营商环境优化提升项目剩余工程欠款完成本年度支付任务。偿还欠款项目数量1个。通过项目的实施提升政府部门的履约和服务能力，防范和化解地方政府隐性债务风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401C9A">
            <w:pPr>
              <w:jc w:val="both"/>
            </w:pPr>
            <w:r>
              <w:rPr>
                <w:rFonts w:ascii="宋体" w:hAnsi="宋体" w:eastAsia="宋体"/>
                <w:sz w:val="16"/>
              </w:rPr>
              <w:t>项目已完成行政服务中心2021年岳普湖县营商环境优化提升项目剩余工程欠款本年度支付任务。偿还欠款项目数量1个。预算执行率100%。通过项目的实施有效提升政府部门的履约和服务能力，防范和化解地方政府隐性债务风险。</w:t>
            </w:r>
          </w:p>
        </w:tc>
      </w:tr>
      <w:tr w14:paraId="2219AB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36C6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6D2A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223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8DC9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5764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1FA5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1347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03CE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D5F2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3681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12D0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7F37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BCE0E">
            <w:pPr>
              <w:jc w:val="center"/>
            </w:pPr>
            <w:r>
              <w:rPr>
                <w:rFonts w:ascii="宋体" w:hAnsi="宋体" w:eastAsia="宋体"/>
                <w:sz w:val="16"/>
              </w:rPr>
              <w:t>偏差原因分析及改进措施</w:t>
            </w:r>
          </w:p>
        </w:tc>
      </w:tr>
      <w:tr w14:paraId="5C27DD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8C65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A619D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405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71EC3">
            <w:pPr>
              <w:jc w:val="center"/>
            </w:pPr>
            <w:r>
              <w:rPr>
                <w:rFonts w:ascii="宋体" w:hAnsi="宋体" w:eastAsia="宋体"/>
                <w:sz w:val="16"/>
              </w:rPr>
              <w:t>偿还欠款项目数量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21EA4">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AB6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FF9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B639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495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6A7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6225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F58A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88822">
            <w:pPr>
              <w:jc w:val="center"/>
            </w:pPr>
          </w:p>
        </w:tc>
      </w:tr>
      <w:tr w14:paraId="386E3F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8CA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76F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C4855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02560">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99C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3BB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488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B519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5A1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181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B90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5276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3BC2E">
            <w:pPr>
              <w:jc w:val="center"/>
            </w:pPr>
          </w:p>
        </w:tc>
      </w:tr>
      <w:tr w14:paraId="46294B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AEE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A7F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7B4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20EB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FD1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2E6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665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255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140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824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A85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01AE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5B0B3">
            <w:pPr>
              <w:jc w:val="center"/>
            </w:pPr>
          </w:p>
        </w:tc>
      </w:tr>
      <w:tr w14:paraId="1E1176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4A6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926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A519B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4C5F6">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C34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D55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076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228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934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FB7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2DB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4145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C7C52">
            <w:pPr>
              <w:jc w:val="center"/>
            </w:pPr>
          </w:p>
        </w:tc>
      </w:tr>
      <w:tr w14:paraId="28D8D4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CEB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49A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BD2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C0D89">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3A5DB">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A97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50A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9539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1A2A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D99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58B25">
            <w:pPr>
              <w:jc w:val="center"/>
            </w:pPr>
            <w:r>
              <w:rPr>
                <w:rFonts w:ascii="宋体" w:hAnsi="宋体" w:eastAsia="宋体"/>
                <w:sz w:val="16"/>
              </w:rPr>
              <w:t>=2024年6月25日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851F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68A71">
            <w:pPr>
              <w:jc w:val="center"/>
            </w:pPr>
          </w:p>
        </w:tc>
      </w:tr>
      <w:tr w14:paraId="7D62ED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015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B40E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AA13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DE67B">
            <w:pPr>
              <w:jc w:val="center"/>
            </w:pPr>
            <w:r>
              <w:rPr>
                <w:rFonts w:ascii="宋体" w:hAnsi="宋体" w:eastAsia="宋体"/>
                <w:sz w:val="16"/>
              </w:rPr>
              <w:t>资金预算控制数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862C7">
            <w:pPr>
              <w:jc w:val="center"/>
            </w:pPr>
            <w:r>
              <w:rPr>
                <w:rFonts w:ascii="宋体" w:hAnsi="宋体" w:eastAsia="宋体"/>
                <w:sz w:val="16"/>
              </w:rPr>
              <w:t>&lt;=29.88万元/个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1B5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E9E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1E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A86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926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9C3EF">
            <w:pPr>
              <w:jc w:val="center"/>
            </w:pPr>
            <w:r>
              <w:rPr>
                <w:rFonts w:ascii="宋体" w:hAnsi="宋体" w:eastAsia="宋体"/>
                <w:sz w:val="16"/>
              </w:rPr>
              <w:t>=29.88万元/个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42DB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31FA3">
            <w:pPr>
              <w:jc w:val="center"/>
            </w:pPr>
          </w:p>
        </w:tc>
      </w:tr>
      <w:tr w14:paraId="5C56A3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2D5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57C1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D031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41CDC">
            <w:pPr>
              <w:jc w:val="center"/>
            </w:pPr>
            <w:r>
              <w:rPr>
                <w:rFonts w:ascii="宋体" w:hAnsi="宋体" w:eastAsia="宋体"/>
                <w:sz w:val="16"/>
              </w:rPr>
              <w:t>提升政府部门的履约和服务能力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956F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E89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0D5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B65D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0D08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5207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6BBC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E3253">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3CE10">
            <w:pPr>
              <w:jc w:val="center"/>
            </w:pPr>
          </w:p>
        </w:tc>
      </w:tr>
      <w:tr w14:paraId="74D9EA9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D4F63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D224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33405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4C11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7889DC8"/>
        </w:tc>
      </w:tr>
    </w:tbl>
    <w:p w14:paraId="640CE09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ED6F5A3">
        <w:tblPrEx>
          <w:tblCellMar>
            <w:top w:w="0" w:type="dxa"/>
            <w:left w:w="108" w:type="dxa"/>
            <w:bottom w:w="0" w:type="dxa"/>
            <w:right w:w="108" w:type="dxa"/>
          </w:tblCellMar>
        </w:tblPrEx>
        <w:tc>
          <w:tcPr>
            <w:tcW w:w="8848" w:type="dxa"/>
            <w:gridSpan w:val="14"/>
            <w:vAlign w:val="center"/>
          </w:tcPr>
          <w:p w14:paraId="6F608EDD">
            <w:pPr>
              <w:jc w:val="center"/>
            </w:pPr>
            <w:r>
              <w:rPr>
                <w:rFonts w:ascii="宋体" w:hAnsi="宋体" w:eastAsia="宋体"/>
                <w:sz w:val="24"/>
              </w:rPr>
              <w:t>项目支出绩效自评表</w:t>
            </w:r>
          </w:p>
        </w:tc>
      </w:tr>
      <w:tr w14:paraId="2F17B196">
        <w:tblPrEx>
          <w:tblCellMar>
            <w:top w:w="0" w:type="dxa"/>
            <w:left w:w="108" w:type="dxa"/>
            <w:bottom w:w="0" w:type="dxa"/>
            <w:right w:w="108" w:type="dxa"/>
          </w:tblCellMar>
        </w:tblPrEx>
        <w:tc>
          <w:tcPr>
            <w:tcW w:w="8848" w:type="dxa"/>
            <w:gridSpan w:val="14"/>
            <w:vAlign w:val="center"/>
          </w:tcPr>
          <w:p w14:paraId="42993477">
            <w:pPr>
              <w:jc w:val="center"/>
            </w:pPr>
            <w:r>
              <w:rPr>
                <w:rFonts w:ascii="宋体" w:hAnsi="宋体" w:eastAsia="宋体"/>
                <w:sz w:val="24"/>
              </w:rPr>
              <w:t>(2024年度)</w:t>
            </w:r>
          </w:p>
        </w:tc>
      </w:tr>
      <w:tr w14:paraId="5DAE0B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073D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4BA456">
            <w:pPr>
              <w:jc w:val="center"/>
            </w:pPr>
            <w:r>
              <w:rPr>
                <w:rFonts w:ascii="宋体" w:hAnsi="宋体" w:eastAsia="宋体"/>
                <w:sz w:val="16"/>
              </w:rPr>
              <w:t>行政服务中心公用经费项目</w:t>
            </w:r>
          </w:p>
        </w:tc>
      </w:tr>
      <w:tr w14:paraId="7B08DA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3B2D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D45E55">
            <w:pPr>
              <w:jc w:val="center"/>
            </w:pPr>
            <w:r>
              <w:rPr>
                <w:rFonts w:ascii="宋体" w:hAnsi="宋体" w:eastAsia="宋体"/>
                <w:sz w:val="16"/>
              </w:rPr>
              <w:t>岳普湖县行政服务中心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FD0B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E5A09C">
            <w:pPr>
              <w:jc w:val="center"/>
            </w:pPr>
            <w:r>
              <w:rPr>
                <w:rFonts w:ascii="宋体" w:hAnsi="宋体" w:eastAsia="宋体"/>
                <w:sz w:val="16"/>
              </w:rPr>
              <w:t>岳普湖县行政服务中心</w:t>
            </w:r>
          </w:p>
        </w:tc>
      </w:tr>
      <w:tr w14:paraId="751E83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7B791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D23E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4B3E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3766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393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0693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4C4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A23C">
            <w:pPr>
              <w:jc w:val="center"/>
            </w:pPr>
            <w:r>
              <w:rPr>
                <w:rFonts w:ascii="宋体" w:hAnsi="宋体" w:eastAsia="宋体"/>
                <w:sz w:val="16"/>
              </w:rPr>
              <w:t>得分</w:t>
            </w:r>
          </w:p>
        </w:tc>
      </w:tr>
      <w:tr w14:paraId="0E5CC8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95E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6E8B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41E18">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18977">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22743">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845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A14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2602C">
            <w:pPr>
              <w:jc w:val="center"/>
            </w:pPr>
            <w:r>
              <w:rPr>
                <w:rFonts w:ascii="宋体" w:hAnsi="宋体" w:eastAsia="宋体"/>
                <w:sz w:val="16"/>
              </w:rPr>
              <w:t>10.00分</w:t>
            </w:r>
          </w:p>
        </w:tc>
      </w:tr>
      <w:tr w14:paraId="5F4523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F68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34DE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8F78D">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21FBC">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9AA43">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9CB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3ED1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6D03A">
            <w:pPr>
              <w:jc w:val="center"/>
            </w:pPr>
            <w:r>
              <w:rPr>
                <w:rFonts w:ascii="宋体" w:hAnsi="宋体" w:eastAsia="宋体"/>
                <w:sz w:val="16"/>
              </w:rPr>
              <w:t>—</w:t>
            </w:r>
          </w:p>
        </w:tc>
      </w:tr>
      <w:tr w14:paraId="377F45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83D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009B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BEB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AEC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D17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866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9701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E4D61">
            <w:pPr>
              <w:jc w:val="center"/>
            </w:pPr>
            <w:r>
              <w:rPr>
                <w:rFonts w:ascii="宋体" w:hAnsi="宋体" w:eastAsia="宋体"/>
                <w:sz w:val="16"/>
              </w:rPr>
              <w:t>—</w:t>
            </w:r>
          </w:p>
        </w:tc>
      </w:tr>
      <w:tr w14:paraId="27D989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F03B4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B737B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9C072B">
            <w:pPr>
              <w:jc w:val="center"/>
            </w:pPr>
            <w:r>
              <w:rPr>
                <w:rFonts w:ascii="宋体" w:hAnsi="宋体" w:eastAsia="宋体"/>
                <w:sz w:val="16"/>
              </w:rPr>
              <w:t>实际完成情况</w:t>
            </w:r>
          </w:p>
        </w:tc>
      </w:tr>
      <w:tr w14:paraId="09EEC0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0537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3E9FB2">
            <w:pPr>
              <w:jc w:val="both"/>
            </w:pPr>
            <w:r>
              <w:rPr>
                <w:rFonts w:ascii="宋体" w:hAnsi="宋体" w:eastAsia="宋体"/>
                <w:sz w:val="16"/>
              </w:rPr>
              <w:t>根据岳普湖县实际情况，为维持行政服务中心日常工作开展提供公用经费保障，经费保障单位数量1个，通过项目的实施提升对社会公众服务能力，保障单位正常运转。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06C860">
            <w:pPr>
              <w:jc w:val="both"/>
            </w:pPr>
            <w:r>
              <w:rPr>
                <w:rFonts w:ascii="宋体" w:hAnsi="宋体" w:eastAsia="宋体"/>
                <w:sz w:val="16"/>
              </w:rPr>
              <w:t>项目已完成公用经费保障任务。经费保障单位数量1个。预算执行率100%。通过项目的实施有效提升对社会公众服务能力，保障单位正常运转。</w:t>
            </w:r>
          </w:p>
        </w:tc>
      </w:tr>
      <w:tr w14:paraId="1ED7BF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771B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FE6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07D6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2728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53C0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14B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4808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D3C3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F7EF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4524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618F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F6D0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1BE93">
            <w:pPr>
              <w:jc w:val="center"/>
            </w:pPr>
            <w:r>
              <w:rPr>
                <w:rFonts w:ascii="宋体" w:hAnsi="宋体" w:eastAsia="宋体"/>
                <w:sz w:val="16"/>
              </w:rPr>
              <w:t>偏差原因分析及改进措施</w:t>
            </w:r>
          </w:p>
        </w:tc>
      </w:tr>
      <w:tr w14:paraId="09BB52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FC3FF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C0997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F38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0B86F">
            <w:pPr>
              <w:jc w:val="center"/>
            </w:pPr>
            <w:r>
              <w:rPr>
                <w:rFonts w:ascii="宋体" w:hAnsi="宋体" w:eastAsia="宋体"/>
                <w:sz w:val="16"/>
              </w:rPr>
              <w:t>经费保障单位数量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7D16A">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845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897F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F97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20C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ABC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4005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CC6F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A87C3">
            <w:pPr>
              <w:jc w:val="center"/>
            </w:pPr>
          </w:p>
        </w:tc>
      </w:tr>
      <w:tr w14:paraId="47F62F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8FA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4693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46AB9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A074D">
            <w:pPr>
              <w:jc w:val="center"/>
            </w:pPr>
            <w:r>
              <w:rPr>
                <w:rFonts w:ascii="宋体" w:hAnsi="宋体" w:eastAsia="宋体"/>
                <w:sz w:val="16"/>
              </w:rPr>
              <w:t>项目经费保障率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ED9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16C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524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EB7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C7C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546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F8A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6A7E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E0A47">
            <w:pPr>
              <w:jc w:val="center"/>
            </w:pPr>
          </w:p>
        </w:tc>
      </w:tr>
      <w:tr w14:paraId="75EE31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2D1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A7A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76B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99BF4">
            <w:pPr>
              <w:jc w:val="center"/>
            </w:pPr>
            <w:r>
              <w:rPr>
                <w:rFonts w:ascii="宋体" w:hAnsi="宋体" w:eastAsia="宋体"/>
                <w:sz w:val="16"/>
              </w:rPr>
              <w:t>资金支付合规性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03B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4DD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497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2FD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AE4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AAA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1B6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A0D3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30900">
            <w:pPr>
              <w:jc w:val="center"/>
            </w:pPr>
          </w:p>
        </w:tc>
      </w:tr>
      <w:tr w14:paraId="4D8E60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331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562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62171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56B62">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F5B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3C4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B18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7566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AEA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2D3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730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3576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AEBFE">
            <w:pPr>
              <w:jc w:val="center"/>
            </w:pPr>
          </w:p>
        </w:tc>
      </w:tr>
      <w:tr w14:paraId="5C9370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409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7D3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52A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A93A6">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83271">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B54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9A8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8D9E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6C2F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F02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302E8">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4CF9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FF628">
            <w:pPr>
              <w:jc w:val="center"/>
            </w:pPr>
          </w:p>
        </w:tc>
      </w:tr>
      <w:tr w14:paraId="661835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753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07EB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9468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B9AF3">
            <w:pPr>
              <w:jc w:val="center"/>
            </w:pPr>
            <w:r>
              <w:rPr>
                <w:rFonts w:ascii="宋体" w:hAnsi="宋体" w:eastAsia="宋体"/>
                <w:sz w:val="16"/>
              </w:rPr>
              <w:t>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8F145">
            <w:pPr>
              <w:jc w:val="center"/>
            </w:pPr>
            <w:r>
              <w:rPr>
                <w:rFonts w:ascii="宋体" w:hAnsi="宋体" w:eastAsia="宋体"/>
                <w:sz w:val="16"/>
              </w:rPr>
              <w:t>&lt;=12万元/个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B72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8AA79">
            <w:pPr>
              <w:jc w:val="center"/>
            </w:pPr>
            <w:r>
              <w:rPr>
                <w:rFonts w:ascii="宋体" w:hAnsi="宋体" w:eastAsia="宋体"/>
                <w:sz w:val="16"/>
              </w:rPr>
              <w:t>6.9万元/个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9EC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534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A57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4747C">
            <w:pPr>
              <w:jc w:val="center"/>
            </w:pPr>
            <w:r>
              <w:rPr>
                <w:rFonts w:ascii="宋体" w:hAnsi="宋体" w:eastAsia="宋体"/>
                <w:sz w:val="16"/>
              </w:rPr>
              <w:t>=12万元/个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E3F6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622B7">
            <w:pPr>
              <w:jc w:val="center"/>
            </w:pPr>
          </w:p>
        </w:tc>
      </w:tr>
      <w:tr w14:paraId="7C2E2F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C61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AE6A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7291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74480">
            <w:pPr>
              <w:jc w:val="center"/>
            </w:pPr>
            <w:r>
              <w:rPr>
                <w:rFonts w:ascii="宋体" w:hAnsi="宋体" w:eastAsia="宋体"/>
                <w:sz w:val="16"/>
              </w:rPr>
              <w:t>提升对社会公众服务能力，保障单位正常运转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7752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D82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E24B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5B6E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D10E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AA8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F4B8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0B7E0">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D41C5">
            <w:pPr>
              <w:jc w:val="center"/>
            </w:pPr>
          </w:p>
        </w:tc>
      </w:tr>
      <w:tr w14:paraId="5142ED5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FCF08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D35F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BBC9A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76B3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D02CF90"/>
        </w:tc>
      </w:tr>
    </w:tbl>
    <w:p w14:paraId="6BB7931F">
      <w:r>
        <w:br w:type="page"/>
      </w:r>
    </w:p>
    <w:p w14:paraId="459FA87B">
      <w:pPr>
        <w:spacing w:line="640" w:lineRule="exact"/>
        <w:ind w:firstLine="640"/>
        <w:jc w:val="both"/>
        <w:outlineLvl w:val="2"/>
      </w:pPr>
      <w:r>
        <w:rPr>
          <w:rFonts w:ascii="黑体" w:hAnsi="黑体" w:eastAsia="黑体"/>
          <w:sz w:val="32"/>
        </w:rPr>
        <w:t>十二、其他需说明的事项</w:t>
      </w:r>
    </w:p>
    <w:p w14:paraId="713DA5BC">
      <w:pPr>
        <w:spacing w:line="580" w:lineRule="exact"/>
        <w:ind w:firstLine="640"/>
        <w:jc w:val="both"/>
      </w:pPr>
      <w:r>
        <w:rPr>
          <w:rFonts w:ascii="仿宋_GB2312" w:hAnsi="仿宋_GB2312" w:eastAsia="仿宋_GB2312"/>
          <w:b w:val="0"/>
          <w:sz w:val="32"/>
        </w:rPr>
        <w:t>本单位无其他需说明的事项。</w:t>
      </w:r>
    </w:p>
    <w:p w14:paraId="48721548">
      <w:r>
        <w:br w:type="page"/>
      </w:r>
    </w:p>
    <w:p w14:paraId="34B76E47">
      <w:pPr>
        <w:spacing w:line="240" w:lineRule="auto"/>
        <w:jc w:val="center"/>
        <w:outlineLvl w:val="1"/>
      </w:pPr>
      <w:r>
        <w:rPr>
          <w:rFonts w:ascii="黑体" w:hAnsi="黑体" w:eastAsia="黑体"/>
          <w:sz w:val="32"/>
        </w:rPr>
        <w:t>第三部分 专业名词解释</w:t>
      </w:r>
    </w:p>
    <w:p w14:paraId="4EFA321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8CB71D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3D12E9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C54199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B6FB12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27CC08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36E531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F63F14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B8D1F4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719D19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19EE89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A09395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F2187B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586A23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5C2F2DA">
      <w:r>
        <w:br w:type="page"/>
      </w:r>
    </w:p>
    <w:p w14:paraId="26B4549D">
      <w:pPr>
        <w:spacing w:line="240" w:lineRule="auto"/>
        <w:jc w:val="center"/>
        <w:outlineLvl w:val="1"/>
      </w:pPr>
      <w:r>
        <w:rPr>
          <w:rFonts w:ascii="黑体" w:hAnsi="黑体" w:eastAsia="黑体"/>
          <w:sz w:val="32"/>
        </w:rPr>
        <w:t>第四部分 部门决算报表（见附表）</w:t>
      </w:r>
    </w:p>
    <w:p w14:paraId="7247437E">
      <w:pPr>
        <w:spacing w:line="240" w:lineRule="auto"/>
        <w:ind w:firstLine="640"/>
        <w:jc w:val="both"/>
      </w:pPr>
      <w:r>
        <w:rPr>
          <w:rFonts w:ascii="仿宋_GB2312" w:hAnsi="仿宋_GB2312" w:eastAsia="仿宋_GB2312"/>
          <w:b w:val="0"/>
          <w:sz w:val="32"/>
        </w:rPr>
        <w:t>一、《收入支出决算总表》</w:t>
      </w:r>
    </w:p>
    <w:p w14:paraId="36BB904A">
      <w:pPr>
        <w:spacing w:line="240" w:lineRule="auto"/>
        <w:ind w:firstLine="640"/>
        <w:jc w:val="both"/>
      </w:pPr>
      <w:r>
        <w:rPr>
          <w:rFonts w:ascii="仿宋_GB2312" w:hAnsi="仿宋_GB2312" w:eastAsia="仿宋_GB2312"/>
          <w:b w:val="0"/>
          <w:sz w:val="32"/>
        </w:rPr>
        <w:t>二、《收入决算表》</w:t>
      </w:r>
    </w:p>
    <w:p w14:paraId="325AC994">
      <w:pPr>
        <w:spacing w:line="240" w:lineRule="auto"/>
        <w:ind w:firstLine="640"/>
        <w:jc w:val="both"/>
      </w:pPr>
      <w:r>
        <w:rPr>
          <w:rFonts w:ascii="仿宋_GB2312" w:hAnsi="仿宋_GB2312" w:eastAsia="仿宋_GB2312"/>
          <w:b w:val="0"/>
          <w:sz w:val="32"/>
        </w:rPr>
        <w:t>三、《支出决算表》</w:t>
      </w:r>
    </w:p>
    <w:p w14:paraId="5D8EE13C">
      <w:pPr>
        <w:spacing w:line="240" w:lineRule="auto"/>
        <w:ind w:firstLine="640"/>
        <w:jc w:val="both"/>
      </w:pPr>
      <w:r>
        <w:rPr>
          <w:rFonts w:ascii="仿宋_GB2312" w:hAnsi="仿宋_GB2312" w:eastAsia="仿宋_GB2312"/>
          <w:b w:val="0"/>
          <w:sz w:val="32"/>
        </w:rPr>
        <w:t>四、《财政拨款收入支出决算总表》</w:t>
      </w:r>
    </w:p>
    <w:p w14:paraId="4232A687">
      <w:pPr>
        <w:spacing w:line="240" w:lineRule="auto"/>
        <w:ind w:firstLine="640"/>
        <w:jc w:val="both"/>
      </w:pPr>
      <w:r>
        <w:rPr>
          <w:rFonts w:ascii="仿宋_GB2312" w:hAnsi="仿宋_GB2312" w:eastAsia="仿宋_GB2312"/>
          <w:b w:val="0"/>
          <w:sz w:val="32"/>
        </w:rPr>
        <w:t>五、《一般公共预算财政拨款支出决算表》</w:t>
      </w:r>
    </w:p>
    <w:p w14:paraId="30BF7520">
      <w:pPr>
        <w:spacing w:line="240" w:lineRule="auto"/>
        <w:ind w:firstLine="640"/>
        <w:jc w:val="both"/>
      </w:pPr>
      <w:r>
        <w:rPr>
          <w:rFonts w:ascii="仿宋_GB2312" w:hAnsi="仿宋_GB2312" w:eastAsia="仿宋_GB2312"/>
          <w:b w:val="0"/>
          <w:sz w:val="32"/>
        </w:rPr>
        <w:t>六、《一般公共预算财政拨款基本支出决算表》</w:t>
      </w:r>
    </w:p>
    <w:p w14:paraId="06E4A5E5">
      <w:pPr>
        <w:spacing w:line="240" w:lineRule="auto"/>
        <w:ind w:firstLine="640"/>
        <w:jc w:val="both"/>
      </w:pPr>
      <w:r>
        <w:rPr>
          <w:rFonts w:ascii="仿宋_GB2312" w:hAnsi="仿宋_GB2312" w:eastAsia="仿宋_GB2312"/>
          <w:b w:val="0"/>
          <w:sz w:val="32"/>
        </w:rPr>
        <w:t>七、《政府性基金预算财政拨款收入支出决算表》</w:t>
      </w:r>
    </w:p>
    <w:p w14:paraId="75DE4E82">
      <w:pPr>
        <w:spacing w:line="240" w:lineRule="auto"/>
        <w:ind w:firstLine="640"/>
        <w:jc w:val="both"/>
      </w:pPr>
      <w:r>
        <w:rPr>
          <w:rFonts w:ascii="仿宋_GB2312" w:hAnsi="仿宋_GB2312" w:eastAsia="仿宋_GB2312"/>
          <w:b w:val="0"/>
          <w:sz w:val="32"/>
        </w:rPr>
        <w:t>八、《国有资本经营预算财政拨款收入支出决算表》</w:t>
      </w:r>
    </w:p>
    <w:p w14:paraId="23A2106F">
      <w:pPr>
        <w:spacing w:line="240" w:lineRule="auto"/>
        <w:ind w:firstLine="640"/>
        <w:jc w:val="both"/>
      </w:pPr>
      <w:r>
        <w:rPr>
          <w:rFonts w:ascii="仿宋_GB2312" w:hAnsi="仿宋_GB2312" w:eastAsia="仿宋_GB2312"/>
          <w:b w:val="0"/>
          <w:sz w:val="32"/>
        </w:rPr>
        <w:t>九、《财政拨款“三公”经费支出决算表》</w:t>
      </w:r>
    </w:p>
    <w:p w14:paraId="5D372365">
      <w:pPr>
        <w:spacing w:line="240" w:lineRule="auto"/>
        <w:ind w:firstLine="640"/>
        <w:jc w:val="both"/>
      </w:pPr>
    </w:p>
    <w:p w14:paraId="37D2A38F">
      <w:pPr>
        <w:spacing w:line="240" w:lineRule="auto"/>
        <w:ind w:firstLine="640"/>
        <w:jc w:val="both"/>
      </w:pPr>
    </w:p>
    <w:p w14:paraId="5CBE9E8A">
      <w:pPr>
        <w:spacing w:line="240" w:lineRule="auto"/>
        <w:ind w:firstLine="640"/>
        <w:jc w:val="both"/>
      </w:pPr>
    </w:p>
    <w:p w14:paraId="781E1A8A">
      <w:pPr>
        <w:spacing w:line="240" w:lineRule="auto"/>
        <w:ind w:firstLine="640"/>
        <w:jc w:val="both"/>
      </w:pPr>
    </w:p>
    <w:p w14:paraId="4EA67E0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74E7901-AF07-424D-93B7-11D5BF42BCF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208E957-E0B8-4F5F-ACA1-A5D3D49D30EC}"/>
  </w:font>
  <w:font w:name="仿宋_GB2312">
    <w:panose1 w:val="02010609030101010101"/>
    <w:charset w:val="86"/>
    <w:family w:val="modern"/>
    <w:pitch w:val="default"/>
    <w:sig w:usb0="00000001" w:usb1="080E0000" w:usb2="00000000" w:usb3="00000000" w:csb0="00040000" w:csb1="00000000"/>
    <w:embedRegular r:id="rId3" w:fontKey="{737D072A-B3FF-480E-8DA4-722CD86E2817}"/>
  </w:font>
  <w:font w:name="楷体_GB2312">
    <w:panose1 w:val="02010609030101010101"/>
    <w:charset w:val="86"/>
    <w:family w:val="auto"/>
    <w:pitch w:val="default"/>
    <w:sig w:usb0="00000001" w:usb1="080E0000" w:usb2="00000000" w:usb3="00000000" w:csb0="00040000" w:csb1="00000000"/>
    <w:embedRegular r:id="rId4" w:fontKey="{19A32FAD-518A-4632-9499-88BE37B86CD5}"/>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59F2CD5"/>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5366</Words>
  <Characters>6058</Characters>
  <Lines>0</Lines>
  <Paragraphs>0</Paragraphs>
  <TotalTime>1</TotalTime>
  <ScaleCrop>false</ScaleCrop>
  <LinksUpToDate>false</LinksUpToDate>
  <CharactersWithSpaces>6066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2025-09-12T09:06:55Z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