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中共岳普湖县委员会党校2024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5440D9">
      <w:r>
        <w:br w:type="page"/>
      </w:r>
    </w:p>
    <w:p w14:paraId="687FC282">
      <w:pPr>
        <w:spacing w:line="640" w:lineRule="exact"/>
        <w:jc w:val="center"/>
        <w:outlineLvl w:val="1"/>
      </w:pPr>
      <w:r>
        <w:rPr>
          <w:rFonts w:ascii="黑体" w:hAnsi="黑体" w:eastAsia="黑体"/>
          <w:sz w:val="32"/>
        </w:rPr>
        <w:t>第一部分 单位概况</w:t>
      </w:r>
    </w:p>
    <w:p w14:paraId="456E246C">
      <w:pPr>
        <w:spacing w:line="640" w:lineRule="exact"/>
        <w:ind w:firstLine="640"/>
        <w:jc w:val="both"/>
        <w:outlineLvl w:val="2"/>
      </w:pPr>
      <w:r>
        <w:rPr>
          <w:rFonts w:ascii="黑体" w:hAnsi="黑体" w:eastAsia="黑体"/>
          <w:sz w:val="32"/>
        </w:rPr>
        <w:t>一、主要职能</w:t>
      </w:r>
    </w:p>
    <w:p w14:paraId="75E9279C">
      <w:pPr>
        <w:spacing w:line="580" w:lineRule="exact"/>
        <w:ind w:firstLine="640"/>
        <w:jc w:val="both"/>
      </w:pPr>
      <w:r>
        <w:rPr>
          <w:rFonts w:ascii="仿宋_GB2312" w:hAnsi="仿宋_GB2312" w:eastAsia="仿宋_GB2312"/>
          <w:sz w:val="32"/>
        </w:rPr>
        <w:t>负责轮训全县党员领导干部和股级干部；培训中青年党员干部和理论骨干；培训全县团干部和妇女干部；培训村干部和村级后备干部；对全县公务员进行</w:t>
      </w:r>
      <w:r>
        <w:rPr>
          <w:rFonts w:hint="eastAsia" w:ascii="仿宋_GB2312" w:hAnsi="仿宋_GB2312" w:eastAsia="仿宋_GB2312"/>
          <w:sz w:val="32"/>
          <w:lang w:eastAsia="zh-CN"/>
        </w:rPr>
        <w:t>初任</w:t>
      </w:r>
      <w:r>
        <w:rPr>
          <w:rFonts w:ascii="仿宋_GB2312" w:hAnsi="仿宋_GB2312" w:eastAsia="仿宋_GB2312"/>
          <w:sz w:val="32"/>
        </w:rPr>
        <w:t>培训、任职培训、更新知识培训和专业技能培训；按照分工，对全县专业技术人员进行继续教育公开课和专业课培训；围绕党的中心任务和县委、县政府的工作重点，组织开展专题调研，提出对策，为县委、县政府的决策服务；加强信息化建设，对最新信息加以收集、开发，为全县改革开放和现代化建设的实践服务。</w:t>
      </w:r>
    </w:p>
    <w:p w14:paraId="5FFD68DD">
      <w:pPr>
        <w:spacing w:line="640" w:lineRule="exact"/>
        <w:ind w:firstLine="640"/>
        <w:jc w:val="both"/>
        <w:outlineLvl w:val="2"/>
      </w:pPr>
      <w:r>
        <w:rPr>
          <w:rFonts w:ascii="黑体" w:hAnsi="黑体" w:eastAsia="黑体"/>
          <w:sz w:val="32"/>
        </w:rPr>
        <w:t>二、机构设置及人员情况</w:t>
      </w:r>
    </w:p>
    <w:p w14:paraId="7F1065B5">
      <w:pPr>
        <w:spacing w:line="580" w:lineRule="exact"/>
        <w:ind w:firstLine="640"/>
        <w:jc w:val="both"/>
      </w:pPr>
      <w:r>
        <w:rPr>
          <w:rFonts w:ascii="仿宋_GB2312" w:hAnsi="仿宋_GB2312" w:eastAsia="仿宋_GB2312"/>
          <w:sz w:val="32"/>
        </w:rPr>
        <w:t>中共岳普湖县委员会党校2024年度，实有人数24人，其中：在职人员15人，增加0人；离休人员0人，增加0人；退休人员9人,增加2人。</w:t>
      </w:r>
    </w:p>
    <w:p w14:paraId="7514CA11">
      <w:pPr>
        <w:spacing w:line="580" w:lineRule="exact"/>
        <w:ind w:firstLine="640"/>
        <w:jc w:val="both"/>
      </w:pPr>
      <w:r>
        <w:rPr>
          <w:rFonts w:ascii="仿宋_GB2312" w:hAnsi="仿宋_GB2312" w:eastAsia="仿宋_GB2312"/>
          <w:sz w:val="32"/>
        </w:rPr>
        <w:t>中共岳普湖县委员会党校无下属预算单位，下设4个科室，分别是：行政办公室、总务室、理论教研室、双语教研室。</w:t>
      </w:r>
    </w:p>
    <w:p w14:paraId="1AF718D7">
      <w:r>
        <w:br w:type="page"/>
      </w:r>
    </w:p>
    <w:p w14:paraId="67B9454D">
      <w:pPr>
        <w:spacing w:line="240" w:lineRule="auto"/>
        <w:jc w:val="center"/>
        <w:outlineLvl w:val="1"/>
      </w:pPr>
      <w:r>
        <w:rPr>
          <w:rFonts w:ascii="黑体" w:hAnsi="黑体" w:eastAsia="黑体"/>
          <w:sz w:val="32"/>
        </w:rPr>
        <w:t>第二部分 部门决算情况说明</w:t>
      </w:r>
    </w:p>
    <w:p w14:paraId="07FB43DC">
      <w:pPr>
        <w:spacing w:line="640" w:lineRule="exact"/>
        <w:ind w:firstLine="640"/>
        <w:jc w:val="both"/>
        <w:outlineLvl w:val="2"/>
      </w:pPr>
      <w:r>
        <w:rPr>
          <w:rFonts w:ascii="黑体" w:hAnsi="黑体" w:eastAsia="黑体"/>
          <w:sz w:val="32"/>
        </w:rPr>
        <w:t>一、收入支出决算总体情况说明</w:t>
      </w:r>
    </w:p>
    <w:p w14:paraId="06FE57B0">
      <w:pPr>
        <w:spacing w:line="580" w:lineRule="exact"/>
        <w:ind w:firstLine="640"/>
        <w:jc w:val="both"/>
      </w:pPr>
      <w:r>
        <w:rPr>
          <w:rFonts w:ascii="仿宋_GB2312" w:hAnsi="仿宋_GB2312" w:eastAsia="仿宋_GB2312"/>
          <w:b/>
          <w:sz w:val="32"/>
        </w:rPr>
        <w:t>2024年度收入总计451.84万元，</w:t>
      </w:r>
      <w:r>
        <w:rPr>
          <w:rFonts w:ascii="仿宋_GB2312" w:hAnsi="仿宋_GB2312" w:eastAsia="仿宋_GB2312"/>
          <w:b w:val="0"/>
          <w:sz w:val="32"/>
        </w:rPr>
        <w:t>其中：本年收入合计363.63万元，使用非财政拨款结余（含专用结余）0.00万元，年初结转和结余88.21万元。</w:t>
      </w:r>
    </w:p>
    <w:p w14:paraId="5D281E1B">
      <w:pPr>
        <w:spacing w:line="580" w:lineRule="exact"/>
        <w:ind w:firstLine="640"/>
        <w:jc w:val="both"/>
      </w:pPr>
      <w:r>
        <w:rPr>
          <w:rFonts w:ascii="仿宋_GB2312" w:hAnsi="仿宋_GB2312" w:eastAsia="仿宋_GB2312"/>
          <w:b/>
          <w:sz w:val="32"/>
        </w:rPr>
        <w:t>2024年度支出总计451.84万元，</w:t>
      </w:r>
      <w:r>
        <w:rPr>
          <w:rFonts w:ascii="仿宋_GB2312" w:hAnsi="仿宋_GB2312" w:eastAsia="仿宋_GB2312"/>
          <w:b w:val="0"/>
          <w:sz w:val="32"/>
        </w:rPr>
        <w:t>其中：本年支出合计382.50万元，结余分配0.00万元，年末结转和结余69.34万元。</w:t>
      </w:r>
    </w:p>
    <w:p w14:paraId="353F9F15">
      <w:pPr>
        <w:spacing w:line="580" w:lineRule="exact"/>
        <w:ind w:firstLine="640"/>
        <w:jc w:val="both"/>
      </w:pPr>
      <w:r>
        <w:rPr>
          <w:rFonts w:ascii="仿宋_GB2312" w:hAnsi="仿宋_GB2312" w:eastAsia="仿宋_GB2312"/>
          <w:b w:val="0"/>
          <w:sz w:val="32"/>
        </w:rPr>
        <w:t>收入支出总体与上年相比，增加57.53万元，增长14.59%，主要原因是：本年度增加岳普湖县委党校第32批留疆战士岗前培训班专项经费项目、党校新校区教学楼取暖费项目、党员教育培训设备专项经费、电大返还学费、村干部培训经费。</w:t>
      </w:r>
    </w:p>
    <w:p w14:paraId="00982296">
      <w:pPr>
        <w:spacing w:line="640" w:lineRule="exact"/>
        <w:ind w:firstLine="640"/>
        <w:jc w:val="both"/>
        <w:outlineLvl w:val="2"/>
      </w:pPr>
      <w:r>
        <w:rPr>
          <w:rFonts w:ascii="黑体" w:hAnsi="黑体" w:eastAsia="黑体"/>
          <w:sz w:val="32"/>
        </w:rPr>
        <w:t>二、收入决算情况说明</w:t>
      </w:r>
    </w:p>
    <w:p w14:paraId="30C33337">
      <w:pPr>
        <w:spacing w:line="580" w:lineRule="exact"/>
        <w:ind w:firstLine="640"/>
        <w:jc w:val="both"/>
      </w:pPr>
      <w:r>
        <w:rPr>
          <w:rFonts w:ascii="仿宋_GB2312" w:hAnsi="仿宋_GB2312" w:eastAsia="仿宋_GB2312"/>
          <w:b/>
          <w:sz w:val="32"/>
        </w:rPr>
        <w:t>本年收入363.63万元，</w:t>
      </w:r>
      <w:r>
        <w:rPr>
          <w:rFonts w:ascii="仿宋_GB2312" w:hAnsi="仿宋_GB2312" w:eastAsia="仿宋_GB2312"/>
          <w:b w:val="0"/>
          <w:sz w:val="32"/>
        </w:rPr>
        <w:t>其中：财政拨款收入313.37万元，占86.18%；上级补助收入0.00万元，占0.00%；事业收入0.00万元，占0.00%；经营收入0.00万元，占0.00%；附属单位上缴收入0.00万元，占0.00%；其他收入50.26万元，占13.82%。</w:t>
      </w:r>
    </w:p>
    <w:p w14:paraId="79CD66FA">
      <w:pPr>
        <w:spacing w:line="640" w:lineRule="exact"/>
        <w:ind w:firstLine="640"/>
        <w:jc w:val="both"/>
        <w:outlineLvl w:val="2"/>
      </w:pPr>
      <w:r>
        <w:rPr>
          <w:rFonts w:ascii="黑体" w:hAnsi="黑体" w:eastAsia="黑体"/>
          <w:sz w:val="32"/>
        </w:rPr>
        <w:t>三、支出决算情况说明</w:t>
      </w:r>
    </w:p>
    <w:p w14:paraId="5A6F6BB6">
      <w:pPr>
        <w:spacing w:line="580" w:lineRule="exact"/>
        <w:ind w:firstLine="640"/>
        <w:jc w:val="both"/>
      </w:pPr>
      <w:r>
        <w:rPr>
          <w:rFonts w:ascii="仿宋_GB2312" w:hAnsi="仿宋_GB2312" w:eastAsia="仿宋_GB2312"/>
          <w:b/>
          <w:sz w:val="32"/>
        </w:rPr>
        <w:t>本年支出382.50万元，</w:t>
      </w:r>
      <w:r>
        <w:rPr>
          <w:rFonts w:ascii="仿宋_GB2312" w:hAnsi="仿宋_GB2312" w:eastAsia="仿宋_GB2312"/>
          <w:b w:val="0"/>
          <w:sz w:val="32"/>
        </w:rPr>
        <w:t>其中：基本支出322.10万元，占84.21%；项目支出60.40万元，占15.79%；上缴上级支出0.00万元，占0.00%；经营支出0.00万元，占0.00%；对附属单位补助支出0.00万元，占0.00%。</w:t>
      </w:r>
    </w:p>
    <w:p w14:paraId="4F6D2CA7">
      <w:pPr>
        <w:spacing w:line="640" w:lineRule="exact"/>
        <w:ind w:firstLine="640"/>
        <w:jc w:val="both"/>
        <w:outlineLvl w:val="2"/>
      </w:pPr>
      <w:r>
        <w:rPr>
          <w:rFonts w:ascii="黑体" w:hAnsi="黑体" w:eastAsia="黑体"/>
          <w:sz w:val="32"/>
        </w:rPr>
        <w:t>四、财政拨款收入支出决算总体情况说明</w:t>
      </w:r>
    </w:p>
    <w:p w14:paraId="0A747881">
      <w:pPr>
        <w:spacing w:line="580" w:lineRule="exact"/>
        <w:ind w:firstLine="640"/>
        <w:jc w:val="both"/>
      </w:pPr>
      <w:r>
        <w:rPr>
          <w:rFonts w:ascii="仿宋_GB2312" w:hAnsi="仿宋_GB2312" w:eastAsia="仿宋_GB2312"/>
          <w:b/>
          <w:sz w:val="32"/>
        </w:rPr>
        <w:t>2024年度财政拨款收入总计313.37万元，</w:t>
      </w:r>
      <w:r>
        <w:rPr>
          <w:rFonts w:ascii="仿宋_GB2312" w:hAnsi="仿宋_GB2312" w:eastAsia="仿宋_GB2312"/>
          <w:b w:val="0"/>
          <w:sz w:val="32"/>
        </w:rPr>
        <w:t>其中：年初财政拨款结转和结余0.00万元，本年财政拨款收入313.37万元。</w:t>
      </w:r>
      <w:r>
        <w:rPr>
          <w:rFonts w:ascii="仿宋_GB2312" w:hAnsi="仿宋_GB2312" w:eastAsia="仿宋_GB2312"/>
          <w:b/>
          <w:sz w:val="32"/>
        </w:rPr>
        <w:t>财政拨款支出总计313.37万元，</w:t>
      </w:r>
      <w:r>
        <w:rPr>
          <w:rFonts w:ascii="仿宋_GB2312" w:hAnsi="仿宋_GB2312" w:eastAsia="仿宋_GB2312"/>
          <w:b w:val="0"/>
          <w:sz w:val="32"/>
        </w:rPr>
        <w:t>其中：年末财政拨款结转和结余0.00万元，本年财政拨款支出313.37万元。</w:t>
      </w:r>
    </w:p>
    <w:p w14:paraId="4100250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增加11.27万元，增长3.73%，主要原因是：本年度增加岳普湖县委党校第32批留疆战士岗前培训班专项经费项目、党校新校区教学楼取暖费项目。</w:t>
      </w:r>
      <w:r>
        <w:rPr>
          <w:rFonts w:ascii="仿宋_GB2312" w:hAnsi="仿宋_GB2312" w:eastAsia="仿宋_GB2312"/>
          <w:b/>
          <w:sz w:val="32"/>
        </w:rPr>
        <w:t>与年初预算相比，</w:t>
      </w:r>
      <w:r>
        <w:rPr>
          <w:rFonts w:ascii="仿宋_GB2312" w:hAnsi="仿宋_GB2312" w:eastAsia="仿宋_GB2312"/>
          <w:b w:val="0"/>
          <w:sz w:val="32"/>
        </w:rPr>
        <w:t>年初预算数333.24万元，决算数313.37万元，预决算差异率-5.96%，主要原因是：本年在职人员转退休，年中调减人员经费，导致预决算存在差异。</w:t>
      </w:r>
    </w:p>
    <w:p w14:paraId="6EF2C4C3">
      <w:pPr>
        <w:spacing w:line="640" w:lineRule="exact"/>
        <w:ind w:firstLine="640"/>
        <w:jc w:val="both"/>
        <w:outlineLvl w:val="2"/>
      </w:pPr>
      <w:r>
        <w:rPr>
          <w:rFonts w:ascii="黑体" w:hAnsi="黑体" w:eastAsia="黑体"/>
          <w:sz w:val="32"/>
        </w:rPr>
        <w:t>五、一般公共预算财政拨款支出决算情况说明</w:t>
      </w:r>
    </w:p>
    <w:p w14:paraId="5C2DD98C">
      <w:pPr>
        <w:spacing w:line="640" w:lineRule="exact"/>
        <w:ind w:firstLine="640"/>
        <w:jc w:val="both"/>
        <w:outlineLvl w:val="3"/>
      </w:pPr>
      <w:r>
        <w:rPr>
          <w:rFonts w:ascii="楷体_GB2312" w:hAnsi="楷体_GB2312" w:eastAsia="楷体_GB2312"/>
          <w:b/>
          <w:sz w:val="32"/>
        </w:rPr>
        <w:t>（一）一般公共预算财政拨款支出决算总体情况</w:t>
      </w:r>
    </w:p>
    <w:p w14:paraId="27166E9D">
      <w:pPr>
        <w:spacing w:line="580" w:lineRule="exact"/>
        <w:ind w:firstLine="640"/>
        <w:jc w:val="both"/>
      </w:pPr>
      <w:r>
        <w:rPr>
          <w:rFonts w:ascii="仿宋_GB2312" w:hAnsi="仿宋_GB2312" w:eastAsia="仿宋_GB2312"/>
          <w:b/>
          <w:sz w:val="32"/>
        </w:rPr>
        <w:t>2024年度一般公共预算财政拨款支出313.37万元，</w:t>
      </w:r>
      <w:r>
        <w:rPr>
          <w:rFonts w:ascii="仿宋_GB2312" w:hAnsi="仿宋_GB2312" w:eastAsia="仿宋_GB2312"/>
          <w:b w:val="0"/>
          <w:sz w:val="32"/>
        </w:rPr>
        <w:t>占本年支出合计的81.93%。</w:t>
      </w:r>
      <w:r>
        <w:rPr>
          <w:rFonts w:ascii="仿宋_GB2312" w:hAnsi="仿宋_GB2312" w:eastAsia="仿宋_GB2312"/>
          <w:b/>
          <w:sz w:val="32"/>
        </w:rPr>
        <w:t>与上年相比，</w:t>
      </w:r>
      <w:r>
        <w:rPr>
          <w:rFonts w:ascii="仿宋_GB2312" w:hAnsi="仿宋_GB2312" w:eastAsia="仿宋_GB2312"/>
          <w:b w:val="0"/>
          <w:sz w:val="32"/>
        </w:rPr>
        <w:t>增加11.27万元，增长3.73%，主要原因是：本年度增加岳普湖县委党校第32批留疆战士岗前培训班专项经费项目、党校新校区教学楼取暖费项目。</w:t>
      </w:r>
      <w:r>
        <w:rPr>
          <w:rFonts w:ascii="仿宋_GB2312" w:hAnsi="仿宋_GB2312" w:eastAsia="仿宋_GB2312"/>
          <w:b/>
          <w:sz w:val="32"/>
        </w:rPr>
        <w:t>与年初预算相比,</w:t>
      </w:r>
      <w:r>
        <w:rPr>
          <w:rFonts w:ascii="仿宋_GB2312" w:hAnsi="仿宋_GB2312" w:eastAsia="仿宋_GB2312"/>
          <w:b w:val="0"/>
          <w:sz w:val="32"/>
        </w:rPr>
        <w:t>年初预算数333.24万元，决算数313.37万元，预决算差异率-5.96%，主要原因是：本年在职人员转退休，年中调减人员经费，导致预决算存在差异。</w:t>
      </w:r>
    </w:p>
    <w:p w14:paraId="0F7F4098">
      <w:pPr>
        <w:spacing w:line="640" w:lineRule="exact"/>
        <w:ind w:firstLine="640"/>
        <w:jc w:val="both"/>
        <w:outlineLvl w:val="3"/>
      </w:pPr>
      <w:r>
        <w:rPr>
          <w:rFonts w:ascii="楷体_GB2312" w:hAnsi="楷体_GB2312" w:eastAsia="楷体_GB2312"/>
          <w:b/>
          <w:sz w:val="32"/>
        </w:rPr>
        <w:t>（二）一般公共预算财政拨款支出决算结构情况</w:t>
      </w:r>
    </w:p>
    <w:p w14:paraId="3C572EF7">
      <w:pPr>
        <w:spacing w:line="580" w:lineRule="exact"/>
        <w:ind w:firstLine="640"/>
        <w:jc w:val="both"/>
      </w:pPr>
      <w:r>
        <w:rPr>
          <w:rFonts w:ascii="仿宋_GB2312" w:hAnsi="仿宋_GB2312" w:eastAsia="仿宋_GB2312"/>
          <w:b w:val="0"/>
          <w:sz w:val="32"/>
        </w:rPr>
        <w:t>1.教育支出(类)303.85万元,占96.96%。</w:t>
      </w:r>
    </w:p>
    <w:p w14:paraId="5F1AF7A6">
      <w:pPr>
        <w:spacing w:line="580" w:lineRule="exact"/>
        <w:ind w:firstLine="640"/>
        <w:jc w:val="both"/>
      </w:pPr>
      <w:r>
        <w:rPr>
          <w:rFonts w:ascii="仿宋_GB2312" w:hAnsi="仿宋_GB2312" w:eastAsia="仿宋_GB2312"/>
          <w:b w:val="0"/>
          <w:sz w:val="32"/>
        </w:rPr>
        <w:t>2.社会保障和就业支出(类)9.53万元,占3.04%。</w:t>
      </w:r>
    </w:p>
    <w:p w14:paraId="01411C49">
      <w:pPr>
        <w:spacing w:line="640" w:lineRule="exact"/>
        <w:ind w:firstLine="640"/>
        <w:jc w:val="both"/>
        <w:outlineLvl w:val="3"/>
      </w:pPr>
      <w:r>
        <w:rPr>
          <w:rFonts w:ascii="楷体_GB2312" w:hAnsi="楷体_GB2312" w:eastAsia="楷体_GB2312"/>
          <w:b/>
          <w:sz w:val="32"/>
        </w:rPr>
        <w:t>（三）一般公共预算财政拨款支出决算具体情况</w:t>
      </w:r>
    </w:p>
    <w:p w14:paraId="675031E2">
      <w:pPr>
        <w:spacing w:line="580" w:lineRule="exact"/>
        <w:ind w:firstLine="640"/>
        <w:jc w:val="both"/>
      </w:pPr>
      <w:r>
        <w:rPr>
          <w:rFonts w:ascii="仿宋_GB2312" w:hAnsi="仿宋_GB2312" w:eastAsia="仿宋_GB2312"/>
          <w:b w:val="0"/>
          <w:sz w:val="32"/>
        </w:rPr>
        <w:t>1.教育支出(类)进修及培训(款)干部教育(项):支出决算数为303.85万元，比上年决算增加77.84万元，增长34.44%,主要原因是：本年度增加岳普湖县委党校第32批留疆战士岗前培训班专项经费项目、党校新校区教学楼取暖费项目；科目调整，养老保险、单位医疗、公务员医疗补助、住房公积金、职业年金上年单独列支，本年调整至此科目，导致经费增加。</w:t>
      </w:r>
    </w:p>
    <w:p w14:paraId="430CD9DF">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2.社会保障和就业支出(类)行政事业单位养老支出(款)行政单位离退休(项):支出决算数为9.53万元，比上年决算增加2.60万元，增长37.52%,主要原因是：本年退休人员增加，退休费支出增加。</w:t>
      </w:r>
    </w:p>
    <w:p w14:paraId="68ADD69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25.39万元，下降100.00%,主要原因是：本年功能科目调整，养老保险缴费上年度单独列支，本年调整至主科目列支，导致经费较上年减少。</w:t>
      </w:r>
    </w:p>
    <w:p w14:paraId="6E7F29C3">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8.63万元，下降100.00%,主要原因是：本年功能科目调整，机关事业单位职业年金缴费上年度单独列支，本年调整至主科目列支，导致经费较上年减少。</w:t>
      </w:r>
    </w:p>
    <w:p w14:paraId="1FC5A130">
      <w:pPr>
        <w:spacing w:line="580" w:lineRule="exact"/>
        <w:ind w:firstLine="640"/>
        <w:jc w:val="both"/>
      </w:pPr>
      <w:r>
        <w:rPr>
          <w:rFonts w:ascii="仿宋_GB2312" w:hAnsi="仿宋_GB2312" w:eastAsia="仿宋_GB2312"/>
          <w:b w:val="0"/>
          <w:sz w:val="32"/>
        </w:rPr>
        <w:t>5.卫生健康支出(类)行政事业单位医疗(款)行政单位医疗(项):支出决算数为0.00万元，比上年决算减少13.75万元，下降100.00%,主要原因是：本年功能科目调整，行政单位医疗支出上年度单独列支，本年调整至主科目列支，导致经费较上年减少。</w:t>
      </w:r>
    </w:p>
    <w:p w14:paraId="1D02859D">
      <w:pPr>
        <w:spacing w:line="580" w:lineRule="exact"/>
        <w:ind w:firstLine="640"/>
        <w:jc w:val="both"/>
      </w:pPr>
      <w:r>
        <w:rPr>
          <w:rFonts w:ascii="仿宋_GB2312" w:hAnsi="仿宋_GB2312" w:eastAsia="仿宋_GB2312"/>
          <w:b w:val="0"/>
          <w:sz w:val="32"/>
        </w:rPr>
        <w:t>6.卫生健康支出(类)行政事业单位医疗(款)公务员医疗补助(项):支出决算数为0.00万元，比上年决算减少1.33万元，下降100.00%,主要原因是：本年功能科目调整，公务员医疗补助上年度单独列支，本年调整至主科目列支，导致经费较上年减少。</w:t>
      </w:r>
    </w:p>
    <w:p w14:paraId="6A1F5DB0">
      <w:pPr>
        <w:spacing w:line="580" w:lineRule="exact"/>
        <w:ind w:firstLine="640"/>
        <w:jc w:val="both"/>
      </w:pPr>
      <w:r>
        <w:rPr>
          <w:rFonts w:ascii="仿宋_GB2312" w:hAnsi="仿宋_GB2312" w:eastAsia="仿宋_GB2312"/>
          <w:b w:val="0"/>
          <w:sz w:val="32"/>
        </w:rPr>
        <w:t>7.住房保障支出(类)住房改革支出(款)住房公积金(项):支出决算数为0.00万元，比上年决算减少20.07万元，下降100.00%,主要原因是：本年功能科目调整，住房公积金上年度单独列支，本年调整至主科目列支，导致经费较上年减少。</w:t>
      </w:r>
    </w:p>
    <w:p w14:paraId="068FB0EB">
      <w:pPr>
        <w:spacing w:line="640" w:lineRule="exact"/>
        <w:ind w:firstLine="640"/>
        <w:jc w:val="both"/>
        <w:outlineLvl w:val="2"/>
      </w:pPr>
      <w:r>
        <w:rPr>
          <w:rFonts w:ascii="黑体" w:hAnsi="黑体" w:eastAsia="黑体"/>
          <w:sz w:val="32"/>
        </w:rPr>
        <w:t>六、一般公共预算财政拨款基本支出决算情况说明</w:t>
      </w:r>
    </w:p>
    <w:p w14:paraId="7CE454E5">
      <w:pPr>
        <w:spacing w:line="580" w:lineRule="exact"/>
        <w:ind w:firstLine="640"/>
        <w:jc w:val="both"/>
      </w:pPr>
      <w:r>
        <w:rPr>
          <w:rFonts w:ascii="仿宋_GB2312" w:hAnsi="仿宋_GB2312" w:eastAsia="仿宋_GB2312"/>
          <w:b w:val="0"/>
          <w:sz w:val="32"/>
        </w:rPr>
        <w:t>2024年度一般公共预算财政拨款基本支出285.01万元，其中：</w:t>
      </w:r>
      <w:r>
        <w:rPr>
          <w:rFonts w:ascii="仿宋_GB2312" w:hAnsi="仿宋_GB2312" w:eastAsia="仿宋_GB2312"/>
          <w:b/>
          <w:sz w:val="32"/>
        </w:rPr>
        <w:t>人员经费281.32万元，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464832C2">
      <w:pPr>
        <w:spacing w:line="580" w:lineRule="exact"/>
        <w:ind w:firstLine="640"/>
        <w:jc w:val="both"/>
      </w:pPr>
      <w:r>
        <w:rPr>
          <w:rFonts w:ascii="仿宋_GB2312" w:hAnsi="仿宋_GB2312" w:eastAsia="仿宋_GB2312"/>
          <w:b/>
          <w:sz w:val="32"/>
        </w:rPr>
        <w:t>公用经费3.69万元，</w:t>
      </w:r>
      <w:r>
        <w:rPr>
          <w:rFonts w:ascii="仿宋_GB2312" w:hAnsi="仿宋_GB2312" w:eastAsia="仿宋_GB2312"/>
          <w:b w:val="0"/>
          <w:sz w:val="32"/>
        </w:rPr>
        <w:t>包括：办公费、水费、邮电费、差旅费、公务用车运行维护费。</w:t>
      </w:r>
    </w:p>
    <w:p w14:paraId="1C49324A">
      <w:pPr>
        <w:spacing w:line="640" w:lineRule="exact"/>
        <w:ind w:firstLine="640"/>
        <w:jc w:val="both"/>
        <w:outlineLvl w:val="2"/>
      </w:pPr>
      <w:r>
        <w:rPr>
          <w:rFonts w:ascii="黑体" w:hAnsi="黑体" w:eastAsia="黑体"/>
          <w:sz w:val="32"/>
        </w:rPr>
        <w:t>七、政府性基金预算财政拨款收入支出决算情况说明</w:t>
      </w:r>
    </w:p>
    <w:p w14:paraId="2F332FF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E031E3B">
      <w:pPr>
        <w:spacing w:line="640" w:lineRule="exact"/>
        <w:ind w:firstLine="640"/>
        <w:jc w:val="both"/>
        <w:outlineLvl w:val="2"/>
      </w:pPr>
      <w:r>
        <w:rPr>
          <w:rFonts w:ascii="黑体" w:hAnsi="黑体" w:eastAsia="黑体"/>
          <w:sz w:val="32"/>
        </w:rPr>
        <w:t>八、国有资本经营预算财政拨款收入支出决算情况说明</w:t>
      </w:r>
    </w:p>
    <w:p w14:paraId="6B5F5F2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7D2574">
      <w:pPr>
        <w:spacing w:line="640" w:lineRule="exact"/>
        <w:ind w:firstLine="640"/>
        <w:jc w:val="both"/>
        <w:outlineLvl w:val="2"/>
      </w:pPr>
      <w:r>
        <w:rPr>
          <w:rFonts w:ascii="黑体" w:hAnsi="黑体" w:eastAsia="黑体"/>
          <w:sz w:val="32"/>
        </w:rPr>
        <w:t>九、财政拨款“三公”经费支出决算情况说明</w:t>
      </w:r>
    </w:p>
    <w:p w14:paraId="2B2FBBEB">
      <w:pPr>
        <w:spacing w:line="580" w:lineRule="exact"/>
        <w:ind w:firstLine="640"/>
        <w:jc w:val="both"/>
      </w:pPr>
      <w:r>
        <w:rPr>
          <w:rFonts w:ascii="仿宋_GB2312" w:hAnsi="仿宋_GB2312" w:eastAsia="仿宋_GB2312"/>
          <w:b/>
          <w:sz w:val="32"/>
        </w:rPr>
        <w:t>2024年度财政拨款“三公”经费支出0.71万元，</w:t>
      </w:r>
      <w:r>
        <w:rPr>
          <w:rFonts w:ascii="仿宋_GB2312" w:hAnsi="仿宋_GB2312" w:eastAsia="仿宋_GB2312"/>
          <w:b w:val="0"/>
          <w:sz w:val="32"/>
        </w:rPr>
        <w:t>比上年增加0.40万元，增长129.03%，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0.71万元，占100.00%，比上年增加0.40万元，增长129.03%，主要原因是：本单位公务用车日渐老化，维修维护成本增加，导致公务用车运行维护费较上年增加。公务接待费支出0.00万元，占0.00%，比上年增加0.00万元，增长0.00%，主要原因是：2023年与2024年均未安排公务接待费支出。</w:t>
      </w:r>
    </w:p>
    <w:p w14:paraId="1CC3E897">
      <w:pPr>
        <w:spacing w:line="580" w:lineRule="exact"/>
        <w:ind w:firstLine="640"/>
        <w:jc w:val="both"/>
      </w:pPr>
      <w:r>
        <w:rPr>
          <w:rFonts w:ascii="仿宋_GB2312" w:hAnsi="仿宋_GB2312" w:eastAsia="仿宋_GB2312"/>
          <w:b/>
          <w:sz w:val="32"/>
        </w:rPr>
        <w:t>具体情况如下：</w:t>
      </w:r>
    </w:p>
    <w:p w14:paraId="69C3523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6C3F91">
      <w:pPr>
        <w:spacing w:line="580" w:lineRule="exact"/>
        <w:ind w:firstLine="640"/>
        <w:jc w:val="both"/>
      </w:pPr>
      <w:r>
        <w:rPr>
          <w:rFonts w:ascii="仿宋_GB2312" w:hAnsi="仿宋_GB2312" w:eastAsia="仿宋_GB2312"/>
          <w:b w:val="0"/>
          <w:sz w:val="32"/>
        </w:rPr>
        <w:t>公务用车购置及运行维护费0.71万元，其中：公务用车购置费0.00万元，公务用车运行维护费0.71万元。公务用车运行维护费开支内容包括车辆加油费、维修费、保险费、审车费。公务用车购置数0辆，公务用车保有量1辆。国有资产占用情况中固定资产车辆1辆，与公务用车保有量差异原因是：本单位固定资产车辆与公务用车保有量一致无差异。</w:t>
      </w:r>
    </w:p>
    <w:p w14:paraId="6ABB3A1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C7EA07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0.71万元，决算数0.71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0.71万元，决算数0.71万元，预决算差异率0.00%，主要原因是：严格按照预算执行，预决算无差异。公务接待费全年预算数0.00万元，决算数0.00万元，预决算差异率0.00%，主要原因是：本单位无公务接待费。</w:t>
      </w:r>
    </w:p>
    <w:p w14:paraId="764889DE">
      <w:pPr>
        <w:spacing w:line="640" w:lineRule="exact"/>
        <w:ind w:firstLine="640"/>
        <w:jc w:val="both"/>
        <w:outlineLvl w:val="2"/>
      </w:pPr>
      <w:r>
        <w:rPr>
          <w:rFonts w:ascii="黑体" w:hAnsi="黑体" w:eastAsia="黑体"/>
          <w:sz w:val="32"/>
        </w:rPr>
        <w:t>十、其他重要事项的情况说明</w:t>
      </w:r>
    </w:p>
    <w:p w14:paraId="32B93F59">
      <w:pPr>
        <w:spacing w:line="640" w:lineRule="exact"/>
        <w:ind w:firstLine="640"/>
        <w:jc w:val="both"/>
        <w:outlineLvl w:val="3"/>
      </w:pPr>
      <w:r>
        <w:rPr>
          <w:rFonts w:ascii="楷体_GB2312" w:hAnsi="楷体_GB2312" w:eastAsia="楷体_GB2312"/>
          <w:b/>
          <w:sz w:val="32"/>
        </w:rPr>
        <w:t>（一）机关运行经费及公用经费支出情况</w:t>
      </w:r>
    </w:p>
    <w:p w14:paraId="33D1C25E">
      <w:pPr>
        <w:spacing w:line="580" w:lineRule="exact"/>
        <w:ind w:firstLine="640"/>
        <w:jc w:val="both"/>
      </w:pPr>
      <w:r>
        <w:rPr>
          <w:rFonts w:ascii="仿宋_GB2312" w:hAnsi="仿宋_GB2312" w:eastAsia="仿宋_GB2312"/>
          <w:b w:val="0"/>
          <w:sz w:val="32"/>
        </w:rPr>
        <w:t>2024年度中共岳普湖县委员会党校（行政单位和参照公务员法管理事业单位）机关运行经费支出3.69万元，比上年减少1.11万元，下降23.12%，主要原因是：严控经费支出，厉行节约，减少经费支出。</w:t>
      </w:r>
    </w:p>
    <w:p w14:paraId="554294D8">
      <w:pPr>
        <w:spacing w:line="640" w:lineRule="exact"/>
        <w:ind w:firstLine="640"/>
        <w:jc w:val="both"/>
        <w:outlineLvl w:val="3"/>
      </w:pPr>
      <w:r>
        <w:rPr>
          <w:rFonts w:ascii="楷体_GB2312" w:hAnsi="楷体_GB2312" w:eastAsia="楷体_GB2312"/>
          <w:b/>
          <w:sz w:val="32"/>
        </w:rPr>
        <w:t>（二）政府采购情况</w:t>
      </w:r>
    </w:p>
    <w:p w14:paraId="0A98D499">
      <w:pPr>
        <w:spacing w:line="580" w:lineRule="exact"/>
        <w:ind w:firstLine="640"/>
        <w:jc w:val="both"/>
      </w:pPr>
      <w:r>
        <w:rPr>
          <w:rFonts w:ascii="仿宋_GB2312" w:hAnsi="仿宋_GB2312" w:eastAsia="仿宋_GB2312"/>
          <w:b w:val="0"/>
          <w:sz w:val="32"/>
        </w:rPr>
        <w:t>2024年度政府采购支出总额50.48万元，其中：政府采购货物支出31.21万元、政府采购工程支出0.00万元、政府采购服务支出19.27万元。</w:t>
      </w:r>
    </w:p>
    <w:p w14:paraId="3C1D7F15">
      <w:pPr>
        <w:spacing w:line="580" w:lineRule="exact"/>
        <w:ind w:firstLine="640"/>
        <w:jc w:val="both"/>
      </w:pPr>
      <w:r>
        <w:rPr>
          <w:rFonts w:ascii="仿宋_GB2312" w:hAnsi="仿宋_GB2312" w:eastAsia="仿宋_GB2312"/>
          <w:b w:val="0"/>
          <w:sz w:val="32"/>
        </w:rPr>
        <w:t>授予中小企业合同金额50.25万元，占政府采购支出总额的99.54%，其中：授予小微企业合同金额50.25万元，占政府采购支出总额的99.54%。</w:t>
      </w:r>
    </w:p>
    <w:p w14:paraId="29DA5493">
      <w:pPr>
        <w:spacing w:line="640" w:lineRule="exact"/>
        <w:ind w:firstLine="640"/>
        <w:jc w:val="both"/>
        <w:outlineLvl w:val="3"/>
      </w:pPr>
      <w:r>
        <w:rPr>
          <w:rFonts w:ascii="楷体_GB2312" w:hAnsi="楷体_GB2312" w:eastAsia="楷体_GB2312"/>
          <w:b/>
          <w:sz w:val="32"/>
        </w:rPr>
        <w:t>（三）国有资产占用情况说明</w:t>
      </w:r>
    </w:p>
    <w:p w14:paraId="5751C937">
      <w:pPr>
        <w:spacing w:line="580" w:lineRule="exact"/>
        <w:ind w:firstLine="640"/>
        <w:jc w:val="both"/>
      </w:pPr>
      <w:r>
        <w:rPr>
          <w:rFonts w:ascii="仿宋_GB2312" w:hAnsi="仿宋_GB2312" w:eastAsia="仿宋_GB2312"/>
          <w:b w:val="0"/>
          <w:sz w:val="32"/>
        </w:rPr>
        <w:t>截至2024年12月31日，房屋4,928.62平方米，价值1,332.84万元。车辆1辆，价值15.47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B240FDE">
      <w:pPr>
        <w:spacing w:line="640" w:lineRule="exact"/>
        <w:ind w:firstLine="640"/>
        <w:jc w:val="both"/>
        <w:outlineLvl w:val="2"/>
      </w:pPr>
      <w:r>
        <w:rPr>
          <w:rFonts w:ascii="黑体" w:hAnsi="黑体" w:eastAsia="黑体"/>
          <w:sz w:val="32"/>
        </w:rPr>
        <w:t>十一、预算绩效的情况说明</w:t>
      </w:r>
    </w:p>
    <w:p w14:paraId="2E91098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451.85万元，实际执行总额382.50万元；预算绩效评价项目6个，全年预算数60.40万元，全年执行数60.40万元。预算绩效管理取得的成效：一是单位领导重视。单位领导高度重视，分管领导具体负责，专门成立项目绩效评价工作组，负责项目工作的指挥、协调，明确工作职责。充分发挥其职能作用。二是申请和审核机制完善：建立严格的审核机制，对申请材料进行认真审核，确保资金能够真正用于实处。发现的问题及原因：一是项目的相关评估机制较为欠缺。二是资金预算管理还需加强，预算金额与实际需求不符。下一步改进措施：一是预算单位针对目标、进度、质量、风险、成本、效益等方面完善相关评估机制。评估结果可以为预算单位提供项目管理和执行的经验和教训。二是继续加强预算管理：单位应通过多种渠道和方式，加强资金预算管理，确保合理使用资金。具体附整体支出绩效自评表，项目支出绩效自评表和评价报告。</w:t>
      </w:r>
    </w:p>
    <w:p w14:paraId="35069A1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0B7B5A">
        <w:tblPrEx>
          <w:tblCellMar>
            <w:top w:w="0" w:type="dxa"/>
            <w:left w:w="108" w:type="dxa"/>
            <w:bottom w:w="0" w:type="dxa"/>
            <w:right w:w="108" w:type="dxa"/>
          </w:tblCellMar>
        </w:tblPrEx>
        <w:tc>
          <w:tcPr>
            <w:tcW w:w="8847" w:type="dxa"/>
            <w:gridSpan w:val="9"/>
            <w:vAlign w:val="center"/>
          </w:tcPr>
          <w:p w14:paraId="3B176D92">
            <w:pPr>
              <w:jc w:val="center"/>
            </w:pPr>
            <w:r>
              <w:rPr>
                <w:rFonts w:ascii="宋体" w:hAnsi="宋体" w:eastAsia="宋体"/>
                <w:sz w:val="24"/>
              </w:rPr>
              <w:t>单位整体支出绩效自评表</w:t>
            </w:r>
          </w:p>
        </w:tc>
      </w:tr>
      <w:tr w14:paraId="764221EF">
        <w:tblPrEx>
          <w:tblCellMar>
            <w:top w:w="0" w:type="dxa"/>
            <w:left w:w="108" w:type="dxa"/>
            <w:bottom w:w="0" w:type="dxa"/>
            <w:right w:w="108" w:type="dxa"/>
          </w:tblCellMar>
        </w:tblPrEx>
        <w:tc>
          <w:tcPr>
            <w:tcW w:w="8847" w:type="dxa"/>
            <w:gridSpan w:val="9"/>
            <w:vAlign w:val="center"/>
          </w:tcPr>
          <w:p w14:paraId="605E66D8">
            <w:pPr>
              <w:jc w:val="center"/>
            </w:pPr>
            <w:r>
              <w:rPr>
                <w:rFonts w:ascii="宋体" w:hAnsi="宋体" w:eastAsia="宋体"/>
                <w:sz w:val="24"/>
              </w:rPr>
              <w:t>（2024年度）</w:t>
            </w:r>
          </w:p>
        </w:tc>
      </w:tr>
      <w:tr w14:paraId="3DAA71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B77B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C20F91">
            <w:pPr>
              <w:jc w:val="center"/>
            </w:pPr>
            <w:r>
              <w:rPr>
                <w:rFonts w:ascii="宋体" w:hAnsi="宋体" w:eastAsia="宋体"/>
                <w:sz w:val="16"/>
              </w:rPr>
              <w:t>中共岳普湖县委员会党校</w:t>
            </w:r>
          </w:p>
        </w:tc>
      </w:tr>
      <w:tr w14:paraId="1C4CF7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C195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C72A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D58E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2E14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D1A9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A0A0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DD46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A815">
            <w:pPr>
              <w:jc w:val="center"/>
            </w:pPr>
            <w:r>
              <w:rPr>
                <w:rFonts w:ascii="宋体" w:hAnsi="宋体" w:eastAsia="宋体"/>
                <w:sz w:val="16"/>
              </w:rPr>
              <w:t>得分</w:t>
            </w:r>
          </w:p>
        </w:tc>
      </w:tr>
      <w:tr w14:paraId="00EC3A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E4D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4EFE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CDE43">
            <w:pPr>
              <w:jc w:val="center"/>
            </w:pPr>
            <w:r>
              <w:rPr>
                <w:rFonts w:ascii="宋体" w:hAnsi="宋体" w:eastAsia="宋体"/>
                <w:sz w:val="16"/>
              </w:rPr>
              <w:t>333.22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30353">
            <w:pPr>
              <w:jc w:val="center"/>
            </w:pPr>
            <w:r>
              <w:rPr>
                <w:rFonts w:ascii="宋体" w:hAnsi="宋体" w:eastAsia="宋体"/>
                <w:sz w:val="16"/>
              </w:rPr>
              <w:t>451.85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3E0CB">
            <w:pPr>
              <w:jc w:val="center"/>
            </w:pPr>
            <w:r>
              <w:rPr>
                <w:rFonts w:ascii="宋体" w:hAnsi="宋体" w:eastAsia="宋体"/>
                <w:sz w:val="16"/>
              </w:rPr>
              <w:t>382.50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BDD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D9A04">
            <w:pPr>
              <w:jc w:val="center"/>
            </w:pPr>
            <w:r>
              <w:rPr>
                <w:rFonts w:ascii="宋体" w:hAnsi="宋体" w:eastAsia="宋体"/>
                <w:sz w:val="16"/>
              </w:rPr>
              <w:t>84.65%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CB2A1">
            <w:pPr>
              <w:jc w:val="center"/>
            </w:pPr>
            <w:r>
              <w:rPr>
                <w:rFonts w:ascii="宋体" w:hAnsi="宋体" w:eastAsia="宋体"/>
                <w:sz w:val="16"/>
              </w:rPr>
              <w:t>8.47</w:t>
            </w:r>
          </w:p>
        </w:tc>
      </w:tr>
      <w:tr w14:paraId="079E1C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056D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4CE6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947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09D53">
            <w:pPr>
              <w:jc w:val="center"/>
            </w:pPr>
            <w:r>
              <w:rPr>
                <w:rFonts w:ascii="宋体" w:hAnsi="宋体" w:eastAsia="宋体"/>
                <w:sz w:val="16"/>
              </w:rPr>
              <w:t>21.14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D3D92">
            <w:pPr>
              <w:jc w:val="center"/>
            </w:pPr>
            <w:r>
              <w:rPr>
                <w:rFonts w:ascii="宋体" w:hAnsi="宋体" w:eastAsia="宋体"/>
                <w:sz w:val="16"/>
              </w:rPr>
              <w:t>21.14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CF9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EC3B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DEE0B">
            <w:pPr>
              <w:jc w:val="center"/>
            </w:pPr>
            <w:r>
              <w:rPr>
                <w:rFonts w:ascii="宋体" w:hAnsi="宋体" w:eastAsia="宋体"/>
                <w:sz w:val="16"/>
              </w:rPr>
              <w:t>—</w:t>
            </w:r>
          </w:p>
        </w:tc>
      </w:tr>
      <w:tr w14:paraId="336929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7ACC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1545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72C13">
            <w:pPr>
              <w:jc w:val="center"/>
            </w:pPr>
            <w:r>
              <w:rPr>
                <w:rFonts w:ascii="宋体" w:hAnsi="宋体" w:eastAsia="宋体"/>
                <w:sz w:val="16"/>
              </w:rPr>
              <w:t>333.22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73FF1">
            <w:pPr>
              <w:jc w:val="center"/>
            </w:pPr>
            <w:r>
              <w:rPr>
                <w:rFonts w:ascii="宋体" w:hAnsi="宋体" w:eastAsia="宋体"/>
                <w:sz w:val="16"/>
              </w:rPr>
              <w:t>292.23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665EC">
            <w:pPr>
              <w:jc w:val="center"/>
            </w:pPr>
            <w:r>
              <w:rPr>
                <w:rFonts w:ascii="宋体" w:hAnsi="宋体" w:eastAsia="宋体"/>
                <w:sz w:val="16"/>
              </w:rPr>
              <w:t>292.23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386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5A3A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EFB15">
            <w:pPr>
              <w:jc w:val="center"/>
            </w:pPr>
            <w:r>
              <w:rPr>
                <w:rFonts w:ascii="宋体" w:hAnsi="宋体" w:eastAsia="宋体"/>
                <w:sz w:val="16"/>
              </w:rPr>
              <w:t>—</w:t>
            </w:r>
          </w:p>
        </w:tc>
      </w:tr>
      <w:tr w14:paraId="01D344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29E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99EF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7D0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E7E26">
            <w:pPr>
              <w:jc w:val="center"/>
            </w:pPr>
            <w:r>
              <w:rPr>
                <w:rFonts w:ascii="宋体" w:hAnsi="宋体" w:eastAsia="宋体"/>
                <w:sz w:val="16"/>
              </w:rPr>
              <w:t>138.48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ECE53">
            <w:pPr>
              <w:jc w:val="center"/>
            </w:pPr>
            <w:r>
              <w:rPr>
                <w:rFonts w:ascii="宋体" w:hAnsi="宋体" w:eastAsia="宋体"/>
                <w:sz w:val="16"/>
              </w:rPr>
              <w:t>69.13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142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3D61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0AE52">
            <w:pPr>
              <w:jc w:val="center"/>
            </w:pPr>
            <w:r>
              <w:rPr>
                <w:rFonts w:ascii="宋体" w:hAnsi="宋体" w:eastAsia="宋体"/>
                <w:sz w:val="16"/>
              </w:rPr>
              <w:t>—</w:t>
            </w:r>
          </w:p>
        </w:tc>
      </w:tr>
      <w:tr w14:paraId="71577F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B61C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85686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CE6FC1">
            <w:pPr>
              <w:jc w:val="center"/>
            </w:pPr>
            <w:r>
              <w:rPr>
                <w:rFonts w:ascii="宋体" w:hAnsi="宋体" w:eastAsia="宋体"/>
                <w:sz w:val="16"/>
              </w:rPr>
              <w:t>实际完成情况</w:t>
            </w:r>
          </w:p>
        </w:tc>
      </w:tr>
      <w:tr w14:paraId="71DA49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B7B0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F4BED0">
            <w:pPr>
              <w:jc w:val="both"/>
            </w:pPr>
            <w:r>
              <w:rPr>
                <w:rFonts w:ascii="宋体" w:hAnsi="宋体" w:eastAsia="宋体"/>
                <w:sz w:val="16"/>
              </w:rPr>
              <w:t>完成14次专题研讨班、11次进修班、7次培训班的培训任务。</w:t>
            </w:r>
            <w:r>
              <w:rPr>
                <w:rFonts w:hint="eastAsia" w:ascii="宋体" w:hAnsi="宋体"/>
                <w:sz w:val="16"/>
                <w:lang w:eastAsia="zh-CN"/>
              </w:rPr>
              <w:t>全面贯彻习近平新时代中国特色</w:t>
            </w:r>
            <w:r>
              <w:rPr>
                <w:rFonts w:ascii="宋体" w:hAnsi="宋体" w:eastAsia="宋体"/>
                <w:sz w:val="16"/>
              </w:rPr>
              <w:t>社会主义思想主题教育普及，保障培训轮训按期完成。</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FABC1E">
            <w:pPr>
              <w:jc w:val="both"/>
            </w:pPr>
            <w:r>
              <w:rPr>
                <w:rFonts w:ascii="宋体" w:hAnsi="宋体" w:eastAsia="宋体"/>
                <w:sz w:val="16"/>
              </w:rPr>
              <w:t>完成了14期专题研讨班、11期进修班以及7期培训班的培训任务。培训活动的开展，充分展现了单位在履行职责方面的高效能力，全面推动了习近平新时代中国特色社会主义思想主题教育的普及。通过这些培训，确保了培训轮训任务能够如期完成，为提升全体成员的理论素养和实践能力作出了</w:t>
            </w:r>
            <w:bookmarkStart w:id="0" w:name="_GoBack"/>
            <w:bookmarkEnd w:id="0"/>
            <w:r>
              <w:rPr>
                <w:rFonts w:ascii="宋体" w:hAnsi="宋体" w:eastAsia="宋体"/>
                <w:sz w:val="16"/>
              </w:rPr>
              <w:t>积极贡献。</w:t>
            </w:r>
          </w:p>
        </w:tc>
      </w:tr>
      <w:tr w14:paraId="521F05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B08C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5AEE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7773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9EBC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7DDD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CB05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0172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76C5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97A68">
            <w:pPr>
              <w:jc w:val="center"/>
            </w:pPr>
            <w:r>
              <w:rPr>
                <w:rFonts w:ascii="宋体" w:hAnsi="宋体" w:eastAsia="宋体"/>
                <w:sz w:val="16"/>
              </w:rPr>
              <w:t>得分</w:t>
            </w:r>
          </w:p>
        </w:tc>
      </w:tr>
      <w:tr w14:paraId="11A4E0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0AFC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8B65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FA85D">
            <w:pPr>
              <w:jc w:val="center"/>
            </w:pPr>
            <w:r>
              <w:rPr>
                <w:rFonts w:ascii="宋体" w:hAnsi="宋体" w:eastAsia="宋体"/>
                <w:sz w:val="16"/>
              </w:rPr>
              <w:t>专题研讨班班次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B8557">
            <w:pPr>
              <w:jc w:val="center"/>
            </w:pPr>
            <w:r>
              <w:rPr>
                <w:rFonts w:ascii="宋体" w:hAnsi="宋体" w:eastAsia="宋体"/>
                <w:sz w:val="16"/>
              </w:rPr>
              <w:t>&gt;=14次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7C5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3B51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BB68F">
            <w:pPr>
              <w:jc w:val="center"/>
            </w:pPr>
            <w:r>
              <w:rPr>
                <w:rFonts w:ascii="宋体" w:hAnsi="宋体" w:eastAsia="宋体"/>
                <w:sz w:val="16"/>
              </w:rPr>
              <w:t>14次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112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8AF63">
            <w:pPr>
              <w:jc w:val="center"/>
            </w:pPr>
            <w:r>
              <w:rPr>
                <w:rFonts w:ascii="宋体" w:hAnsi="宋体" w:eastAsia="宋体"/>
                <w:sz w:val="16"/>
              </w:rPr>
              <w:t>18</w:t>
            </w:r>
          </w:p>
        </w:tc>
      </w:tr>
      <w:tr w14:paraId="30EE15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DE6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0C34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12CC1">
            <w:pPr>
              <w:jc w:val="center"/>
            </w:pPr>
            <w:r>
              <w:rPr>
                <w:rFonts w:ascii="宋体" w:hAnsi="宋体" w:eastAsia="宋体"/>
                <w:sz w:val="16"/>
              </w:rPr>
              <w:t>进修班班次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C9C5D">
            <w:pPr>
              <w:jc w:val="center"/>
            </w:pPr>
            <w:r>
              <w:rPr>
                <w:rFonts w:ascii="宋体" w:hAnsi="宋体" w:eastAsia="宋体"/>
                <w:sz w:val="16"/>
              </w:rPr>
              <w:t>&gt;=11次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DA94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FDC4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B0D70">
            <w:pPr>
              <w:jc w:val="center"/>
            </w:pPr>
            <w:r>
              <w:rPr>
                <w:rFonts w:ascii="宋体" w:hAnsi="宋体" w:eastAsia="宋体"/>
                <w:sz w:val="16"/>
              </w:rPr>
              <w:t>11次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744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5D692">
            <w:pPr>
              <w:jc w:val="center"/>
            </w:pPr>
            <w:r>
              <w:rPr>
                <w:rFonts w:ascii="宋体" w:hAnsi="宋体" w:eastAsia="宋体"/>
                <w:sz w:val="16"/>
              </w:rPr>
              <w:t>18</w:t>
            </w:r>
          </w:p>
        </w:tc>
      </w:tr>
      <w:tr w14:paraId="5FCFA0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CE75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F021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F5DFD">
            <w:pPr>
              <w:jc w:val="center"/>
            </w:pPr>
            <w:r>
              <w:rPr>
                <w:rFonts w:ascii="宋体" w:hAnsi="宋体" w:eastAsia="宋体"/>
                <w:sz w:val="16"/>
              </w:rPr>
              <w:t>培训班班次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6542E">
            <w:pPr>
              <w:jc w:val="center"/>
            </w:pPr>
            <w:r>
              <w:rPr>
                <w:rFonts w:ascii="宋体" w:hAnsi="宋体" w:eastAsia="宋体"/>
                <w:sz w:val="16"/>
              </w:rPr>
              <w:t>&gt;=7次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9F8C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A88B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2E125">
            <w:pPr>
              <w:jc w:val="center"/>
            </w:pPr>
            <w:r>
              <w:rPr>
                <w:rFonts w:ascii="宋体" w:hAnsi="宋体" w:eastAsia="宋体"/>
                <w:sz w:val="16"/>
              </w:rPr>
              <w:t>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2BB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D942E">
            <w:pPr>
              <w:jc w:val="center"/>
            </w:pPr>
            <w:r>
              <w:rPr>
                <w:rFonts w:ascii="宋体" w:hAnsi="宋体" w:eastAsia="宋体"/>
                <w:sz w:val="16"/>
              </w:rPr>
              <w:t>18</w:t>
            </w:r>
          </w:p>
        </w:tc>
      </w:tr>
      <w:tr w14:paraId="287AEB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E377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5D3D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F3EA3">
            <w:pPr>
              <w:jc w:val="center"/>
            </w:pPr>
            <w:r>
              <w:rPr>
                <w:rFonts w:ascii="宋体" w:hAnsi="宋体" w:eastAsia="宋体"/>
                <w:sz w:val="16"/>
              </w:rPr>
              <w:t>习近平新时代中国特色社会主义思想主题教育普及率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556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1A06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5A43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7DB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6EE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A4F96">
            <w:pPr>
              <w:jc w:val="center"/>
            </w:pPr>
            <w:r>
              <w:rPr>
                <w:rFonts w:ascii="宋体" w:hAnsi="宋体" w:eastAsia="宋体"/>
                <w:sz w:val="16"/>
              </w:rPr>
              <w:t>18</w:t>
            </w:r>
          </w:p>
        </w:tc>
      </w:tr>
      <w:tr w14:paraId="556B63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5A05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9E23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1BD2A">
            <w:pPr>
              <w:jc w:val="center"/>
            </w:pPr>
            <w:r>
              <w:rPr>
                <w:rFonts w:ascii="宋体" w:hAnsi="宋体" w:eastAsia="宋体"/>
                <w:sz w:val="16"/>
              </w:rPr>
              <w:t>培训轮训按期完成率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46E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5D13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FC21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5EB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FB0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AE8DD">
            <w:pPr>
              <w:jc w:val="center"/>
            </w:pPr>
            <w:r>
              <w:rPr>
                <w:rFonts w:ascii="宋体" w:hAnsi="宋体" w:eastAsia="宋体"/>
                <w:sz w:val="16"/>
              </w:rPr>
              <w:t>18</w:t>
            </w:r>
          </w:p>
        </w:tc>
      </w:tr>
    </w:tbl>
    <w:p w14:paraId="5E2579ED">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936"/>
        <w:gridCol w:w="598"/>
        <w:gridCol w:w="598"/>
        <w:gridCol w:w="609"/>
        <w:gridCol w:w="598"/>
        <w:gridCol w:w="598"/>
        <w:gridCol w:w="856"/>
        <w:gridCol w:w="633"/>
        <w:gridCol w:w="569"/>
        <w:gridCol w:w="631"/>
      </w:tblGrid>
      <w:tr w14:paraId="3BE98D18">
        <w:tblPrEx>
          <w:tblCellMar>
            <w:top w:w="0" w:type="dxa"/>
            <w:left w:w="108" w:type="dxa"/>
            <w:bottom w:w="0" w:type="dxa"/>
            <w:right w:w="108" w:type="dxa"/>
          </w:tblCellMar>
        </w:tblPrEx>
        <w:tc>
          <w:tcPr>
            <w:tcW w:w="8848" w:type="dxa"/>
            <w:gridSpan w:val="14"/>
            <w:vAlign w:val="center"/>
          </w:tcPr>
          <w:p w14:paraId="71AF5BFA">
            <w:pPr>
              <w:jc w:val="center"/>
            </w:pPr>
            <w:r>
              <w:rPr>
                <w:rFonts w:ascii="宋体" w:hAnsi="宋体" w:eastAsia="宋体"/>
                <w:sz w:val="24"/>
              </w:rPr>
              <w:t>项目支出绩效自评表</w:t>
            </w:r>
          </w:p>
        </w:tc>
      </w:tr>
      <w:tr w14:paraId="78FF3953">
        <w:tblPrEx>
          <w:tblCellMar>
            <w:top w:w="0" w:type="dxa"/>
            <w:left w:w="108" w:type="dxa"/>
            <w:bottom w:w="0" w:type="dxa"/>
            <w:right w:w="108" w:type="dxa"/>
          </w:tblCellMar>
        </w:tblPrEx>
        <w:tc>
          <w:tcPr>
            <w:tcW w:w="8848" w:type="dxa"/>
            <w:gridSpan w:val="14"/>
            <w:vAlign w:val="center"/>
          </w:tcPr>
          <w:p w14:paraId="3152C2AF">
            <w:pPr>
              <w:jc w:val="center"/>
            </w:pPr>
            <w:r>
              <w:rPr>
                <w:rFonts w:ascii="宋体" w:hAnsi="宋体" w:eastAsia="宋体"/>
                <w:sz w:val="24"/>
              </w:rPr>
              <w:t>(2024年度)</w:t>
            </w:r>
          </w:p>
        </w:tc>
      </w:tr>
      <w:tr w14:paraId="37EF49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8F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ED15A8">
            <w:pPr>
              <w:jc w:val="center"/>
            </w:pPr>
            <w:r>
              <w:rPr>
                <w:rFonts w:ascii="宋体" w:hAnsi="宋体" w:eastAsia="宋体"/>
                <w:sz w:val="16"/>
              </w:rPr>
              <w:t>2021年岳普湖县党校第32期留疆战士岗前培训班项目</w:t>
            </w:r>
          </w:p>
        </w:tc>
      </w:tr>
      <w:tr w14:paraId="08AF8F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4F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3BC2AD">
            <w:pPr>
              <w:jc w:val="center"/>
            </w:pPr>
            <w:r>
              <w:rPr>
                <w:rFonts w:ascii="宋体" w:hAnsi="宋体" w:eastAsia="宋体"/>
                <w:sz w:val="16"/>
              </w:rPr>
              <w:t>中共岳普湖县委员会党校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B9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0011D0">
            <w:pPr>
              <w:jc w:val="center"/>
            </w:pPr>
            <w:r>
              <w:rPr>
                <w:rFonts w:ascii="宋体" w:hAnsi="宋体" w:eastAsia="宋体"/>
                <w:sz w:val="16"/>
              </w:rPr>
              <w:t>中共岳普湖县委员会党校</w:t>
            </w:r>
          </w:p>
        </w:tc>
      </w:tr>
      <w:tr w14:paraId="464E83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754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FDF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364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FC8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39C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D5A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7DD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21EC">
            <w:pPr>
              <w:jc w:val="center"/>
            </w:pPr>
            <w:r>
              <w:rPr>
                <w:rFonts w:ascii="宋体" w:hAnsi="宋体" w:eastAsia="宋体"/>
                <w:sz w:val="16"/>
              </w:rPr>
              <w:t>得分</w:t>
            </w:r>
          </w:p>
        </w:tc>
      </w:tr>
      <w:tr w14:paraId="394A7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6FB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9F3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0001">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FB0A3">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A1B00">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DEE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4CC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BBAB">
            <w:pPr>
              <w:jc w:val="center"/>
            </w:pPr>
            <w:r>
              <w:rPr>
                <w:rFonts w:ascii="宋体" w:hAnsi="宋体" w:eastAsia="宋体"/>
                <w:sz w:val="16"/>
              </w:rPr>
              <w:t>10.00分</w:t>
            </w:r>
          </w:p>
        </w:tc>
      </w:tr>
      <w:tr w14:paraId="16B99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89F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303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8D68E">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BCD01">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9D5A9">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C9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76B1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BE78">
            <w:pPr>
              <w:jc w:val="center"/>
            </w:pPr>
            <w:r>
              <w:rPr>
                <w:rFonts w:ascii="宋体" w:hAnsi="宋体" w:eastAsia="宋体"/>
                <w:sz w:val="16"/>
              </w:rPr>
              <w:t>—</w:t>
            </w:r>
          </w:p>
        </w:tc>
      </w:tr>
      <w:tr w14:paraId="39025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F43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32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104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9CC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41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11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061E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7E0F">
            <w:pPr>
              <w:jc w:val="center"/>
            </w:pPr>
            <w:r>
              <w:rPr>
                <w:rFonts w:ascii="宋体" w:hAnsi="宋体" w:eastAsia="宋体"/>
                <w:sz w:val="16"/>
              </w:rPr>
              <w:t>—</w:t>
            </w:r>
          </w:p>
        </w:tc>
      </w:tr>
      <w:tr w14:paraId="46039B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9E4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8EF2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63960C">
            <w:pPr>
              <w:jc w:val="center"/>
            </w:pPr>
            <w:r>
              <w:rPr>
                <w:rFonts w:ascii="宋体" w:hAnsi="宋体" w:eastAsia="宋体"/>
                <w:sz w:val="16"/>
              </w:rPr>
              <w:t>实际完成情况</w:t>
            </w:r>
          </w:p>
        </w:tc>
      </w:tr>
      <w:tr w14:paraId="414A5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E31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7BF81F">
            <w:pPr>
              <w:jc w:val="both"/>
            </w:pPr>
            <w:r>
              <w:rPr>
                <w:rFonts w:ascii="宋体" w:hAnsi="宋体" w:eastAsia="宋体"/>
                <w:sz w:val="16"/>
              </w:rPr>
              <w:t>对2021年招录的三十二期的17名留疆战士进行初任培训。项目的实施为快速适应基层、融入基层打下良好基础。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C0414D">
            <w:pPr>
              <w:jc w:val="both"/>
            </w:pPr>
            <w:r>
              <w:rPr>
                <w:rFonts w:ascii="宋体" w:hAnsi="宋体" w:eastAsia="宋体"/>
                <w:sz w:val="16"/>
              </w:rPr>
              <w:t>已完成对2021年招录的三十二期的17名留疆战士的初任培训。预算执行率为100%。项目的实施为快速适应基层、融入基层打下良好基础。留疆战士满意度为100%。</w:t>
            </w:r>
          </w:p>
        </w:tc>
      </w:tr>
      <w:tr w14:paraId="710FD8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FB9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85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6F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5D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AC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A3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DD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F6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38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39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78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93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0DF8C">
            <w:pPr>
              <w:jc w:val="center"/>
            </w:pPr>
            <w:r>
              <w:rPr>
                <w:rFonts w:ascii="宋体" w:hAnsi="宋体" w:eastAsia="宋体"/>
                <w:sz w:val="16"/>
              </w:rPr>
              <w:t>偏差原因分析及改进措施</w:t>
            </w:r>
          </w:p>
        </w:tc>
      </w:tr>
      <w:tr w14:paraId="5E6AAF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D38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860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82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3682">
            <w:pPr>
              <w:jc w:val="center"/>
            </w:pPr>
            <w:r>
              <w:rPr>
                <w:rFonts w:ascii="宋体" w:hAnsi="宋体" w:eastAsia="宋体"/>
                <w:sz w:val="16"/>
              </w:rPr>
              <w:t>培训留疆战士人数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B549">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E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A9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8C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AF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73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7F72">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58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28231">
            <w:pPr>
              <w:jc w:val="center"/>
            </w:pPr>
          </w:p>
        </w:tc>
      </w:tr>
      <w:tr w14:paraId="56A41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15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41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7C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14B6">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2C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7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32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39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82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1E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D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B4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BD522">
            <w:pPr>
              <w:jc w:val="center"/>
            </w:pPr>
          </w:p>
        </w:tc>
      </w:tr>
      <w:tr w14:paraId="6A017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2E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600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1FE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5BD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3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2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5B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2D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3F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CD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5E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43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7F24">
            <w:pPr>
              <w:jc w:val="center"/>
            </w:pPr>
          </w:p>
        </w:tc>
      </w:tr>
      <w:tr w14:paraId="419D3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7C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6A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A6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E48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200E">
            <w:pPr>
              <w:jc w:val="center"/>
            </w:pPr>
            <w:r>
              <w:rPr>
                <w:rFonts w:ascii="宋体" w:hAnsi="宋体" w:eastAsia="宋体"/>
                <w:sz w:val="16"/>
              </w:rPr>
              <w:t>=2024年11月20日前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E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8F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D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C4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1C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514E">
            <w:pPr>
              <w:jc w:val="center"/>
            </w:pPr>
            <w:r>
              <w:rPr>
                <w:rFonts w:ascii="宋体" w:hAnsi="宋体" w:eastAsia="宋体"/>
                <w:sz w:val="16"/>
              </w:rPr>
              <w:t>=2024年9月23日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66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4AC7F">
            <w:pPr>
              <w:jc w:val="center"/>
            </w:pPr>
          </w:p>
        </w:tc>
      </w:tr>
      <w:tr w14:paraId="17500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D6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B6C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90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90CD">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9959">
            <w:pPr>
              <w:jc w:val="center"/>
            </w:pPr>
            <w:r>
              <w:rPr>
                <w:rFonts w:ascii="宋体" w:hAnsi="宋体" w:eastAsia="宋体"/>
                <w:sz w:val="16"/>
              </w:rPr>
              <w:t>&lt;=6847.05元/人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C8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F9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07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36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66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812C">
            <w:pPr>
              <w:jc w:val="center"/>
            </w:pPr>
            <w:r>
              <w:rPr>
                <w:rFonts w:ascii="宋体" w:hAnsi="宋体" w:eastAsia="宋体"/>
                <w:sz w:val="16"/>
              </w:rPr>
              <w:t>=6847.05元/人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8F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143A">
            <w:pPr>
              <w:jc w:val="center"/>
            </w:pPr>
          </w:p>
        </w:tc>
      </w:tr>
      <w:tr w14:paraId="197ED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FCF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8D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98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793C">
            <w:pPr>
              <w:jc w:val="center"/>
            </w:pPr>
            <w:r>
              <w:rPr>
                <w:rFonts w:ascii="宋体" w:hAnsi="宋体" w:eastAsia="宋体"/>
                <w:sz w:val="16"/>
              </w:rPr>
              <w:t>快速适应基层、融入基层打下良好基础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C776">
            <w:pPr>
              <w:jc w:val="center"/>
            </w:pPr>
            <w:r>
              <w:rPr>
                <w:rFonts w:ascii="宋体" w:hAnsi="宋体" w:eastAsia="宋体"/>
                <w:sz w:val="16"/>
              </w:rPr>
              <w:t>有效适应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9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2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68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04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78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681E">
            <w:pPr>
              <w:jc w:val="center"/>
            </w:pPr>
            <w:r>
              <w:rPr>
                <w:rFonts w:ascii="宋体" w:hAnsi="宋体" w:eastAsia="宋体"/>
                <w:sz w:val="16"/>
              </w:rPr>
              <w:t>有效适应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8CC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B398F">
            <w:pPr>
              <w:jc w:val="center"/>
            </w:pPr>
          </w:p>
        </w:tc>
      </w:tr>
      <w:tr w14:paraId="7CCD0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EC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9F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31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9F9F">
            <w:pPr>
              <w:jc w:val="center"/>
            </w:pPr>
            <w:r>
              <w:rPr>
                <w:rFonts w:ascii="宋体" w:hAnsi="宋体" w:eastAsia="宋体"/>
                <w:sz w:val="16"/>
              </w:rPr>
              <w:t>留疆战士满意度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826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CA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59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B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D9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B0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6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BF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02F2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8E32AA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B82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B5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32FF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487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803030"/>
        </w:tc>
      </w:tr>
    </w:tbl>
    <w:p w14:paraId="18FC8B22">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00"/>
        <w:gridCol w:w="857"/>
        <w:gridCol w:w="633"/>
        <w:gridCol w:w="573"/>
        <w:gridCol w:w="631"/>
      </w:tblGrid>
      <w:tr w14:paraId="6C9A31A5">
        <w:tblPrEx>
          <w:tblCellMar>
            <w:top w:w="0" w:type="dxa"/>
            <w:left w:w="108" w:type="dxa"/>
            <w:bottom w:w="0" w:type="dxa"/>
            <w:right w:w="108" w:type="dxa"/>
          </w:tblCellMar>
        </w:tblPrEx>
        <w:tc>
          <w:tcPr>
            <w:tcW w:w="8848" w:type="dxa"/>
            <w:gridSpan w:val="14"/>
            <w:vAlign w:val="center"/>
          </w:tcPr>
          <w:p w14:paraId="5A970385">
            <w:pPr>
              <w:jc w:val="center"/>
            </w:pPr>
            <w:r>
              <w:rPr>
                <w:rFonts w:ascii="宋体" w:hAnsi="宋体" w:eastAsia="宋体"/>
                <w:sz w:val="24"/>
              </w:rPr>
              <w:t>项目支出绩效自评表</w:t>
            </w:r>
          </w:p>
        </w:tc>
      </w:tr>
      <w:tr w14:paraId="38294290">
        <w:tblPrEx>
          <w:tblCellMar>
            <w:top w:w="0" w:type="dxa"/>
            <w:left w:w="108" w:type="dxa"/>
            <w:bottom w:w="0" w:type="dxa"/>
            <w:right w:w="108" w:type="dxa"/>
          </w:tblCellMar>
        </w:tblPrEx>
        <w:tc>
          <w:tcPr>
            <w:tcW w:w="8848" w:type="dxa"/>
            <w:gridSpan w:val="14"/>
            <w:vAlign w:val="center"/>
          </w:tcPr>
          <w:p w14:paraId="7805E2A5">
            <w:pPr>
              <w:jc w:val="center"/>
            </w:pPr>
            <w:r>
              <w:rPr>
                <w:rFonts w:ascii="宋体" w:hAnsi="宋体" w:eastAsia="宋体"/>
                <w:sz w:val="24"/>
              </w:rPr>
              <w:t>(2024年度)</w:t>
            </w:r>
          </w:p>
        </w:tc>
      </w:tr>
      <w:tr w14:paraId="0F78C9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20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AB2C37">
            <w:pPr>
              <w:jc w:val="center"/>
            </w:pPr>
            <w:r>
              <w:rPr>
                <w:rFonts w:ascii="宋体" w:hAnsi="宋体" w:eastAsia="宋体"/>
                <w:sz w:val="16"/>
              </w:rPr>
              <w:t>党校新校区教学楼2023年取暖费项目</w:t>
            </w:r>
          </w:p>
        </w:tc>
      </w:tr>
      <w:tr w14:paraId="16F007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A0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DAFCF">
            <w:pPr>
              <w:jc w:val="center"/>
            </w:pPr>
            <w:r>
              <w:rPr>
                <w:rFonts w:ascii="宋体" w:hAnsi="宋体" w:eastAsia="宋体"/>
                <w:sz w:val="16"/>
              </w:rPr>
              <w:t>中共岳普湖县委员会党校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F1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4170D8">
            <w:pPr>
              <w:jc w:val="center"/>
            </w:pPr>
            <w:r>
              <w:rPr>
                <w:rFonts w:ascii="宋体" w:hAnsi="宋体" w:eastAsia="宋体"/>
                <w:sz w:val="16"/>
              </w:rPr>
              <w:t>中共岳普湖县委员会党校</w:t>
            </w:r>
          </w:p>
        </w:tc>
      </w:tr>
      <w:tr w14:paraId="671BF7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215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7BA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F21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0A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795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8E5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77A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4749">
            <w:pPr>
              <w:jc w:val="center"/>
            </w:pPr>
            <w:r>
              <w:rPr>
                <w:rFonts w:ascii="宋体" w:hAnsi="宋体" w:eastAsia="宋体"/>
                <w:sz w:val="16"/>
              </w:rPr>
              <w:t>得分</w:t>
            </w:r>
          </w:p>
        </w:tc>
      </w:tr>
      <w:tr w14:paraId="3A8C0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64E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A76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596C">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EB84E">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F8126">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B5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9E4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7D82">
            <w:pPr>
              <w:jc w:val="center"/>
            </w:pPr>
            <w:r>
              <w:rPr>
                <w:rFonts w:ascii="宋体" w:hAnsi="宋体" w:eastAsia="宋体"/>
                <w:sz w:val="16"/>
              </w:rPr>
              <w:t>10.00分</w:t>
            </w:r>
          </w:p>
        </w:tc>
      </w:tr>
      <w:tr w14:paraId="3A050E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408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FF2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68D97">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687A4">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0ADA9">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15B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1CC0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6249">
            <w:pPr>
              <w:jc w:val="center"/>
            </w:pPr>
            <w:r>
              <w:rPr>
                <w:rFonts w:ascii="宋体" w:hAnsi="宋体" w:eastAsia="宋体"/>
                <w:sz w:val="16"/>
              </w:rPr>
              <w:t>—</w:t>
            </w:r>
          </w:p>
        </w:tc>
      </w:tr>
      <w:tr w14:paraId="35D2B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387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5B4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2BB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EB0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636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388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3E2A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3537">
            <w:pPr>
              <w:jc w:val="center"/>
            </w:pPr>
            <w:r>
              <w:rPr>
                <w:rFonts w:ascii="宋体" w:hAnsi="宋体" w:eastAsia="宋体"/>
                <w:sz w:val="16"/>
              </w:rPr>
              <w:t>—</w:t>
            </w:r>
          </w:p>
        </w:tc>
      </w:tr>
      <w:tr w14:paraId="14FCAB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A39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ACC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36754A">
            <w:pPr>
              <w:jc w:val="center"/>
            </w:pPr>
            <w:r>
              <w:rPr>
                <w:rFonts w:ascii="宋体" w:hAnsi="宋体" w:eastAsia="宋体"/>
                <w:sz w:val="16"/>
              </w:rPr>
              <w:t>实际完成情况</w:t>
            </w:r>
          </w:p>
        </w:tc>
      </w:tr>
      <w:tr w14:paraId="76DDA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09C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D58E2">
            <w:pPr>
              <w:jc w:val="both"/>
            </w:pPr>
            <w:r>
              <w:rPr>
                <w:rFonts w:ascii="宋体" w:hAnsi="宋体" w:eastAsia="宋体"/>
                <w:sz w:val="16"/>
              </w:rPr>
              <w:t>为进一步保障新校区的供暖工作，对3801.63平方米的新校区教学楼缴纳2023年度暖气费；每平方米22元。项目的实施保障校区冬季的正常供暖。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5C72D">
            <w:pPr>
              <w:jc w:val="both"/>
            </w:pPr>
            <w:r>
              <w:rPr>
                <w:rFonts w:ascii="宋体" w:hAnsi="宋体" w:eastAsia="宋体"/>
                <w:sz w:val="16"/>
              </w:rPr>
              <w:t>已完成对3801.63平方米的新校区教学楼2023年度暖气费的缴纳；预算执行率为100%。项目的实施保障校区冬季的正常供暖。</w:t>
            </w:r>
          </w:p>
        </w:tc>
      </w:tr>
      <w:tr w14:paraId="562CE8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D13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2E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33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FF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AF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55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7B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60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F9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2C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57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044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A2DE4">
            <w:pPr>
              <w:jc w:val="center"/>
            </w:pPr>
            <w:r>
              <w:rPr>
                <w:rFonts w:ascii="宋体" w:hAnsi="宋体" w:eastAsia="宋体"/>
                <w:sz w:val="16"/>
              </w:rPr>
              <w:t>偏差原因分析及改进措施</w:t>
            </w:r>
          </w:p>
        </w:tc>
      </w:tr>
      <w:tr w14:paraId="021819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CBC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BF3B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8E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32C0">
            <w:pPr>
              <w:jc w:val="center"/>
            </w:pPr>
            <w:r>
              <w:rPr>
                <w:rFonts w:ascii="宋体" w:hAnsi="宋体" w:eastAsia="宋体"/>
                <w:sz w:val="16"/>
              </w:rPr>
              <w:t>新校区教学楼采暖面积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F52C">
            <w:pPr>
              <w:jc w:val="center"/>
            </w:pPr>
            <w:r>
              <w:rPr>
                <w:rFonts w:ascii="宋体" w:hAnsi="宋体" w:eastAsia="宋体"/>
                <w:sz w:val="16"/>
              </w:rPr>
              <w:t>&gt;=3801.63平方米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4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03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35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95A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35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C7F4">
            <w:pPr>
              <w:jc w:val="center"/>
            </w:pPr>
            <w:r>
              <w:rPr>
                <w:rFonts w:ascii="宋体" w:hAnsi="宋体" w:eastAsia="宋体"/>
                <w:sz w:val="16"/>
              </w:rPr>
              <w:t>=3801.63平方米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63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A66F8">
            <w:pPr>
              <w:jc w:val="center"/>
            </w:pPr>
          </w:p>
        </w:tc>
      </w:tr>
      <w:tr w14:paraId="6E036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4F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CAB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BC6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C64A">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9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5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9E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85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C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2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A2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02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977C2">
            <w:pPr>
              <w:jc w:val="center"/>
            </w:pPr>
          </w:p>
        </w:tc>
      </w:tr>
      <w:tr w14:paraId="766A7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F4F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F0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64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92C8">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B2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4D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72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21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B5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B2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5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2E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FC10E">
            <w:pPr>
              <w:jc w:val="center"/>
            </w:pPr>
          </w:p>
        </w:tc>
      </w:tr>
      <w:tr w14:paraId="3E84EE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05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050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406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EBD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E3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4E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2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1C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A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EC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9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245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2ECFA">
            <w:pPr>
              <w:jc w:val="center"/>
            </w:pPr>
          </w:p>
        </w:tc>
      </w:tr>
      <w:tr w14:paraId="7F6D6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50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96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F09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276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2616">
            <w:pPr>
              <w:jc w:val="center"/>
            </w:pPr>
            <w:r>
              <w:rPr>
                <w:rFonts w:ascii="宋体" w:hAnsi="宋体" w:eastAsia="宋体"/>
                <w:sz w:val="16"/>
              </w:rPr>
              <w:t>=2024年3月4日前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42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E1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39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D2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A5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75D8">
            <w:pPr>
              <w:jc w:val="center"/>
            </w:pPr>
            <w:r>
              <w:rPr>
                <w:rFonts w:ascii="宋体" w:hAnsi="宋体" w:eastAsia="宋体"/>
                <w:sz w:val="16"/>
              </w:rPr>
              <w:t>2024年2月7日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50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F7D13">
            <w:pPr>
              <w:jc w:val="center"/>
            </w:pPr>
          </w:p>
        </w:tc>
      </w:tr>
      <w:tr w14:paraId="2AC8A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7C3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B5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6D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578F">
            <w:pPr>
              <w:jc w:val="center"/>
            </w:pPr>
            <w:r>
              <w:rPr>
                <w:rFonts w:ascii="宋体" w:hAnsi="宋体" w:eastAsia="宋体"/>
                <w:sz w:val="16"/>
              </w:rPr>
              <w:t>采暖费标准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DB56">
            <w:pPr>
              <w:jc w:val="center"/>
            </w:pPr>
            <w:r>
              <w:rPr>
                <w:rFonts w:ascii="宋体" w:hAnsi="宋体" w:eastAsia="宋体"/>
                <w:sz w:val="16"/>
              </w:rPr>
              <w:t>&lt;=22元/平方米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28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4E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7F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2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41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AD5C">
            <w:pPr>
              <w:jc w:val="center"/>
            </w:pPr>
            <w:r>
              <w:rPr>
                <w:rFonts w:ascii="宋体" w:hAnsi="宋体" w:eastAsia="宋体"/>
                <w:sz w:val="16"/>
              </w:rPr>
              <w:t>=22元/平方米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6B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D10A">
            <w:pPr>
              <w:jc w:val="center"/>
            </w:pPr>
          </w:p>
        </w:tc>
      </w:tr>
      <w:tr w14:paraId="68190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88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4F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ED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CDEC">
            <w:pPr>
              <w:jc w:val="center"/>
            </w:pPr>
            <w:r>
              <w:rPr>
                <w:rFonts w:ascii="宋体" w:hAnsi="宋体" w:eastAsia="宋体"/>
                <w:sz w:val="16"/>
              </w:rPr>
              <w:t>保障校区冬季的正常供暖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4F9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4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CE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231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2D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BA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D0A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428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50C3C">
            <w:pPr>
              <w:jc w:val="center"/>
            </w:pPr>
          </w:p>
        </w:tc>
      </w:tr>
      <w:tr w14:paraId="7731EF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E33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6B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BAA1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1C1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B34683"/>
        </w:tc>
      </w:tr>
    </w:tbl>
    <w:p w14:paraId="6D03FDD2">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00"/>
        <w:gridCol w:w="857"/>
        <w:gridCol w:w="633"/>
        <w:gridCol w:w="573"/>
        <w:gridCol w:w="631"/>
      </w:tblGrid>
      <w:tr w14:paraId="3AB52771">
        <w:tblPrEx>
          <w:tblCellMar>
            <w:top w:w="0" w:type="dxa"/>
            <w:left w:w="108" w:type="dxa"/>
            <w:bottom w:w="0" w:type="dxa"/>
            <w:right w:w="108" w:type="dxa"/>
          </w:tblCellMar>
        </w:tblPrEx>
        <w:tc>
          <w:tcPr>
            <w:tcW w:w="8848" w:type="dxa"/>
            <w:gridSpan w:val="14"/>
            <w:vAlign w:val="center"/>
          </w:tcPr>
          <w:p w14:paraId="0FD07729">
            <w:pPr>
              <w:jc w:val="center"/>
            </w:pPr>
            <w:r>
              <w:rPr>
                <w:rFonts w:ascii="宋体" w:hAnsi="宋体" w:eastAsia="宋体"/>
                <w:sz w:val="24"/>
              </w:rPr>
              <w:t>项目支出绩效自评表</w:t>
            </w:r>
          </w:p>
        </w:tc>
      </w:tr>
      <w:tr w14:paraId="11F93539">
        <w:tblPrEx>
          <w:tblCellMar>
            <w:top w:w="0" w:type="dxa"/>
            <w:left w:w="108" w:type="dxa"/>
            <w:bottom w:w="0" w:type="dxa"/>
            <w:right w:w="108" w:type="dxa"/>
          </w:tblCellMar>
        </w:tblPrEx>
        <w:tc>
          <w:tcPr>
            <w:tcW w:w="8848" w:type="dxa"/>
            <w:gridSpan w:val="14"/>
            <w:vAlign w:val="center"/>
          </w:tcPr>
          <w:p w14:paraId="6CFA75E9">
            <w:pPr>
              <w:jc w:val="center"/>
            </w:pPr>
            <w:r>
              <w:rPr>
                <w:rFonts w:ascii="宋体" w:hAnsi="宋体" w:eastAsia="宋体"/>
                <w:sz w:val="24"/>
              </w:rPr>
              <w:t>(2024年度)</w:t>
            </w:r>
          </w:p>
        </w:tc>
      </w:tr>
      <w:tr w14:paraId="0A648F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09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9D3C90">
            <w:pPr>
              <w:jc w:val="center"/>
            </w:pPr>
            <w:r>
              <w:rPr>
                <w:rFonts w:ascii="宋体" w:hAnsi="宋体" w:eastAsia="宋体"/>
                <w:sz w:val="16"/>
              </w:rPr>
              <w:t>党校新校区教学楼2024年取暖费项目</w:t>
            </w:r>
          </w:p>
        </w:tc>
      </w:tr>
      <w:tr w14:paraId="6A744A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D0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DCC7C1">
            <w:pPr>
              <w:jc w:val="center"/>
            </w:pPr>
            <w:r>
              <w:rPr>
                <w:rFonts w:ascii="宋体" w:hAnsi="宋体" w:eastAsia="宋体"/>
                <w:sz w:val="16"/>
              </w:rPr>
              <w:t>中共岳普湖县委员会党校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4F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19F30C">
            <w:pPr>
              <w:jc w:val="center"/>
            </w:pPr>
            <w:r>
              <w:rPr>
                <w:rFonts w:ascii="宋体" w:hAnsi="宋体" w:eastAsia="宋体"/>
                <w:sz w:val="16"/>
              </w:rPr>
              <w:t>中共岳普湖县委员会党校</w:t>
            </w:r>
          </w:p>
        </w:tc>
      </w:tr>
      <w:tr w14:paraId="50AF21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21A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F6A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13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D60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9E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12E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393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0E88">
            <w:pPr>
              <w:jc w:val="center"/>
            </w:pPr>
            <w:r>
              <w:rPr>
                <w:rFonts w:ascii="宋体" w:hAnsi="宋体" w:eastAsia="宋体"/>
                <w:sz w:val="16"/>
              </w:rPr>
              <w:t>得分</w:t>
            </w:r>
          </w:p>
        </w:tc>
      </w:tr>
      <w:tr w14:paraId="2BA81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A87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AAA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D13B">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EBFF4">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51B77">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1CE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5AD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6CCA">
            <w:pPr>
              <w:jc w:val="center"/>
            </w:pPr>
            <w:r>
              <w:rPr>
                <w:rFonts w:ascii="宋体" w:hAnsi="宋体" w:eastAsia="宋体"/>
                <w:sz w:val="16"/>
              </w:rPr>
              <w:t>10.00分</w:t>
            </w:r>
          </w:p>
        </w:tc>
      </w:tr>
      <w:tr w14:paraId="52E91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4DD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7A7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DC4BE">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575D9">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702F7">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7A5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06A4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51CA">
            <w:pPr>
              <w:jc w:val="center"/>
            </w:pPr>
            <w:r>
              <w:rPr>
                <w:rFonts w:ascii="宋体" w:hAnsi="宋体" w:eastAsia="宋体"/>
                <w:sz w:val="16"/>
              </w:rPr>
              <w:t>—</w:t>
            </w:r>
          </w:p>
        </w:tc>
      </w:tr>
      <w:tr w14:paraId="67E68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1F3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793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13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323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563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2B3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3A3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143A">
            <w:pPr>
              <w:jc w:val="center"/>
            </w:pPr>
            <w:r>
              <w:rPr>
                <w:rFonts w:ascii="宋体" w:hAnsi="宋体" w:eastAsia="宋体"/>
                <w:sz w:val="16"/>
              </w:rPr>
              <w:t>—</w:t>
            </w:r>
          </w:p>
        </w:tc>
      </w:tr>
      <w:tr w14:paraId="73EA00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BEE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F961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218E46">
            <w:pPr>
              <w:jc w:val="center"/>
            </w:pPr>
            <w:r>
              <w:rPr>
                <w:rFonts w:ascii="宋体" w:hAnsi="宋体" w:eastAsia="宋体"/>
                <w:sz w:val="16"/>
              </w:rPr>
              <w:t>实际完成情况</w:t>
            </w:r>
          </w:p>
        </w:tc>
      </w:tr>
      <w:tr w14:paraId="341A5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D0C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4F8CA">
            <w:pPr>
              <w:jc w:val="both"/>
            </w:pPr>
            <w:r>
              <w:rPr>
                <w:rFonts w:ascii="宋体" w:hAnsi="宋体" w:eastAsia="宋体"/>
                <w:sz w:val="16"/>
              </w:rPr>
              <w:t>为进一步保障新校区的供暖工作，对3801.63平方米的新校区教学楼缴纳2024年度暖气费；每平方米22元。项目的实施保障校区冬季的正常供暖。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64BB90">
            <w:pPr>
              <w:jc w:val="both"/>
            </w:pPr>
            <w:r>
              <w:rPr>
                <w:rFonts w:ascii="宋体" w:hAnsi="宋体" w:eastAsia="宋体"/>
                <w:sz w:val="16"/>
              </w:rPr>
              <w:t>已完成对3801.63平方米的新校区教学楼2024年度暖气费的缴纳。预算执行率为100%。项目的实施保障校区冬季的正常供暖。</w:t>
            </w:r>
          </w:p>
        </w:tc>
      </w:tr>
      <w:tr w14:paraId="5C3260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4CA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D3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1A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3F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5E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49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A6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1C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06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28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0B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0E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C62E8">
            <w:pPr>
              <w:jc w:val="center"/>
            </w:pPr>
            <w:r>
              <w:rPr>
                <w:rFonts w:ascii="宋体" w:hAnsi="宋体" w:eastAsia="宋体"/>
                <w:sz w:val="16"/>
              </w:rPr>
              <w:t>偏差原因分析及改进措施</w:t>
            </w:r>
          </w:p>
        </w:tc>
      </w:tr>
      <w:tr w14:paraId="3E4063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90F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2D1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A6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AEC9">
            <w:pPr>
              <w:jc w:val="center"/>
            </w:pPr>
            <w:r>
              <w:rPr>
                <w:rFonts w:ascii="宋体" w:hAnsi="宋体" w:eastAsia="宋体"/>
                <w:sz w:val="16"/>
              </w:rPr>
              <w:t>新校区教学楼采暖面积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67D4">
            <w:pPr>
              <w:jc w:val="center"/>
            </w:pPr>
            <w:r>
              <w:rPr>
                <w:rFonts w:ascii="宋体" w:hAnsi="宋体" w:eastAsia="宋体"/>
                <w:sz w:val="16"/>
              </w:rPr>
              <w:t>&gt;=3801.63平方米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2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48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6E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F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07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2B24">
            <w:pPr>
              <w:jc w:val="center"/>
            </w:pPr>
            <w:r>
              <w:rPr>
                <w:rFonts w:ascii="宋体" w:hAnsi="宋体" w:eastAsia="宋体"/>
                <w:sz w:val="16"/>
              </w:rPr>
              <w:t>=3801.63平方米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15D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936A7">
            <w:pPr>
              <w:jc w:val="center"/>
            </w:pPr>
          </w:p>
        </w:tc>
      </w:tr>
      <w:tr w14:paraId="4CC72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A6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B60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61A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C4C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5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F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C9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D0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D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29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9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4E8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12E3F">
            <w:pPr>
              <w:jc w:val="center"/>
            </w:pPr>
          </w:p>
        </w:tc>
      </w:tr>
      <w:tr w14:paraId="2A8B2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DD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34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7E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018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9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6F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B2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08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5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5A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FA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B2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D1051">
            <w:pPr>
              <w:jc w:val="center"/>
            </w:pPr>
          </w:p>
        </w:tc>
      </w:tr>
      <w:tr w14:paraId="668A0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BD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EEE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71E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3E5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1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66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C3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91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B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00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2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1F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645D7">
            <w:pPr>
              <w:jc w:val="center"/>
            </w:pPr>
          </w:p>
        </w:tc>
      </w:tr>
      <w:tr w14:paraId="0DA01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2A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13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77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D362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B876">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8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18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EF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30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C9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E7B6">
            <w:pPr>
              <w:jc w:val="center"/>
            </w:pPr>
            <w:r>
              <w:rPr>
                <w:rFonts w:ascii="宋体" w:hAnsi="宋体" w:eastAsia="宋体"/>
                <w:sz w:val="16"/>
              </w:rPr>
              <w:t>=2024年11月15日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80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3A1DF">
            <w:pPr>
              <w:jc w:val="center"/>
            </w:pPr>
          </w:p>
        </w:tc>
      </w:tr>
      <w:tr w14:paraId="25451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52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20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AE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1A5A">
            <w:pPr>
              <w:jc w:val="center"/>
            </w:pPr>
            <w:r>
              <w:rPr>
                <w:rFonts w:ascii="宋体" w:hAnsi="宋体" w:eastAsia="宋体"/>
                <w:sz w:val="16"/>
              </w:rPr>
              <w:t>采暖费标准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128A">
            <w:pPr>
              <w:jc w:val="center"/>
            </w:pPr>
            <w:r>
              <w:rPr>
                <w:rFonts w:ascii="宋体" w:hAnsi="宋体" w:eastAsia="宋体"/>
                <w:sz w:val="16"/>
              </w:rPr>
              <w:t>&lt;=22元/平方米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4D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7F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47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7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11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FD61">
            <w:pPr>
              <w:jc w:val="center"/>
            </w:pPr>
            <w:r>
              <w:rPr>
                <w:rFonts w:ascii="宋体" w:hAnsi="宋体" w:eastAsia="宋体"/>
                <w:sz w:val="16"/>
              </w:rPr>
              <w:t>=22元/平方米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07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DE6D9">
            <w:pPr>
              <w:jc w:val="center"/>
            </w:pPr>
          </w:p>
        </w:tc>
      </w:tr>
      <w:tr w14:paraId="53561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0F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C4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5C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3A94">
            <w:pPr>
              <w:jc w:val="center"/>
            </w:pPr>
            <w:r>
              <w:rPr>
                <w:rFonts w:ascii="宋体" w:hAnsi="宋体" w:eastAsia="宋体"/>
                <w:sz w:val="16"/>
              </w:rPr>
              <w:t>保障校区冬季的正常供暖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81F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F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80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8FED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EE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8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EDB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602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4A328">
            <w:pPr>
              <w:jc w:val="center"/>
            </w:pPr>
          </w:p>
        </w:tc>
      </w:tr>
      <w:tr w14:paraId="326494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FA1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6E9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3F3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6F1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B6B6D9"/>
        </w:tc>
      </w:tr>
    </w:tbl>
    <w:p w14:paraId="1E9633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2381A2F">
        <w:tblPrEx>
          <w:tblCellMar>
            <w:top w:w="0" w:type="dxa"/>
            <w:left w:w="108" w:type="dxa"/>
            <w:bottom w:w="0" w:type="dxa"/>
            <w:right w:w="108" w:type="dxa"/>
          </w:tblCellMar>
        </w:tblPrEx>
        <w:tc>
          <w:tcPr>
            <w:tcW w:w="8848" w:type="dxa"/>
            <w:gridSpan w:val="14"/>
            <w:vAlign w:val="center"/>
          </w:tcPr>
          <w:p w14:paraId="2D9E19DA">
            <w:pPr>
              <w:jc w:val="center"/>
            </w:pPr>
            <w:r>
              <w:rPr>
                <w:rFonts w:ascii="宋体" w:hAnsi="宋体" w:eastAsia="宋体"/>
                <w:sz w:val="24"/>
              </w:rPr>
              <w:t>项目支出绩效自评表</w:t>
            </w:r>
          </w:p>
        </w:tc>
      </w:tr>
      <w:tr w14:paraId="26D5B16C">
        <w:tblPrEx>
          <w:tblCellMar>
            <w:top w:w="0" w:type="dxa"/>
            <w:left w:w="108" w:type="dxa"/>
            <w:bottom w:w="0" w:type="dxa"/>
            <w:right w:w="108" w:type="dxa"/>
          </w:tblCellMar>
        </w:tblPrEx>
        <w:tc>
          <w:tcPr>
            <w:tcW w:w="8848" w:type="dxa"/>
            <w:gridSpan w:val="14"/>
            <w:vAlign w:val="center"/>
          </w:tcPr>
          <w:p w14:paraId="569A940F">
            <w:pPr>
              <w:jc w:val="center"/>
            </w:pPr>
            <w:r>
              <w:rPr>
                <w:rFonts w:ascii="宋体" w:hAnsi="宋体" w:eastAsia="宋体"/>
                <w:sz w:val="24"/>
              </w:rPr>
              <w:t>(2024年度)</w:t>
            </w:r>
          </w:p>
        </w:tc>
      </w:tr>
      <w:tr w14:paraId="6CD1CF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CF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AA8B57">
            <w:pPr>
              <w:jc w:val="center"/>
            </w:pPr>
            <w:r>
              <w:rPr>
                <w:rFonts w:ascii="宋体" w:hAnsi="宋体" w:eastAsia="宋体"/>
                <w:sz w:val="16"/>
              </w:rPr>
              <w:t>党校新校区教学楼报告厅采购电子屏幕项目</w:t>
            </w:r>
          </w:p>
        </w:tc>
      </w:tr>
      <w:tr w14:paraId="792C94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0A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8DC88">
            <w:pPr>
              <w:jc w:val="center"/>
            </w:pPr>
            <w:r>
              <w:rPr>
                <w:rFonts w:ascii="宋体" w:hAnsi="宋体" w:eastAsia="宋体"/>
                <w:sz w:val="16"/>
              </w:rPr>
              <w:t>中共岳普湖县委员会党校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B6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8F8CEA">
            <w:pPr>
              <w:jc w:val="center"/>
            </w:pPr>
            <w:r>
              <w:rPr>
                <w:rFonts w:ascii="宋体" w:hAnsi="宋体" w:eastAsia="宋体"/>
                <w:sz w:val="16"/>
              </w:rPr>
              <w:t>中共岳普湖县委员会党校</w:t>
            </w:r>
          </w:p>
        </w:tc>
      </w:tr>
      <w:tr w14:paraId="4C1D9A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0B7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53B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9AD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8A2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30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0E2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068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CED0">
            <w:pPr>
              <w:jc w:val="center"/>
            </w:pPr>
            <w:r>
              <w:rPr>
                <w:rFonts w:ascii="宋体" w:hAnsi="宋体" w:eastAsia="宋体"/>
                <w:sz w:val="16"/>
              </w:rPr>
              <w:t>得分</w:t>
            </w:r>
          </w:p>
        </w:tc>
      </w:tr>
      <w:tr w14:paraId="712C0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02A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7B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6482B">
            <w:pPr>
              <w:jc w:val="center"/>
            </w:pPr>
            <w:r>
              <w:rPr>
                <w:rFonts w:ascii="宋体" w:hAnsi="宋体" w:eastAsia="宋体"/>
                <w:sz w:val="16"/>
              </w:rPr>
              <w:t>18.79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B84E3">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7DD5">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F34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98C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9CC2">
            <w:pPr>
              <w:jc w:val="center"/>
            </w:pPr>
            <w:r>
              <w:rPr>
                <w:rFonts w:ascii="宋体" w:hAnsi="宋体" w:eastAsia="宋体"/>
                <w:sz w:val="16"/>
              </w:rPr>
              <w:t>10.00分</w:t>
            </w:r>
          </w:p>
        </w:tc>
      </w:tr>
      <w:tr w14:paraId="6B97F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F83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E2F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D68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A2A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081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9DD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7B72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3877">
            <w:pPr>
              <w:jc w:val="center"/>
            </w:pPr>
            <w:r>
              <w:rPr>
                <w:rFonts w:ascii="宋体" w:hAnsi="宋体" w:eastAsia="宋体"/>
                <w:sz w:val="16"/>
              </w:rPr>
              <w:t>—</w:t>
            </w:r>
          </w:p>
        </w:tc>
      </w:tr>
      <w:tr w14:paraId="04103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B1E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09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7D1DA">
            <w:pPr>
              <w:jc w:val="center"/>
            </w:pPr>
            <w:r>
              <w:rPr>
                <w:rFonts w:ascii="宋体" w:hAnsi="宋体" w:eastAsia="宋体"/>
                <w:sz w:val="16"/>
              </w:rPr>
              <w:t>18.79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53CB5">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E7DA6">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971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3FA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D6AD">
            <w:pPr>
              <w:jc w:val="center"/>
            </w:pPr>
            <w:r>
              <w:rPr>
                <w:rFonts w:ascii="宋体" w:hAnsi="宋体" w:eastAsia="宋体"/>
                <w:sz w:val="16"/>
              </w:rPr>
              <w:t>—</w:t>
            </w:r>
          </w:p>
        </w:tc>
      </w:tr>
      <w:tr w14:paraId="259026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7D5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D07E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6B5E4C">
            <w:pPr>
              <w:jc w:val="center"/>
            </w:pPr>
            <w:r>
              <w:rPr>
                <w:rFonts w:ascii="宋体" w:hAnsi="宋体" w:eastAsia="宋体"/>
                <w:sz w:val="16"/>
              </w:rPr>
              <w:t>实际完成情况</w:t>
            </w:r>
          </w:p>
        </w:tc>
      </w:tr>
      <w:tr w14:paraId="325D7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22E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7531E">
            <w:pPr>
              <w:jc w:val="both"/>
            </w:pPr>
            <w:r>
              <w:rPr>
                <w:rFonts w:ascii="宋体" w:hAnsi="宋体" w:eastAsia="宋体"/>
                <w:sz w:val="16"/>
              </w:rPr>
              <w:t>为满足新时代大规模党员干部教育培训工作的需要，现采购1</w:t>
            </w:r>
            <w:r>
              <w:rPr>
                <w:rFonts w:hint="eastAsia" w:ascii="宋体" w:hAnsi="宋体"/>
                <w:sz w:val="16"/>
                <w:lang w:eastAsia="zh-CN"/>
              </w:rPr>
              <w:t>块</w:t>
            </w:r>
            <w:r>
              <w:rPr>
                <w:rFonts w:ascii="宋体" w:hAnsi="宋体" w:eastAsia="宋体"/>
                <w:sz w:val="16"/>
              </w:rPr>
              <w:t>电子屏幕用于党校报告厅。项目的实施更好</w:t>
            </w:r>
            <w:r>
              <w:rPr>
                <w:rFonts w:hint="eastAsia" w:ascii="宋体" w:hAnsi="宋体"/>
                <w:sz w:val="16"/>
                <w:lang w:eastAsia="zh-CN"/>
              </w:rPr>
              <w:t>地</w:t>
            </w:r>
            <w:r>
              <w:rPr>
                <w:rFonts w:ascii="宋体" w:hAnsi="宋体" w:eastAsia="宋体"/>
                <w:sz w:val="16"/>
              </w:rPr>
              <w:t>发挥党校主阵地、主渠道、主力军作用。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5B39E">
            <w:pPr>
              <w:jc w:val="both"/>
            </w:pPr>
            <w:r>
              <w:rPr>
                <w:rFonts w:ascii="宋体" w:hAnsi="宋体" w:eastAsia="宋体"/>
                <w:sz w:val="16"/>
              </w:rPr>
              <w:t>现阶段已完成1</w:t>
            </w:r>
            <w:r>
              <w:rPr>
                <w:rFonts w:hint="eastAsia" w:ascii="宋体" w:hAnsi="宋体"/>
                <w:sz w:val="16"/>
                <w:lang w:eastAsia="zh-CN"/>
              </w:rPr>
              <w:t>块</w:t>
            </w:r>
            <w:r>
              <w:rPr>
                <w:rFonts w:ascii="宋体" w:hAnsi="宋体" w:eastAsia="宋体"/>
                <w:sz w:val="16"/>
              </w:rPr>
              <w:t>电子屏幕的采购，主要用于党校报告厅。预算执行率为100%。项目的实施更好</w:t>
            </w:r>
            <w:r>
              <w:rPr>
                <w:rFonts w:hint="eastAsia" w:ascii="宋体" w:hAnsi="宋体"/>
                <w:sz w:val="16"/>
                <w:lang w:eastAsia="zh-CN"/>
              </w:rPr>
              <w:t>地</w:t>
            </w:r>
            <w:r>
              <w:rPr>
                <w:rFonts w:ascii="宋体" w:hAnsi="宋体" w:eastAsia="宋体"/>
                <w:sz w:val="16"/>
              </w:rPr>
              <w:t>发挥党校主阵地、主渠道、主力军作用。</w:t>
            </w:r>
          </w:p>
        </w:tc>
      </w:tr>
      <w:tr w14:paraId="46461C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135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0E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5D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D9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0C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97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7F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AB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EC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CF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31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51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A649">
            <w:pPr>
              <w:jc w:val="center"/>
            </w:pPr>
            <w:r>
              <w:rPr>
                <w:rFonts w:ascii="宋体" w:hAnsi="宋体" w:eastAsia="宋体"/>
                <w:sz w:val="16"/>
              </w:rPr>
              <w:t>偏差原因分析及改进措施</w:t>
            </w:r>
          </w:p>
        </w:tc>
      </w:tr>
      <w:tr w14:paraId="08915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8E3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491C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61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1DE2">
            <w:pPr>
              <w:jc w:val="center"/>
            </w:pPr>
            <w:r>
              <w:rPr>
                <w:rFonts w:ascii="宋体" w:hAnsi="宋体" w:eastAsia="宋体"/>
                <w:sz w:val="16"/>
              </w:rPr>
              <w:t>采购电子屏幕数量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F332">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63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4C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73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22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43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60EB">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08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2CD45">
            <w:pPr>
              <w:jc w:val="center"/>
            </w:pPr>
          </w:p>
        </w:tc>
      </w:tr>
      <w:tr w14:paraId="67B73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B5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DAE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7D7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CF0C">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6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09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D2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5B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1C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5A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9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17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A4F49">
            <w:pPr>
              <w:jc w:val="center"/>
            </w:pPr>
          </w:p>
        </w:tc>
      </w:tr>
      <w:tr w14:paraId="1944D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C7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51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3E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776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33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5D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3E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831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BF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2F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5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E9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4B16F">
            <w:pPr>
              <w:jc w:val="center"/>
            </w:pPr>
          </w:p>
        </w:tc>
      </w:tr>
      <w:tr w14:paraId="7F159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8E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B48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596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F6D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B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1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3A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E8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7E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33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02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13F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12707">
            <w:pPr>
              <w:jc w:val="center"/>
            </w:pPr>
          </w:p>
        </w:tc>
      </w:tr>
      <w:tr w14:paraId="32904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4A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AF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44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C13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13A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2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09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5C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58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32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8316">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7E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815DE">
            <w:pPr>
              <w:jc w:val="center"/>
            </w:pPr>
          </w:p>
        </w:tc>
      </w:tr>
      <w:tr w14:paraId="012F5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4F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FC8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4E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97E0">
            <w:pPr>
              <w:jc w:val="center"/>
            </w:pPr>
            <w:r>
              <w:rPr>
                <w:rFonts w:ascii="宋体" w:hAnsi="宋体" w:eastAsia="宋体"/>
                <w:sz w:val="16"/>
              </w:rPr>
              <w:t>电子屏幕单位成本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7314">
            <w:pPr>
              <w:jc w:val="center"/>
            </w:pPr>
            <w:r>
              <w:rPr>
                <w:rFonts w:ascii="宋体" w:hAnsi="宋体" w:eastAsia="宋体"/>
                <w:sz w:val="16"/>
              </w:rPr>
              <w:t>&lt;=19.4万元/台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D8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B5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32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28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33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3198">
            <w:pPr>
              <w:jc w:val="center"/>
            </w:pPr>
            <w:r>
              <w:rPr>
                <w:rFonts w:ascii="宋体" w:hAnsi="宋体" w:eastAsia="宋体"/>
                <w:sz w:val="16"/>
              </w:rPr>
              <w:t>=19.4万元/台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F6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1483D">
            <w:pPr>
              <w:jc w:val="center"/>
            </w:pPr>
          </w:p>
        </w:tc>
      </w:tr>
      <w:tr w14:paraId="4900D8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31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02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27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D450">
            <w:pPr>
              <w:jc w:val="center"/>
            </w:pPr>
            <w:r>
              <w:rPr>
                <w:rFonts w:ascii="宋体" w:hAnsi="宋体" w:eastAsia="宋体"/>
                <w:sz w:val="16"/>
              </w:rPr>
              <w:t>发挥党校主阵地、主渠道、主力军作用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13E1">
            <w:pPr>
              <w:jc w:val="center"/>
            </w:pPr>
            <w:r>
              <w:rPr>
                <w:rFonts w:ascii="宋体" w:hAnsi="宋体" w:eastAsia="宋体"/>
                <w:sz w:val="16"/>
              </w:rPr>
              <w:t>持续发挥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0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72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13D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AD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A4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5301">
            <w:pPr>
              <w:jc w:val="center"/>
            </w:pPr>
            <w:r>
              <w:rPr>
                <w:rFonts w:ascii="宋体" w:hAnsi="宋体" w:eastAsia="宋体"/>
                <w:sz w:val="16"/>
              </w:rPr>
              <w:t>持续发挥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E72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4DA51">
            <w:pPr>
              <w:jc w:val="center"/>
            </w:pPr>
          </w:p>
        </w:tc>
      </w:tr>
      <w:tr w14:paraId="5D8EFF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96E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21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213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82B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8CE050"/>
        </w:tc>
      </w:tr>
    </w:tbl>
    <w:p w14:paraId="039747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A267D88">
        <w:tblPrEx>
          <w:tblCellMar>
            <w:top w:w="0" w:type="dxa"/>
            <w:left w:w="108" w:type="dxa"/>
            <w:bottom w:w="0" w:type="dxa"/>
            <w:right w:w="108" w:type="dxa"/>
          </w:tblCellMar>
        </w:tblPrEx>
        <w:tc>
          <w:tcPr>
            <w:tcW w:w="8848" w:type="dxa"/>
            <w:gridSpan w:val="14"/>
            <w:vAlign w:val="center"/>
          </w:tcPr>
          <w:p w14:paraId="7341AF74">
            <w:pPr>
              <w:jc w:val="center"/>
            </w:pPr>
            <w:r>
              <w:rPr>
                <w:rFonts w:ascii="宋体" w:hAnsi="宋体" w:eastAsia="宋体"/>
                <w:sz w:val="24"/>
              </w:rPr>
              <w:t>项目支出绩效自评表</w:t>
            </w:r>
          </w:p>
        </w:tc>
      </w:tr>
      <w:tr w14:paraId="195F450A">
        <w:tblPrEx>
          <w:tblCellMar>
            <w:top w:w="0" w:type="dxa"/>
            <w:left w:w="108" w:type="dxa"/>
            <w:bottom w:w="0" w:type="dxa"/>
            <w:right w:w="108" w:type="dxa"/>
          </w:tblCellMar>
        </w:tblPrEx>
        <w:tc>
          <w:tcPr>
            <w:tcW w:w="8848" w:type="dxa"/>
            <w:gridSpan w:val="14"/>
            <w:vAlign w:val="center"/>
          </w:tcPr>
          <w:p w14:paraId="0A5C0653">
            <w:pPr>
              <w:jc w:val="center"/>
            </w:pPr>
            <w:r>
              <w:rPr>
                <w:rFonts w:ascii="宋体" w:hAnsi="宋体" w:eastAsia="宋体"/>
                <w:sz w:val="24"/>
              </w:rPr>
              <w:t>(2024年度)</w:t>
            </w:r>
          </w:p>
        </w:tc>
      </w:tr>
      <w:tr w14:paraId="628D2A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363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93E1AE">
            <w:pPr>
              <w:jc w:val="center"/>
            </w:pPr>
            <w:r>
              <w:rPr>
                <w:rFonts w:ascii="宋体" w:hAnsi="宋体" w:eastAsia="宋体"/>
                <w:sz w:val="16"/>
              </w:rPr>
              <w:t>党校新校区运转经费项目</w:t>
            </w:r>
          </w:p>
        </w:tc>
      </w:tr>
      <w:tr w14:paraId="54147D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BF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C37CD">
            <w:pPr>
              <w:jc w:val="center"/>
            </w:pPr>
            <w:r>
              <w:rPr>
                <w:rFonts w:ascii="宋体" w:hAnsi="宋体" w:eastAsia="宋体"/>
                <w:sz w:val="16"/>
              </w:rPr>
              <w:t>中共岳普湖县委员会党校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73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B9AEB0">
            <w:pPr>
              <w:jc w:val="center"/>
            </w:pPr>
            <w:r>
              <w:rPr>
                <w:rFonts w:ascii="宋体" w:hAnsi="宋体" w:eastAsia="宋体"/>
                <w:sz w:val="16"/>
              </w:rPr>
              <w:t>中共岳普湖县委员会党校</w:t>
            </w:r>
          </w:p>
        </w:tc>
      </w:tr>
      <w:tr w14:paraId="135E75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736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281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401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B9D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00B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C3B9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3F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94E2">
            <w:pPr>
              <w:jc w:val="center"/>
            </w:pPr>
            <w:r>
              <w:rPr>
                <w:rFonts w:ascii="宋体" w:hAnsi="宋体" w:eastAsia="宋体"/>
                <w:sz w:val="16"/>
              </w:rPr>
              <w:t>得分</w:t>
            </w:r>
          </w:p>
        </w:tc>
      </w:tr>
      <w:tr w14:paraId="5A988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6C0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1F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F5BC9">
            <w:pPr>
              <w:jc w:val="center"/>
            </w:pPr>
            <w:r>
              <w:rPr>
                <w:rFonts w:ascii="宋体" w:hAnsi="宋体" w:eastAsia="宋体"/>
                <w:sz w:val="16"/>
              </w:rPr>
              <w:t>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7EDDE">
            <w:pPr>
              <w:jc w:val="center"/>
            </w:pPr>
            <w:r>
              <w:rPr>
                <w:rFonts w:ascii="宋体" w:hAnsi="宋体" w:eastAsia="宋体"/>
                <w:sz w:val="16"/>
              </w:rPr>
              <w:t>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D1EDD">
            <w:pPr>
              <w:jc w:val="center"/>
            </w:pPr>
            <w:r>
              <w:rPr>
                <w:rFonts w:ascii="宋体" w:hAnsi="宋体" w:eastAsia="宋体"/>
                <w:sz w:val="16"/>
              </w:rPr>
              <w:t>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993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EC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7790">
            <w:pPr>
              <w:jc w:val="center"/>
            </w:pPr>
            <w:r>
              <w:rPr>
                <w:rFonts w:ascii="宋体" w:hAnsi="宋体" w:eastAsia="宋体"/>
                <w:sz w:val="16"/>
              </w:rPr>
              <w:t>10.00分</w:t>
            </w:r>
          </w:p>
        </w:tc>
      </w:tr>
      <w:tr w14:paraId="48D57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613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B03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1E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7A8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2AC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38D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DCED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51C1">
            <w:pPr>
              <w:jc w:val="center"/>
            </w:pPr>
            <w:r>
              <w:rPr>
                <w:rFonts w:ascii="宋体" w:hAnsi="宋体" w:eastAsia="宋体"/>
                <w:sz w:val="16"/>
              </w:rPr>
              <w:t>—</w:t>
            </w:r>
          </w:p>
        </w:tc>
      </w:tr>
      <w:tr w14:paraId="24B84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BA8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246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2AEAB">
            <w:pPr>
              <w:jc w:val="center"/>
            </w:pPr>
            <w:r>
              <w:rPr>
                <w:rFonts w:ascii="宋体" w:hAnsi="宋体" w:eastAsia="宋体"/>
                <w:sz w:val="16"/>
              </w:rPr>
              <w:t>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7FF3">
            <w:pPr>
              <w:jc w:val="center"/>
            </w:pPr>
            <w:r>
              <w:rPr>
                <w:rFonts w:ascii="宋体" w:hAnsi="宋体" w:eastAsia="宋体"/>
                <w:sz w:val="16"/>
              </w:rPr>
              <w:t>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5DA9C">
            <w:pPr>
              <w:jc w:val="center"/>
            </w:pPr>
            <w:r>
              <w:rPr>
                <w:rFonts w:ascii="宋体" w:hAnsi="宋体" w:eastAsia="宋体"/>
                <w:sz w:val="16"/>
              </w:rPr>
              <w:t>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D92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7860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9599">
            <w:pPr>
              <w:jc w:val="center"/>
            </w:pPr>
            <w:r>
              <w:rPr>
                <w:rFonts w:ascii="宋体" w:hAnsi="宋体" w:eastAsia="宋体"/>
                <w:sz w:val="16"/>
              </w:rPr>
              <w:t>—</w:t>
            </w:r>
          </w:p>
        </w:tc>
      </w:tr>
      <w:tr w14:paraId="1D8466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D0F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66B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D02187">
            <w:pPr>
              <w:jc w:val="center"/>
            </w:pPr>
            <w:r>
              <w:rPr>
                <w:rFonts w:ascii="宋体" w:hAnsi="宋体" w:eastAsia="宋体"/>
                <w:sz w:val="16"/>
              </w:rPr>
              <w:t>实际完成情况</w:t>
            </w:r>
          </w:p>
        </w:tc>
      </w:tr>
      <w:tr w14:paraId="2302E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DC0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1AB88">
            <w:pPr>
              <w:jc w:val="both"/>
            </w:pPr>
            <w:r>
              <w:rPr>
                <w:rFonts w:ascii="宋体" w:hAnsi="宋体" w:eastAsia="宋体"/>
                <w:sz w:val="16"/>
              </w:rPr>
              <w:t>经费主要用于支付本单位的电费及校区绿化。经费保障机构数量1个。通过项目的实施满足机构日常需求，确保校区日常工作正常运转。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499A1B">
            <w:pPr>
              <w:jc w:val="both"/>
            </w:pPr>
            <w:r>
              <w:rPr>
                <w:rFonts w:ascii="宋体" w:hAnsi="宋体" w:eastAsia="宋体"/>
                <w:sz w:val="16"/>
              </w:rPr>
              <w:t>现阶段已保障1个机构的经费支出，主要用于支付本单位的电费及校区绿化。预算执行率100%。通过项目的实施满足机构日常需求，确保校区日常工作正常运转。</w:t>
            </w:r>
          </w:p>
        </w:tc>
      </w:tr>
      <w:tr w14:paraId="53DAF0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58E6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2D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A4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18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BC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A2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87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1C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58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19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FA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99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63937">
            <w:pPr>
              <w:jc w:val="center"/>
            </w:pPr>
            <w:r>
              <w:rPr>
                <w:rFonts w:ascii="宋体" w:hAnsi="宋体" w:eastAsia="宋体"/>
                <w:sz w:val="16"/>
              </w:rPr>
              <w:t>偏差原因分析及改进措施</w:t>
            </w:r>
          </w:p>
        </w:tc>
      </w:tr>
      <w:tr w14:paraId="604185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B08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654A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F5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8422">
            <w:pPr>
              <w:jc w:val="center"/>
            </w:pPr>
            <w:r>
              <w:rPr>
                <w:rFonts w:ascii="宋体" w:hAnsi="宋体" w:eastAsia="宋体"/>
                <w:sz w:val="16"/>
              </w:rPr>
              <w:t>经费保障单位数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312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FB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D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A7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8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9F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BE1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F9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45111">
            <w:pPr>
              <w:jc w:val="center"/>
            </w:pPr>
          </w:p>
        </w:tc>
      </w:tr>
      <w:tr w14:paraId="3BD4E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15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5DC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424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21E2">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6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9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33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00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6D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11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A8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227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36DA9">
            <w:pPr>
              <w:jc w:val="center"/>
            </w:pPr>
          </w:p>
        </w:tc>
      </w:tr>
      <w:tr w14:paraId="744B84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7F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83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46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D6B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290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0F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57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61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6F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3E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A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8D8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90A76">
            <w:pPr>
              <w:jc w:val="center"/>
            </w:pPr>
          </w:p>
        </w:tc>
      </w:tr>
      <w:tr w14:paraId="22FC1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EB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D7E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023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39A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86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E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4C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F4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9E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BE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2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941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5E096">
            <w:pPr>
              <w:jc w:val="center"/>
            </w:pPr>
          </w:p>
        </w:tc>
      </w:tr>
      <w:tr w14:paraId="7161B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3D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30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0B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706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DD4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5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1B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BD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52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9B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D36E">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68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E3430">
            <w:pPr>
              <w:jc w:val="center"/>
            </w:pPr>
          </w:p>
        </w:tc>
      </w:tr>
      <w:tr w14:paraId="25C87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B91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3EA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E47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1638">
            <w:pPr>
              <w:jc w:val="center"/>
            </w:pPr>
            <w:r>
              <w:rPr>
                <w:rFonts w:ascii="宋体" w:hAnsi="宋体" w:eastAsia="宋体"/>
                <w:sz w:val="16"/>
              </w:rPr>
              <w:t>水电费预算控制数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B28F">
            <w:pPr>
              <w:jc w:val="center"/>
            </w:pPr>
            <w:r>
              <w:rPr>
                <w:rFonts w:ascii="宋体" w:hAnsi="宋体" w:eastAsia="宋体"/>
                <w:sz w:val="16"/>
              </w:rPr>
              <w:t>&lt;=1.52万元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71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5E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E5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5E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14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013E">
            <w:pPr>
              <w:jc w:val="center"/>
            </w:pPr>
            <w:r>
              <w:rPr>
                <w:rFonts w:ascii="宋体" w:hAnsi="宋体" w:eastAsia="宋体"/>
                <w:sz w:val="16"/>
              </w:rPr>
              <w: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D8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76800">
            <w:pPr>
              <w:jc w:val="center"/>
            </w:pPr>
          </w:p>
        </w:tc>
      </w:tr>
      <w:tr w14:paraId="24F53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EB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90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D4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6E3F">
            <w:pPr>
              <w:jc w:val="center"/>
            </w:pPr>
            <w:r>
              <w:rPr>
                <w:rFonts w:ascii="宋体" w:hAnsi="宋体" w:eastAsia="宋体"/>
                <w:sz w:val="16"/>
              </w:rPr>
              <w:t>校区绿化预算控制数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D6CF">
            <w:pPr>
              <w:jc w:val="center"/>
            </w:pPr>
            <w:r>
              <w:rPr>
                <w:rFonts w:ascii="宋体" w:hAnsi="宋体" w:eastAsia="宋体"/>
                <w:sz w:val="16"/>
              </w:rPr>
              <w:t>&lt;=4.05万元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C7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DD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92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EF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57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9E53">
            <w:pPr>
              <w:jc w:val="center"/>
            </w:pPr>
            <w:r>
              <w:rPr>
                <w:rFonts w:ascii="宋体" w:hAnsi="宋体" w:eastAsia="宋体"/>
                <w:sz w:val="16"/>
              </w:rPr>
              <w:t>=4.05万元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9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48E32">
            <w:pPr>
              <w:jc w:val="center"/>
            </w:pPr>
          </w:p>
        </w:tc>
      </w:tr>
      <w:tr w14:paraId="726DD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05E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02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8A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BAC6">
            <w:pPr>
              <w:jc w:val="center"/>
            </w:pPr>
            <w:r>
              <w:rPr>
                <w:rFonts w:ascii="宋体" w:hAnsi="宋体" w:eastAsia="宋体"/>
                <w:sz w:val="16"/>
              </w:rPr>
              <w:t>确保校区日常工作正常运转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66C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2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58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203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C9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0C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00F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430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727D3">
            <w:pPr>
              <w:jc w:val="center"/>
            </w:pPr>
          </w:p>
        </w:tc>
      </w:tr>
      <w:tr w14:paraId="2C163D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5B7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BE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D7B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B12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AE235D"/>
        </w:tc>
      </w:tr>
    </w:tbl>
    <w:p w14:paraId="13A890E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771AB27">
        <w:tblPrEx>
          <w:tblCellMar>
            <w:top w:w="0" w:type="dxa"/>
            <w:left w:w="108" w:type="dxa"/>
            <w:bottom w:w="0" w:type="dxa"/>
            <w:right w:w="108" w:type="dxa"/>
          </w:tblCellMar>
        </w:tblPrEx>
        <w:tc>
          <w:tcPr>
            <w:tcW w:w="8848" w:type="dxa"/>
            <w:gridSpan w:val="14"/>
            <w:vAlign w:val="center"/>
          </w:tcPr>
          <w:p w14:paraId="37405B02">
            <w:pPr>
              <w:jc w:val="center"/>
            </w:pPr>
            <w:r>
              <w:rPr>
                <w:rFonts w:ascii="宋体" w:hAnsi="宋体" w:eastAsia="宋体"/>
                <w:sz w:val="24"/>
              </w:rPr>
              <w:t>项目支出绩效自评表</w:t>
            </w:r>
          </w:p>
        </w:tc>
      </w:tr>
      <w:tr w14:paraId="212C8741">
        <w:tblPrEx>
          <w:tblCellMar>
            <w:top w:w="0" w:type="dxa"/>
            <w:left w:w="108" w:type="dxa"/>
            <w:bottom w:w="0" w:type="dxa"/>
            <w:right w:w="108" w:type="dxa"/>
          </w:tblCellMar>
        </w:tblPrEx>
        <w:tc>
          <w:tcPr>
            <w:tcW w:w="8848" w:type="dxa"/>
            <w:gridSpan w:val="14"/>
            <w:vAlign w:val="center"/>
          </w:tcPr>
          <w:p w14:paraId="3F858892">
            <w:pPr>
              <w:jc w:val="center"/>
            </w:pPr>
            <w:r>
              <w:rPr>
                <w:rFonts w:ascii="宋体" w:hAnsi="宋体" w:eastAsia="宋体"/>
                <w:sz w:val="24"/>
              </w:rPr>
              <w:t>(2024年度)</w:t>
            </w:r>
          </w:p>
        </w:tc>
      </w:tr>
      <w:tr w14:paraId="72A8C5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B77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BDAB00">
            <w:pPr>
              <w:jc w:val="center"/>
            </w:pPr>
            <w:r>
              <w:rPr>
                <w:rFonts w:ascii="宋体" w:hAnsi="宋体" w:eastAsia="宋体"/>
                <w:sz w:val="16"/>
              </w:rPr>
              <w:t>党校村干部培训经费项目</w:t>
            </w:r>
          </w:p>
        </w:tc>
      </w:tr>
      <w:tr w14:paraId="24E5CE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F5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C477B">
            <w:pPr>
              <w:jc w:val="center"/>
            </w:pPr>
            <w:r>
              <w:rPr>
                <w:rFonts w:ascii="宋体" w:hAnsi="宋体" w:eastAsia="宋体"/>
                <w:sz w:val="16"/>
              </w:rPr>
              <w:t>中共岳普湖县委员会党校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95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054955">
            <w:pPr>
              <w:jc w:val="center"/>
            </w:pPr>
            <w:r>
              <w:rPr>
                <w:rFonts w:ascii="宋体" w:hAnsi="宋体" w:eastAsia="宋体"/>
                <w:sz w:val="16"/>
              </w:rPr>
              <w:t>中共岳普湖县委员会党校</w:t>
            </w:r>
          </w:p>
        </w:tc>
      </w:tr>
      <w:tr w14:paraId="55DC3D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4BF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D01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4B8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D01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070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4DC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589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76A4">
            <w:pPr>
              <w:jc w:val="center"/>
            </w:pPr>
            <w:r>
              <w:rPr>
                <w:rFonts w:ascii="宋体" w:hAnsi="宋体" w:eastAsia="宋体"/>
                <w:sz w:val="16"/>
              </w:rPr>
              <w:t>得分</w:t>
            </w:r>
          </w:p>
        </w:tc>
      </w:tr>
      <w:tr w14:paraId="71F64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C37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D6C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00579">
            <w:pPr>
              <w:jc w:val="center"/>
            </w:pPr>
            <w:r>
              <w:rPr>
                <w:rFonts w:ascii="宋体" w:hAnsi="宋体" w:eastAsia="宋体"/>
                <w:sz w:val="16"/>
              </w:rPr>
              <w:t>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32B20">
            <w:pPr>
              <w:jc w:val="center"/>
            </w:pPr>
            <w:r>
              <w:rPr>
                <w:rFonts w:ascii="宋体" w:hAnsi="宋体" w:eastAsia="宋体"/>
                <w:sz w:val="16"/>
              </w:rPr>
              <w:t>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746AF">
            <w:pPr>
              <w:jc w:val="center"/>
            </w:pPr>
            <w:r>
              <w:rPr>
                <w:rFonts w:ascii="宋体" w:hAnsi="宋体" w:eastAsia="宋体"/>
                <w:sz w:val="16"/>
              </w:rPr>
              <w:t>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01D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937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A825">
            <w:pPr>
              <w:jc w:val="center"/>
            </w:pPr>
            <w:r>
              <w:rPr>
                <w:rFonts w:ascii="宋体" w:hAnsi="宋体" w:eastAsia="宋体"/>
                <w:sz w:val="16"/>
              </w:rPr>
              <w:t>10.00分</w:t>
            </w:r>
          </w:p>
        </w:tc>
      </w:tr>
      <w:tr w14:paraId="0CE47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2FE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FC2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5A01C">
            <w:pPr>
              <w:jc w:val="center"/>
            </w:pPr>
            <w:r>
              <w:rPr>
                <w:rFonts w:ascii="宋体" w:hAnsi="宋体" w:eastAsia="宋体"/>
                <w:sz w:val="16"/>
              </w:rPr>
              <w:t>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C322E">
            <w:pPr>
              <w:jc w:val="center"/>
            </w:pPr>
            <w:r>
              <w:rPr>
                <w:rFonts w:ascii="宋体" w:hAnsi="宋体" w:eastAsia="宋体"/>
                <w:sz w:val="16"/>
              </w:rPr>
              <w:t>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E8A7D">
            <w:pPr>
              <w:jc w:val="center"/>
            </w:pPr>
            <w:r>
              <w:rPr>
                <w:rFonts w:ascii="宋体" w:hAnsi="宋体" w:eastAsia="宋体"/>
                <w:sz w:val="16"/>
              </w:rPr>
              <w:t>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3F9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8A57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C2D9">
            <w:pPr>
              <w:jc w:val="center"/>
            </w:pPr>
            <w:r>
              <w:rPr>
                <w:rFonts w:ascii="宋体" w:hAnsi="宋体" w:eastAsia="宋体"/>
                <w:sz w:val="16"/>
              </w:rPr>
              <w:t>—</w:t>
            </w:r>
          </w:p>
        </w:tc>
      </w:tr>
      <w:tr w14:paraId="389093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EEE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031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14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F3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048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AB4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14DE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C4B4">
            <w:pPr>
              <w:jc w:val="center"/>
            </w:pPr>
            <w:r>
              <w:rPr>
                <w:rFonts w:ascii="宋体" w:hAnsi="宋体" w:eastAsia="宋体"/>
                <w:sz w:val="16"/>
              </w:rPr>
              <w:t>—</w:t>
            </w:r>
          </w:p>
        </w:tc>
      </w:tr>
      <w:tr w14:paraId="5D91DC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9E8B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529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8252A8">
            <w:pPr>
              <w:jc w:val="center"/>
            </w:pPr>
            <w:r>
              <w:rPr>
                <w:rFonts w:ascii="宋体" w:hAnsi="宋体" w:eastAsia="宋体"/>
                <w:sz w:val="16"/>
              </w:rPr>
              <w:t>实际完成情况</w:t>
            </w:r>
          </w:p>
        </w:tc>
      </w:tr>
      <w:tr w14:paraId="3C540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0A7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3D13E5">
            <w:pPr>
              <w:jc w:val="both"/>
            </w:pPr>
            <w:r>
              <w:rPr>
                <w:rFonts w:ascii="宋体" w:hAnsi="宋体" w:eastAsia="宋体"/>
                <w:sz w:val="16"/>
              </w:rPr>
              <w:t>经费主要用于保障本单位的村干部培训经费。经费保障机构数量1个。通过项目的实施提高村干部的政治素养。保障单位培训工作计划的正常开展。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98E042">
            <w:pPr>
              <w:jc w:val="both"/>
            </w:pPr>
            <w:r>
              <w:rPr>
                <w:rFonts w:ascii="宋体" w:hAnsi="宋体" w:eastAsia="宋体"/>
                <w:sz w:val="16"/>
              </w:rPr>
              <w:t>现阶段已保障1个机构的经费支出，主要用于支付本单位的村干部培训经费。预算执行率100%。通过项目的实施提高村干部的政治素养。保障单位培训工作计划的正常开展。</w:t>
            </w:r>
          </w:p>
        </w:tc>
      </w:tr>
      <w:tr w14:paraId="5DD271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717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50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E5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57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0E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B1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07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0A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45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5B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DA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CC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4DFF">
            <w:pPr>
              <w:jc w:val="center"/>
            </w:pPr>
            <w:r>
              <w:rPr>
                <w:rFonts w:ascii="宋体" w:hAnsi="宋体" w:eastAsia="宋体"/>
                <w:sz w:val="16"/>
              </w:rPr>
              <w:t>偏差原因分析及改进措施</w:t>
            </w:r>
          </w:p>
        </w:tc>
      </w:tr>
      <w:tr w14:paraId="08272C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C10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D3B4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42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E548">
            <w:pPr>
              <w:jc w:val="center"/>
            </w:pPr>
            <w:r>
              <w:rPr>
                <w:rFonts w:ascii="宋体" w:hAnsi="宋体" w:eastAsia="宋体"/>
                <w:sz w:val="16"/>
              </w:rPr>
              <w:t>培训经费保障单位数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178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45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A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BA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2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AD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507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8F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5BBDE">
            <w:pPr>
              <w:jc w:val="center"/>
            </w:pPr>
          </w:p>
        </w:tc>
      </w:tr>
      <w:tr w14:paraId="3E1AE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69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7A0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A05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2A0C">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4D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39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B9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EC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88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0E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2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D38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ED7F0">
            <w:pPr>
              <w:jc w:val="center"/>
            </w:pPr>
          </w:p>
        </w:tc>
      </w:tr>
      <w:tr w14:paraId="3BED8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30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13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B6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F6F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4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A4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0B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E4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2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5B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A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63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7D330">
            <w:pPr>
              <w:jc w:val="center"/>
            </w:pPr>
          </w:p>
        </w:tc>
      </w:tr>
      <w:tr w14:paraId="04DB8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CE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C4F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E3B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0BD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1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C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F3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9F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19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AB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A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38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67889">
            <w:pPr>
              <w:jc w:val="center"/>
            </w:pPr>
          </w:p>
        </w:tc>
      </w:tr>
      <w:tr w14:paraId="661A3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BB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D4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A2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2EE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4C8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23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D5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30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09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ED7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A9C2">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A5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A5341">
            <w:pPr>
              <w:jc w:val="center"/>
            </w:pPr>
          </w:p>
        </w:tc>
      </w:tr>
      <w:tr w14:paraId="77EB5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67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6A9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EE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9483">
            <w:pPr>
              <w:jc w:val="center"/>
            </w:pPr>
            <w:r>
              <w:rPr>
                <w:rFonts w:ascii="宋体" w:hAnsi="宋体" w:eastAsia="宋体"/>
                <w:sz w:val="16"/>
              </w:rPr>
              <w:t>培训经费保障预算控制数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7131">
            <w:pPr>
              <w:jc w:val="center"/>
            </w:pPr>
            <w:r>
              <w:rPr>
                <w:rFonts w:ascii="宋体" w:hAnsi="宋体" w:eastAsia="宋体"/>
                <w:sz w:val="16"/>
              </w:rPr>
              <w:t>&lt;=7.07万元/个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97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AF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7A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1C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6A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8D97">
            <w:pPr>
              <w:jc w:val="center"/>
            </w:pPr>
            <w:r>
              <w:rPr>
                <w:rFonts w:ascii="宋体" w:hAnsi="宋体" w:eastAsia="宋体"/>
                <w:sz w:val="16"/>
              </w:rPr>
              <w:t>=7.07万元/个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35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22673">
            <w:pPr>
              <w:jc w:val="center"/>
            </w:pPr>
          </w:p>
        </w:tc>
      </w:tr>
      <w:tr w14:paraId="56EB6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F6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E1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06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729F">
            <w:pPr>
              <w:jc w:val="center"/>
            </w:pPr>
            <w:r>
              <w:rPr>
                <w:rFonts w:ascii="宋体" w:hAnsi="宋体" w:eastAsia="宋体"/>
                <w:sz w:val="16"/>
              </w:rPr>
              <w:t>保障单位培训工作计划的正常开展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4E3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D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46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1CE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77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82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5D7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4F1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1E052">
            <w:pPr>
              <w:jc w:val="center"/>
            </w:pPr>
          </w:p>
        </w:tc>
      </w:tr>
      <w:tr w14:paraId="5ED168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387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08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11A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D57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0EE569"/>
        </w:tc>
      </w:tr>
    </w:tbl>
    <w:p w14:paraId="25784C53">
      <w:r>
        <w:br w:type="page"/>
      </w:r>
    </w:p>
    <w:p w14:paraId="32D5D0C9">
      <w:pPr>
        <w:spacing w:line="640" w:lineRule="exact"/>
        <w:ind w:firstLine="640"/>
        <w:jc w:val="both"/>
        <w:outlineLvl w:val="2"/>
      </w:pPr>
      <w:r>
        <w:rPr>
          <w:rFonts w:ascii="黑体" w:hAnsi="黑体" w:eastAsia="黑体"/>
          <w:sz w:val="32"/>
        </w:rPr>
        <w:t>十二、其他需说明的事项</w:t>
      </w:r>
    </w:p>
    <w:p w14:paraId="4386A178">
      <w:pPr>
        <w:spacing w:line="580" w:lineRule="exact"/>
        <w:ind w:firstLine="640"/>
        <w:jc w:val="both"/>
      </w:pPr>
      <w:r>
        <w:rPr>
          <w:rFonts w:ascii="仿宋_GB2312" w:hAnsi="仿宋_GB2312" w:eastAsia="仿宋_GB2312"/>
          <w:b w:val="0"/>
          <w:sz w:val="32"/>
        </w:rPr>
        <w:t>本单位无其他需说明的事项。</w:t>
      </w:r>
    </w:p>
    <w:p w14:paraId="7E8061E7">
      <w:r>
        <w:br w:type="page"/>
      </w:r>
    </w:p>
    <w:p w14:paraId="46F0A2D7">
      <w:pPr>
        <w:spacing w:line="240" w:lineRule="auto"/>
        <w:jc w:val="center"/>
        <w:outlineLvl w:val="1"/>
      </w:pPr>
      <w:r>
        <w:rPr>
          <w:rFonts w:ascii="黑体" w:hAnsi="黑体" w:eastAsia="黑体"/>
          <w:sz w:val="32"/>
        </w:rPr>
        <w:t>第三部分 专业名词解释</w:t>
      </w:r>
    </w:p>
    <w:p w14:paraId="645448E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09A066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3D973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D7866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49509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CCA65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6F590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562F0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C3C66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76DB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BFCCF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6AE564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ACD30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623E9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E231547">
      <w:r>
        <w:br w:type="page"/>
      </w:r>
    </w:p>
    <w:p w14:paraId="1907C421">
      <w:pPr>
        <w:spacing w:line="240" w:lineRule="auto"/>
        <w:jc w:val="center"/>
        <w:outlineLvl w:val="1"/>
      </w:pPr>
      <w:r>
        <w:rPr>
          <w:rFonts w:ascii="黑体" w:hAnsi="黑体" w:eastAsia="黑体"/>
          <w:sz w:val="32"/>
        </w:rPr>
        <w:t>第四部分 部门决算报表（见附表）</w:t>
      </w:r>
    </w:p>
    <w:p w14:paraId="482A202E">
      <w:pPr>
        <w:spacing w:line="240" w:lineRule="auto"/>
        <w:ind w:firstLine="640"/>
        <w:jc w:val="both"/>
      </w:pPr>
      <w:r>
        <w:rPr>
          <w:rFonts w:ascii="仿宋_GB2312" w:hAnsi="仿宋_GB2312" w:eastAsia="仿宋_GB2312"/>
          <w:b w:val="0"/>
          <w:sz w:val="32"/>
        </w:rPr>
        <w:t>一、《收入支出决算总表》</w:t>
      </w:r>
    </w:p>
    <w:p w14:paraId="0B0B3D7A">
      <w:pPr>
        <w:spacing w:line="240" w:lineRule="auto"/>
        <w:ind w:firstLine="640"/>
        <w:jc w:val="both"/>
      </w:pPr>
      <w:r>
        <w:rPr>
          <w:rFonts w:ascii="仿宋_GB2312" w:hAnsi="仿宋_GB2312" w:eastAsia="仿宋_GB2312"/>
          <w:b w:val="0"/>
          <w:sz w:val="32"/>
        </w:rPr>
        <w:t>二、《收入决算表》</w:t>
      </w:r>
    </w:p>
    <w:p w14:paraId="58825321">
      <w:pPr>
        <w:spacing w:line="240" w:lineRule="auto"/>
        <w:ind w:firstLine="640"/>
        <w:jc w:val="both"/>
      </w:pPr>
      <w:r>
        <w:rPr>
          <w:rFonts w:ascii="仿宋_GB2312" w:hAnsi="仿宋_GB2312" w:eastAsia="仿宋_GB2312"/>
          <w:b w:val="0"/>
          <w:sz w:val="32"/>
        </w:rPr>
        <w:t>三、《支出决算表》</w:t>
      </w:r>
    </w:p>
    <w:p w14:paraId="1980AD44">
      <w:pPr>
        <w:spacing w:line="240" w:lineRule="auto"/>
        <w:ind w:firstLine="640"/>
        <w:jc w:val="both"/>
      </w:pPr>
      <w:r>
        <w:rPr>
          <w:rFonts w:ascii="仿宋_GB2312" w:hAnsi="仿宋_GB2312" w:eastAsia="仿宋_GB2312"/>
          <w:b w:val="0"/>
          <w:sz w:val="32"/>
        </w:rPr>
        <w:t>四、《财政拨款收入支出决算总表》</w:t>
      </w:r>
    </w:p>
    <w:p w14:paraId="7C648422">
      <w:pPr>
        <w:spacing w:line="240" w:lineRule="auto"/>
        <w:ind w:firstLine="640"/>
        <w:jc w:val="both"/>
      </w:pPr>
      <w:r>
        <w:rPr>
          <w:rFonts w:ascii="仿宋_GB2312" w:hAnsi="仿宋_GB2312" w:eastAsia="仿宋_GB2312"/>
          <w:b w:val="0"/>
          <w:sz w:val="32"/>
        </w:rPr>
        <w:t>五、《一般公共预算财政拨款支出决算表》</w:t>
      </w:r>
    </w:p>
    <w:p w14:paraId="383C2024">
      <w:pPr>
        <w:spacing w:line="240" w:lineRule="auto"/>
        <w:ind w:firstLine="640"/>
        <w:jc w:val="both"/>
      </w:pPr>
      <w:r>
        <w:rPr>
          <w:rFonts w:ascii="仿宋_GB2312" w:hAnsi="仿宋_GB2312" w:eastAsia="仿宋_GB2312"/>
          <w:b w:val="0"/>
          <w:sz w:val="32"/>
        </w:rPr>
        <w:t>六、《一般公共预算财政拨款基本支出决算表》</w:t>
      </w:r>
    </w:p>
    <w:p w14:paraId="1C3DFB7C">
      <w:pPr>
        <w:spacing w:line="240" w:lineRule="auto"/>
        <w:ind w:firstLine="640"/>
        <w:jc w:val="both"/>
      </w:pPr>
      <w:r>
        <w:rPr>
          <w:rFonts w:ascii="仿宋_GB2312" w:hAnsi="仿宋_GB2312" w:eastAsia="仿宋_GB2312"/>
          <w:b w:val="0"/>
          <w:sz w:val="32"/>
        </w:rPr>
        <w:t>七、《政府性基金预算财政拨款收入支出决算表》</w:t>
      </w:r>
    </w:p>
    <w:p w14:paraId="658DC75F">
      <w:pPr>
        <w:spacing w:line="240" w:lineRule="auto"/>
        <w:ind w:firstLine="640"/>
        <w:jc w:val="both"/>
      </w:pPr>
      <w:r>
        <w:rPr>
          <w:rFonts w:ascii="仿宋_GB2312" w:hAnsi="仿宋_GB2312" w:eastAsia="仿宋_GB2312"/>
          <w:b w:val="0"/>
          <w:sz w:val="32"/>
        </w:rPr>
        <w:t>八、《国有资本经营预算财政拨款收入支出决算表》</w:t>
      </w:r>
    </w:p>
    <w:p w14:paraId="67E1C28B">
      <w:pPr>
        <w:spacing w:line="240" w:lineRule="auto"/>
        <w:ind w:firstLine="640"/>
        <w:jc w:val="both"/>
      </w:pPr>
      <w:r>
        <w:rPr>
          <w:rFonts w:ascii="仿宋_GB2312" w:hAnsi="仿宋_GB2312" w:eastAsia="仿宋_GB2312"/>
          <w:b w:val="0"/>
          <w:sz w:val="32"/>
        </w:rPr>
        <w:t>九、《财政拨款“三公”经费支出决算表》</w:t>
      </w:r>
    </w:p>
    <w:p w14:paraId="3A0A6C51">
      <w:pPr>
        <w:spacing w:line="240" w:lineRule="auto"/>
        <w:ind w:firstLine="640"/>
        <w:jc w:val="both"/>
      </w:pPr>
    </w:p>
    <w:p w14:paraId="20ECDA2D">
      <w:pPr>
        <w:spacing w:line="240" w:lineRule="auto"/>
        <w:ind w:firstLine="640"/>
        <w:jc w:val="both"/>
      </w:pPr>
    </w:p>
    <w:p w14:paraId="4767DA4B">
      <w:pPr>
        <w:spacing w:line="240" w:lineRule="auto"/>
        <w:ind w:firstLine="640"/>
        <w:jc w:val="both"/>
      </w:pPr>
    </w:p>
    <w:p w14:paraId="3202F045">
      <w:pPr>
        <w:spacing w:line="240" w:lineRule="auto"/>
        <w:ind w:firstLine="640"/>
        <w:jc w:val="both"/>
      </w:pPr>
    </w:p>
    <w:p w14:paraId="33535C0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4A50F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8A0AA7"/>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4594</Words>
  <Characters>5223</Characters>
  <Lines>0</Lines>
  <Paragraphs>0</Paragraphs>
  <TotalTime>3</TotalTime>
  <ScaleCrop>false</ScaleCrop>
  <LinksUpToDate>false</LinksUpToDate>
  <CharactersWithSpaces>5235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2025-09-12T10:56:26Z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