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31C631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岳普湖县中等职业技术学校2024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5EAD2D">
      <w:r>
        <w:br w:type="page"/>
      </w:r>
    </w:p>
    <w:p w14:paraId="0C01B54F">
      <w:pPr>
        <w:spacing w:line="640" w:lineRule="exact"/>
        <w:jc w:val="center"/>
        <w:outlineLvl w:val="1"/>
      </w:pPr>
      <w:r>
        <w:rPr>
          <w:rFonts w:ascii="黑体" w:hAnsi="黑体" w:eastAsia="黑体"/>
          <w:sz w:val="32"/>
        </w:rPr>
        <w:t>第一部分 单位概况</w:t>
      </w:r>
    </w:p>
    <w:p w14:paraId="17BFEC59">
      <w:pPr>
        <w:spacing w:line="640" w:lineRule="exact"/>
        <w:ind w:firstLine="640"/>
        <w:jc w:val="both"/>
        <w:outlineLvl w:val="2"/>
      </w:pPr>
      <w:r>
        <w:rPr>
          <w:rFonts w:ascii="黑体" w:hAnsi="黑体" w:eastAsia="黑体"/>
          <w:sz w:val="32"/>
        </w:rPr>
        <w:t>一、主要职能</w:t>
      </w:r>
    </w:p>
    <w:p w14:paraId="4E3DD074">
      <w:pPr>
        <w:spacing w:line="580" w:lineRule="exact"/>
        <w:ind w:firstLine="640"/>
        <w:jc w:val="both"/>
      </w:pPr>
      <w:r>
        <w:rPr>
          <w:rFonts w:ascii="仿宋_GB2312" w:hAnsi="仿宋_GB2312" w:eastAsia="仿宋_GB2312"/>
          <w:sz w:val="32"/>
        </w:rPr>
        <w:t>1.全面贯彻国家职业教育方针，坚持为社会主义现代化建设服务，以就业为导向，努力培养和造就适应市场需要的有一技之长的专业人才。</w:t>
      </w:r>
    </w:p>
    <w:p w14:paraId="3F7A86B8">
      <w:pPr>
        <w:spacing w:line="580" w:lineRule="exact"/>
        <w:ind w:firstLine="640"/>
        <w:jc w:val="both"/>
      </w:pPr>
      <w:r>
        <w:rPr>
          <w:rFonts w:ascii="仿宋_GB2312" w:hAnsi="仿宋_GB2312" w:eastAsia="仿宋_GB2312"/>
          <w:sz w:val="32"/>
        </w:rPr>
        <w:t>2.以立德树人为根本任务，加强学生思想道德和职业道德教育，加强新技术教育和技能训练，为学生全面成才、持续发展奠定扎实基础。</w:t>
      </w:r>
    </w:p>
    <w:p w14:paraId="1886F106">
      <w:pPr>
        <w:spacing w:line="580" w:lineRule="exact"/>
        <w:ind w:firstLine="640"/>
        <w:jc w:val="both"/>
      </w:pPr>
      <w:r>
        <w:rPr>
          <w:rFonts w:ascii="仿宋_GB2312" w:hAnsi="仿宋_GB2312" w:eastAsia="仿宋_GB2312"/>
          <w:sz w:val="32"/>
        </w:rPr>
        <w:t>3.深化教育教学改革，坚持教学和生产相结合、教学和科学技术的推广服务相结合，重视基础知识和专业</w:t>
      </w:r>
      <w:r>
        <w:rPr>
          <w:rFonts w:hint="eastAsia" w:ascii="仿宋_GB2312" w:hAnsi="仿宋_GB2312" w:eastAsia="仿宋_GB2312"/>
          <w:sz w:val="32"/>
          <w:lang w:eastAsia="zh-CN"/>
        </w:rPr>
        <w:t>知识</w:t>
      </w:r>
      <w:r>
        <w:rPr>
          <w:rFonts w:ascii="仿宋_GB2312" w:hAnsi="仿宋_GB2312" w:eastAsia="仿宋_GB2312"/>
          <w:sz w:val="32"/>
        </w:rPr>
        <w:t>的理实教学模式建设。</w:t>
      </w:r>
    </w:p>
    <w:p w14:paraId="2FEE1FB0">
      <w:pPr>
        <w:spacing w:line="580" w:lineRule="exact"/>
        <w:ind w:firstLine="640"/>
        <w:jc w:val="both"/>
      </w:pPr>
      <w:r>
        <w:rPr>
          <w:rFonts w:ascii="仿宋_GB2312" w:hAnsi="仿宋_GB2312" w:eastAsia="仿宋_GB2312"/>
          <w:sz w:val="32"/>
        </w:rPr>
        <w:t>4.培育特色专业和重点专业，及时调整专业设置，形成适应区域经济发展的</w:t>
      </w:r>
      <w:r>
        <w:rPr>
          <w:rFonts w:hint="eastAsia" w:ascii="仿宋_GB2312" w:hAnsi="仿宋_GB2312" w:eastAsia="仿宋_GB2312"/>
          <w:sz w:val="32"/>
          <w:lang w:eastAsia="zh-CN"/>
        </w:rPr>
        <w:t>专业</w:t>
      </w:r>
      <w:r>
        <w:rPr>
          <w:rFonts w:ascii="仿宋_GB2312" w:hAnsi="仿宋_GB2312" w:eastAsia="仿宋_GB2312"/>
          <w:sz w:val="32"/>
        </w:rPr>
        <w:t>特色和优势。</w:t>
      </w:r>
    </w:p>
    <w:p w14:paraId="665C7FA6">
      <w:pPr>
        <w:spacing w:line="580" w:lineRule="exact"/>
        <w:ind w:firstLine="640"/>
        <w:jc w:val="both"/>
      </w:pPr>
      <w:r>
        <w:rPr>
          <w:rFonts w:ascii="仿宋_GB2312" w:hAnsi="仿宋_GB2312" w:eastAsia="仿宋_GB2312"/>
          <w:sz w:val="32"/>
        </w:rPr>
        <w:t>5.加强校企合作，发挥校企联合办学的整体优势。主动适应企业</w:t>
      </w:r>
      <w:r>
        <w:rPr>
          <w:rFonts w:hint="eastAsia" w:ascii="仿宋_GB2312" w:hAnsi="仿宋_GB2312" w:eastAsia="仿宋_GB2312"/>
          <w:sz w:val="32"/>
          <w:lang w:eastAsia="zh-CN"/>
        </w:rPr>
        <w:t>要</w:t>
      </w:r>
      <w:bookmarkStart w:id="0" w:name="_GoBack"/>
      <w:bookmarkEnd w:id="0"/>
      <w:r>
        <w:rPr>
          <w:rFonts w:ascii="仿宋_GB2312" w:hAnsi="仿宋_GB2312" w:eastAsia="仿宋_GB2312"/>
          <w:sz w:val="32"/>
        </w:rPr>
        <w:t>求，努力提高人才培养质量，使毕业生素质与企业的需求</w:t>
      </w:r>
      <w:r>
        <w:rPr>
          <w:rFonts w:hint="eastAsia" w:ascii="仿宋_GB2312" w:hAnsi="仿宋_GB2312" w:eastAsia="仿宋_GB2312"/>
          <w:sz w:val="32"/>
          <w:lang w:eastAsia="zh-CN"/>
        </w:rPr>
        <w:t>相适应</w:t>
      </w:r>
      <w:r>
        <w:rPr>
          <w:rFonts w:ascii="仿宋_GB2312" w:hAnsi="仿宋_GB2312" w:eastAsia="仿宋_GB2312"/>
          <w:sz w:val="32"/>
        </w:rPr>
        <w:t>。鼓励教师到企业实践锻炼，聘任优秀技术人才到学校兼课，不断提高“双师型”教师队伍建设。</w:t>
      </w:r>
    </w:p>
    <w:p w14:paraId="1CFA4E96">
      <w:pPr>
        <w:spacing w:line="640" w:lineRule="exact"/>
        <w:ind w:firstLine="640"/>
        <w:jc w:val="both"/>
        <w:outlineLvl w:val="2"/>
      </w:pPr>
      <w:r>
        <w:rPr>
          <w:rFonts w:ascii="黑体" w:hAnsi="黑体" w:eastAsia="黑体"/>
          <w:sz w:val="32"/>
        </w:rPr>
        <w:t>二、机构设置及人员情况</w:t>
      </w:r>
    </w:p>
    <w:p w14:paraId="18494870">
      <w:pPr>
        <w:spacing w:line="580" w:lineRule="exact"/>
        <w:ind w:firstLine="640"/>
        <w:jc w:val="both"/>
      </w:pPr>
      <w:r>
        <w:rPr>
          <w:rFonts w:ascii="仿宋_GB2312" w:hAnsi="仿宋_GB2312" w:eastAsia="仿宋_GB2312"/>
          <w:sz w:val="32"/>
        </w:rPr>
        <w:t>岳普湖县中等职业技术学校2024年度，实有人数40人，其中：在职人员27人，减少4人；离休人员0人，增加0人；退休人员13人,增加2人。</w:t>
      </w:r>
    </w:p>
    <w:p w14:paraId="2D4CB231">
      <w:pPr>
        <w:spacing w:line="580" w:lineRule="exact"/>
        <w:ind w:firstLine="640"/>
        <w:jc w:val="both"/>
      </w:pPr>
      <w:r>
        <w:rPr>
          <w:rFonts w:ascii="仿宋_GB2312" w:hAnsi="仿宋_GB2312" w:eastAsia="仿宋_GB2312"/>
          <w:sz w:val="32"/>
        </w:rPr>
        <w:t>岳普湖县中等职业技术学校无下属预算单位，下设</w:t>
      </w:r>
      <w:r>
        <w:rPr>
          <w:rFonts w:hint="eastAsia" w:ascii="仿宋_GB2312" w:hAnsi="仿宋_GB2312" w:eastAsia="仿宋_GB2312"/>
          <w:sz w:val="32"/>
          <w:lang w:val="en-US" w:eastAsia="zh-CN"/>
        </w:rPr>
        <w:t>6</w:t>
      </w:r>
      <w:r>
        <w:rPr>
          <w:rFonts w:ascii="仿宋_GB2312" w:hAnsi="仿宋_GB2312" w:eastAsia="仿宋_GB2312"/>
          <w:sz w:val="32"/>
        </w:rPr>
        <w:t>个科室，分别是：党政办</w:t>
      </w:r>
      <w:r>
        <w:rPr>
          <w:rFonts w:hint="eastAsia" w:ascii="仿宋_GB2312" w:hAnsi="仿宋_GB2312" w:eastAsia="仿宋_GB2312"/>
          <w:sz w:val="32"/>
          <w:lang w:eastAsia="zh-CN"/>
        </w:rPr>
        <w:t>、</w:t>
      </w:r>
      <w:r>
        <w:rPr>
          <w:rFonts w:ascii="仿宋_GB2312" w:hAnsi="仿宋_GB2312" w:eastAsia="仿宋_GB2312"/>
          <w:sz w:val="32"/>
        </w:rPr>
        <w:t>教务科</w:t>
      </w:r>
      <w:r>
        <w:rPr>
          <w:rFonts w:hint="eastAsia" w:ascii="仿宋_GB2312" w:hAnsi="仿宋_GB2312" w:eastAsia="仿宋_GB2312"/>
          <w:sz w:val="32"/>
          <w:lang w:eastAsia="zh-CN"/>
        </w:rPr>
        <w:t>、</w:t>
      </w:r>
      <w:r>
        <w:rPr>
          <w:rFonts w:ascii="仿宋_GB2312" w:hAnsi="仿宋_GB2312" w:eastAsia="仿宋_GB2312"/>
          <w:sz w:val="32"/>
        </w:rPr>
        <w:t>德育处</w:t>
      </w:r>
      <w:r>
        <w:rPr>
          <w:rFonts w:hint="eastAsia" w:ascii="仿宋_GB2312" w:hAnsi="仿宋_GB2312" w:eastAsia="仿宋_GB2312"/>
          <w:sz w:val="32"/>
          <w:lang w:eastAsia="zh-CN"/>
        </w:rPr>
        <w:t>、</w:t>
      </w:r>
      <w:r>
        <w:rPr>
          <w:rFonts w:ascii="仿宋_GB2312" w:hAnsi="仿宋_GB2312" w:eastAsia="仿宋_GB2312"/>
          <w:sz w:val="32"/>
        </w:rPr>
        <w:t>财务科</w:t>
      </w:r>
      <w:r>
        <w:rPr>
          <w:rFonts w:hint="eastAsia" w:ascii="仿宋_GB2312" w:hAnsi="仿宋_GB2312" w:eastAsia="仿宋_GB2312"/>
          <w:sz w:val="32"/>
          <w:lang w:eastAsia="zh-CN"/>
        </w:rPr>
        <w:t>、</w:t>
      </w:r>
      <w:r>
        <w:rPr>
          <w:rFonts w:ascii="仿宋_GB2312" w:hAnsi="仿宋_GB2312" w:eastAsia="仿宋_GB2312"/>
          <w:sz w:val="32"/>
        </w:rPr>
        <w:t>后勤科</w:t>
      </w:r>
      <w:r>
        <w:rPr>
          <w:rFonts w:hint="eastAsia" w:ascii="仿宋_GB2312" w:hAnsi="仿宋_GB2312" w:eastAsia="仿宋_GB2312"/>
          <w:sz w:val="32"/>
          <w:lang w:eastAsia="zh-CN"/>
        </w:rPr>
        <w:t>、</w:t>
      </w:r>
      <w:r>
        <w:rPr>
          <w:rFonts w:ascii="仿宋_GB2312" w:hAnsi="仿宋_GB2312" w:eastAsia="仿宋_GB2312"/>
          <w:sz w:val="32"/>
        </w:rPr>
        <w:t>保卫科。</w:t>
      </w:r>
    </w:p>
    <w:p w14:paraId="35EF45D3">
      <w:r>
        <w:br w:type="page"/>
      </w:r>
    </w:p>
    <w:p w14:paraId="64FC7842">
      <w:pPr>
        <w:spacing w:line="240" w:lineRule="auto"/>
        <w:jc w:val="center"/>
        <w:outlineLvl w:val="1"/>
      </w:pPr>
      <w:r>
        <w:rPr>
          <w:rFonts w:ascii="黑体" w:hAnsi="黑体" w:eastAsia="黑体"/>
          <w:sz w:val="32"/>
        </w:rPr>
        <w:t>第二部分 部门决算情况说明</w:t>
      </w:r>
    </w:p>
    <w:p w14:paraId="4C6D7A82">
      <w:pPr>
        <w:spacing w:line="640" w:lineRule="exact"/>
        <w:ind w:firstLine="640"/>
        <w:jc w:val="both"/>
        <w:outlineLvl w:val="2"/>
      </w:pPr>
      <w:r>
        <w:rPr>
          <w:rFonts w:ascii="黑体" w:hAnsi="黑体" w:eastAsia="黑体"/>
          <w:sz w:val="32"/>
        </w:rPr>
        <w:t>一、收入支出决算总体情况说明</w:t>
      </w:r>
    </w:p>
    <w:p w14:paraId="24637194">
      <w:pPr>
        <w:spacing w:line="580" w:lineRule="exact"/>
        <w:ind w:firstLine="640"/>
        <w:jc w:val="both"/>
      </w:pPr>
      <w:r>
        <w:rPr>
          <w:rFonts w:ascii="仿宋_GB2312" w:hAnsi="仿宋_GB2312" w:eastAsia="仿宋_GB2312"/>
          <w:b/>
          <w:sz w:val="32"/>
        </w:rPr>
        <w:t>2024年度收入总计1,908.24万元，</w:t>
      </w:r>
      <w:r>
        <w:rPr>
          <w:rFonts w:ascii="仿宋_GB2312" w:hAnsi="仿宋_GB2312" w:eastAsia="仿宋_GB2312"/>
          <w:b w:val="0"/>
          <w:sz w:val="32"/>
        </w:rPr>
        <w:t>其中：本年收入合计1,908.24万元，使用非财政拨款结余（含专用结余）0.00万元，年初结转和结余0.00万元。</w:t>
      </w:r>
    </w:p>
    <w:p w14:paraId="0D1DB67D">
      <w:pPr>
        <w:spacing w:line="580" w:lineRule="exact"/>
        <w:ind w:firstLine="640"/>
        <w:jc w:val="both"/>
      </w:pPr>
      <w:r>
        <w:rPr>
          <w:rFonts w:ascii="仿宋_GB2312" w:hAnsi="仿宋_GB2312" w:eastAsia="仿宋_GB2312"/>
          <w:b/>
          <w:sz w:val="32"/>
        </w:rPr>
        <w:t>2024年度支出总计1,908.24万元，</w:t>
      </w:r>
      <w:r>
        <w:rPr>
          <w:rFonts w:ascii="仿宋_GB2312" w:hAnsi="仿宋_GB2312" w:eastAsia="仿宋_GB2312"/>
          <w:b w:val="0"/>
          <w:sz w:val="32"/>
        </w:rPr>
        <w:t>其中：本年支出合计1,908.24万元，结余分配0.00万元，年末结转和结余0.00万元。</w:t>
      </w:r>
    </w:p>
    <w:p w14:paraId="654F0751">
      <w:pPr>
        <w:spacing w:line="580" w:lineRule="exact"/>
        <w:ind w:firstLine="640"/>
        <w:jc w:val="both"/>
      </w:pPr>
      <w:r>
        <w:rPr>
          <w:rFonts w:ascii="仿宋_GB2312" w:hAnsi="仿宋_GB2312" w:eastAsia="仿宋_GB2312"/>
          <w:b w:val="0"/>
          <w:sz w:val="32"/>
        </w:rPr>
        <w:t>收入支出总体与上年相比，减少805.59万元，下降29.68%，主要原因是：本年减少山东援疆资金岳普湖县职业技工类学校建设扩容和教学质量提升项目；在职人员减少，工资、社保、公积金等相关人员经费减少，现代职业教育质量提升项目资金减少。</w:t>
      </w:r>
    </w:p>
    <w:p w14:paraId="21821828">
      <w:pPr>
        <w:spacing w:line="640" w:lineRule="exact"/>
        <w:ind w:firstLine="640"/>
        <w:jc w:val="both"/>
        <w:outlineLvl w:val="2"/>
      </w:pPr>
      <w:r>
        <w:rPr>
          <w:rFonts w:ascii="黑体" w:hAnsi="黑体" w:eastAsia="黑体"/>
          <w:sz w:val="32"/>
        </w:rPr>
        <w:t>二、收入决算情况说明</w:t>
      </w:r>
    </w:p>
    <w:p w14:paraId="77DE0D35">
      <w:pPr>
        <w:spacing w:line="580" w:lineRule="exact"/>
        <w:ind w:firstLine="640"/>
        <w:jc w:val="both"/>
      </w:pPr>
      <w:r>
        <w:rPr>
          <w:rFonts w:ascii="仿宋_GB2312" w:hAnsi="仿宋_GB2312" w:eastAsia="仿宋_GB2312"/>
          <w:b/>
          <w:sz w:val="32"/>
        </w:rPr>
        <w:t>本年收入1,908.24万元，</w:t>
      </w:r>
      <w:r>
        <w:rPr>
          <w:rFonts w:ascii="仿宋_GB2312" w:hAnsi="仿宋_GB2312" w:eastAsia="仿宋_GB2312"/>
          <w:b w:val="0"/>
          <w:sz w:val="32"/>
        </w:rPr>
        <w:t>其中：财政拨款收入1,494.28万元，占78.31%；上级补助收入0.00万元，占0.00%；事业收入0.00万元，占0.00%；经营收入0.00万元，占0.00%；附属单位上缴收入0.00万元，占0.00%；其他收入413.96万元，占21.69%。</w:t>
      </w:r>
    </w:p>
    <w:p w14:paraId="1F54F60E">
      <w:pPr>
        <w:spacing w:line="640" w:lineRule="exact"/>
        <w:ind w:firstLine="640"/>
        <w:jc w:val="both"/>
        <w:outlineLvl w:val="2"/>
      </w:pPr>
      <w:r>
        <w:rPr>
          <w:rFonts w:ascii="黑体" w:hAnsi="黑体" w:eastAsia="黑体"/>
          <w:sz w:val="32"/>
        </w:rPr>
        <w:t>三、支出决算情况说明</w:t>
      </w:r>
    </w:p>
    <w:p w14:paraId="47D2E55F">
      <w:pPr>
        <w:spacing w:line="580" w:lineRule="exact"/>
        <w:ind w:firstLine="640"/>
        <w:jc w:val="both"/>
      </w:pPr>
      <w:r>
        <w:rPr>
          <w:rFonts w:ascii="仿宋_GB2312" w:hAnsi="仿宋_GB2312" w:eastAsia="仿宋_GB2312"/>
          <w:b/>
          <w:sz w:val="32"/>
        </w:rPr>
        <w:t>本年支出1,908.24万元，</w:t>
      </w:r>
      <w:r>
        <w:rPr>
          <w:rFonts w:ascii="仿宋_GB2312" w:hAnsi="仿宋_GB2312" w:eastAsia="仿宋_GB2312"/>
          <w:b w:val="0"/>
          <w:sz w:val="32"/>
        </w:rPr>
        <w:t>其中：基本支出502.35万元，占26.33%；项目支出1,405.89万元，占73.67%；上缴上级支出0.00万元，占0.00%；经营支出0.00万元，占0.00%；对附属单位补助支出0.00万元，占0.00%。</w:t>
      </w:r>
    </w:p>
    <w:p w14:paraId="5796E8C8">
      <w:pPr>
        <w:spacing w:line="640" w:lineRule="exact"/>
        <w:ind w:firstLine="640"/>
        <w:jc w:val="both"/>
        <w:outlineLvl w:val="2"/>
      </w:pPr>
      <w:r>
        <w:rPr>
          <w:rFonts w:ascii="黑体" w:hAnsi="黑体" w:eastAsia="黑体"/>
          <w:sz w:val="32"/>
        </w:rPr>
        <w:t>四、财政拨款收入支出决算总体情况说明</w:t>
      </w:r>
    </w:p>
    <w:p w14:paraId="36D6DBB5">
      <w:pPr>
        <w:spacing w:line="580" w:lineRule="exact"/>
        <w:ind w:firstLine="640"/>
        <w:jc w:val="both"/>
      </w:pPr>
      <w:r>
        <w:rPr>
          <w:rFonts w:ascii="仿宋_GB2312" w:hAnsi="仿宋_GB2312" w:eastAsia="仿宋_GB2312"/>
          <w:b/>
          <w:sz w:val="32"/>
        </w:rPr>
        <w:t>2024年度财政拨款收入总计1,494.28万元，</w:t>
      </w:r>
      <w:r>
        <w:rPr>
          <w:rFonts w:ascii="仿宋_GB2312" w:hAnsi="仿宋_GB2312" w:eastAsia="仿宋_GB2312"/>
          <w:b w:val="0"/>
          <w:sz w:val="32"/>
        </w:rPr>
        <w:t>其中：年初财政拨款结转和结余0.00万元，本年财政拨款收入1,494.28万元。</w:t>
      </w:r>
      <w:r>
        <w:rPr>
          <w:rFonts w:ascii="仿宋_GB2312" w:hAnsi="仿宋_GB2312" w:eastAsia="仿宋_GB2312"/>
          <w:b/>
          <w:sz w:val="32"/>
        </w:rPr>
        <w:t>财政拨款支出总计1,494.28万元，</w:t>
      </w:r>
      <w:r>
        <w:rPr>
          <w:rFonts w:ascii="仿宋_GB2312" w:hAnsi="仿宋_GB2312" w:eastAsia="仿宋_GB2312"/>
          <w:b w:val="0"/>
          <w:sz w:val="32"/>
        </w:rPr>
        <w:t>其中：年末财政拨款结转和结余0.00万元，本年财政拨款支出1,494.28万元。</w:t>
      </w:r>
    </w:p>
    <w:p w14:paraId="085A569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减少727.25万元，下降32.74%，主要原因是：本年在职人员减少，工资、社保、公积金等相关人员经费减少</w:t>
      </w:r>
      <w:r>
        <w:rPr>
          <w:rFonts w:hint="eastAsia" w:ascii="仿宋_GB2312" w:hAnsi="仿宋_GB2312" w:eastAsia="仿宋_GB2312"/>
          <w:b w:val="0"/>
          <w:sz w:val="32"/>
          <w:lang w:eastAsia="zh-CN"/>
        </w:rPr>
        <w:t>；本年</w:t>
      </w:r>
      <w:r>
        <w:rPr>
          <w:rFonts w:ascii="仿宋_GB2312" w:hAnsi="仿宋_GB2312" w:eastAsia="仿宋_GB2312"/>
          <w:b w:val="0"/>
          <w:sz w:val="32"/>
        </w:rPr>
        <w:t>现代职业教育质量提升项目资金减少。</w:t>
      </w:r>
      <w:r>
        <w:rPr>
          <w:rFonts w:ascii="仿宋_GB2312" w:hAnsi="仿宋_GB2312" w:eastAsia="仿宋_GB2312"/>
          <w:b/>
          <w:sz w:val="32"/>
        </w:rPr>
        <w:t>与年初预算相比，</w:t>
      </w:r>
      <w:r>
        <w:rPr>
          <w:rFonts w:ascii="仿宋_GB2312" w:hAnsi="仿宋_GB2312" w:eastAsia="仿宋_GB2312"/>
          <w:b w:val="0"/>
          <w:sz w:val="32"/>
        </w:rPr>
        <w:t>年初预算数1,503.16万元，决算数1,494.28万元，预决算差异率-0.59%，主要原因是：本年在职人员减少，年中调减人员经费，导致预决算存在差异。</w:t>
      </w:r>
    </w:p>
    <w:p w14:paraId="4539ED0C">
      <w:pPr>
        <w:spacing w:line="640" w:lineRule="exact"/>
        <w:ind w:firstLine="640"/>
        <w:jc w:val="both"/>
        <w:outlineLvl w:val="2"/>
      </w:pPr>
      <w:r>
        <w:rPr>
          <w:rFonts w:ascii="黑体" w:hAnsi="黑体" w:eastAsia="黑体"/>
          <w:sz w:val="32"/>
        </w:rPr>
        <w:t>五、一般公共预算财政拨款支出决算情况说明</w:t>
      </w:r>
    </w:p>
    <w:p w14:paraId="3D1A2FE1">
      <w:pPr>
        <w:spacing w:line="640" w:lineRule="exact"/>
        <w:ind w:firstLine="640"/>
        <w:jc w:val="both"/>
        <w:outlineLvl w:val="3"/>
      </w:pPr>
      <w:r>
        <w:rPr>
          <w:rFonts w:ascii="楷体_GB2312" w:hAnsi="楷体_GB2312" w:eastAsia="楷体_GB2312"/>
          <w:b/>
          <w:sz w:val="32"/>
        </w:rPr>
        <w:t>（一）一般公共预算财政拨款支出决算总体情况</w:t>
      </w:r>
    </w:p>
    <w:p w14:paraId="7807F6EB">
      <w:pPr>
        <w:spacing w:line="580" w:lineRule="exact"/>
        <w:ind w:firstLine="640"/>
        <w:jc w:val="both"/>
      </w:pPr>
      <w:r>
        <w:rPr>
          <w:rFonts w:ascii="仿宋_GB2312" w:hAnsi="仿宋_GB2312" w:eastAsia="仿宋_GB2312"/>
          <w:b/>
          <w:sz w:val="32"/>
        </w:rPr>
        <w:t>2024年度一般公共预算财政拨款支出1,494.28万元，</w:t>
      </w:r>
      <w:r>
        <w:rPr>
          <w:rFonts w:ascii="仿宋_GB2312" w:hAnsi="仿宋_GB2312" w:eastAsia="仿宋_GB2312"/>
          <w:b w:val="0"/>
          <w:sz w:val="32"/>
        </w:rPr>
        <w:t>占本年支出合计的78.31%。</w:t>
      </w:r>
      <w:r>
        <w:rPr>
          <w:rFonts w:ascii="仿宋_GB2312" w:hAnsi="仿宋_GB2312" w:eastAsia="仿宋_GB2312"/>
          <w:b/>
          <w:sz w:val="32"/>
        </w:rPr>
        <w:t>与上年相比，</w:t>
      </w:r>
      <w:r>
        <w:rPr>
          <w:rFonts w:ascii="仿宋_GB2312" w:hAnsi="仿宋_GB2312" w:eastAsia="仿宋_GB2312"/>
          <w:b w:val="0"/>
          <w:sz w:val="32"/>
        </w:rPr>
        <w:t>减少727.25万元，下降32.74%，主要原因是：本年在职人员减少，工资、社保、公积金等相关人员经费减少</w:t>
      </w:r>
      <w:r>
        <w:rPr>
          <w:rFonts w:hint="eastAsia" w:ascii="仿宋_GB2312" w:hAnsi="仿宋_GB2312" w:eastAsia="仿宋_GB2312"/>
          <w:b w:val="0"/>
          <w:sz w:val="32"/>
          <w:lang w:eastAsia="zh-CN"/>
        </w:rPr>
        <w:t>；本年</w:t>
      </w:r>
      <w:r>
        <w:rPr>
          <w:rFonts w:ascii="仿宋_GB2312" w:hAnsi="仿宋_GB2312" w:eastAsia="仿宋_GB2312"/>
          <w:b w:val="0"/>
          <w:sz w:val="32"/>
        </w:rPr>
        <w:t>现代职业教育质量提升项目资金减少。</w:t>
      </w:r>
      <w:r>
        <w:rPr>
          <w:rFonts w:ascii="仿宋_GB2312" w:hAnsi="仿宋_GB2312" w:eastAsia="仿宋_GB2312"/>
          <w:b/>
          <w:sz w:val="32"/>
        </w:rPr>
        <w:t>与年初预算相比,</w:t>
      </w:r>
      <w:r>
        <w:rPr>
          <w:rFonts w:ascii="仿宋_GB2312" w:hAnsi="仿宋_GB2312" w:eastAsia="仿宋_GB2312"/>
          <w:b w:val="0"/>
          <w:sz w:val="32"/>
        </w:rPr>
        <w:t>年初预算数1,503.16万元，决算数1,494.28万元，预决算差异率-0.59%，主要原因是：本年在职人员减少，年中调减人员经费，导致预决算存在差异。</w:t>
      </w:r>
    </w:p>
    <w:p w14:paraId="3668EA63">
      <w:pPr>
        <w:spacing w:line="640" w:lineRule="exact"/>
        <w:ind w:firstLine="640"/>
        <w:jc w:val="both"/>
        <w:outlineLvl w:val="3"/>
      </w:pPr>
      <w:r>
        <w:rPr>
          <w:rFonts w:ascii="楷体_GB2312" w:hAnsi="楷体_GB2312" w:eastAsia="楷体_GB2312"/>
          <w:b/>
          <w:sz w:val="32"/>
        </w:rPr>
        <w:t>（二）一般公共预算财政拨款支出决算结构情况</w:t>
      </w:r>
    </w:p>
    <w:p w14:paraId="427670FE">
      <w:pPr>
        <w:spacing w:line="580" w:lineRule="exact"/>
        <w:ind w:firstLine="640"/>
        <w:jc w:val="both"/>
      </w:pPr>
      <w:r>
        <w:rPr>
          <w:rFonts w:ascii="仿宋_GB2312" w:hAnsi="仿宋_GB2312" w:eastAsia="仿宋_GB2312"/>
          <w:b w:val="0"/>
          <w:sz w:val="32"/>
        </w:rPr>
        <w:t>1.教育支出(类)1,494.28万元,占100.00%。</w:t>
      </w:r>
    </w:p>
    <w:p w14:paraId="7002C631">
      <w:pPr>
        <w:spacing w:line="640" w:lineRule="exact"/>
        <w:ind w:firstLine="640"/>
        <w:jc w:val="both"/>
        <w:outlineLvl w:val="3"/>
      </w:pPr>
      <w:r>
        <w:rPr>
          <w:rFonts w:ascii="楷体_GB2312" w:hAnsi="楷体_GB2312" w:eastAsia="楷体_GB2312"/>
          <w:b/>
          <w:sz w:val="32"/>
        </w:rPr>
        <w:t>（三）一般公共预算财政拨款支出决算具体情况</w:t>
      </w:r>
    </w:p>
    <w:p w14:paraId="2836B7B4">
      <w:pPr>
        <w:spacing w:line="580" w:lineRule="exact"/>
        <w:ind w:firstLine="640"/>
        <w:jc w:val="both"/>
      </w:pPr>
      <w:r>
        <w:rPr>
          <w:rFonts w:ascii="仿宋_GB2312" w:hAnsi="仿宋_GB2312" w:eastAsia="仿宋_GB2312"/>
          <w:b w:val="0"/>
          <w:sz w:val="32"/>
        </w:rPr>
        <w:t>1.教育支出(类)职业教育(款)中等职业教育(项):支出决算数为1,494.28万元，比上年决算减少366.87万元，下降19.71%,主要原因是：本年在职人员减少，工资、公积金等相关人员经费减少，现代职业教育质量提升项目资金减少。</w:t>
      </w:r>
    </w:p>
    <w:p w14:paraId="2E066FCE">
      <w:pPr>
        <w:spacing w:line="580" w:lineRule="exact"/>
        <w:ind w:firstLine="640"/>
        <w:jc w:val="both"/>
      </w:pPr>
      <w:r>
        <w:rPr>
          <w:rFonts w:ascii="仿宋_GB2312" w:hAnsi="仿宋_GB2312" w:eastAsia="仿宋_GB2312"/>
          <w:b w:val="0"/>
          <w:sz w:val="32"/>
        </w:rPr>
        <w:t>2.教育支出(类)职业教育(款)其他职业教育支出(项):支出决算数为0.00万元，比上年决算减少300.89万元，下降100.00%,主要原因是：本年现代职业教育质量提升项目资金减少。</w:t>
      </w:r>
    </w:p>
    <w:p w14:paraId="184D80D5">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3.教育支出(类)教育费附加安排的支出(款)其他教育费附加安排的支出(项):支出决算数为0.00万元，比上年决算减少3.00万元，下降100.00%,主要原因是：本年减少地方教育费附加项目经费。</w:t>
      </w:r>
    </w:p>
    <w:p w14:paraId="2DB3CD4A">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46.94万元，下降100.00%,主要原因是：本年功能科目调整，养老保险缴费上年度单独列支，本年调整至主科目列支，导致经费较上年减少。</w:t>
      </w:r>
    </w:p>
    <w:p w14:paraId="089F0286">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9.55万元，下降100.00%,主要原因是：本年功能科目调整，养老保险缴费上年度单独列支，本年调整至主科目列支，导致经费较上年减少。</w:t>
      </w:r>
    </w:p>
    <w:p w14:paraId="1B11B6EC">
      <w:pPr>
        <w:spacing w:line="640" w:lineRule="exact"/>
        <w:ind w:firstLine="640"/>
        <w:jc w:val="both"/>
        <w:outlineLvl w:val="2"/>
      </w:pPr>
      <w:r>
        <w:rPr>
          <w:rFonts w:ascii="黑体" w:hAnsi="黑体" w:eastAsia="黑体"/>
          <w:sz w:val="32"/>
        </w:rPr>
        <w:t>六、一般公共预算财政拨款基本支出决算情况说明</w:t>
      </w:r>
    </w:p>
    <w:p w14:paraId="1AC32A5C">
      <w:pPr>
        <w:spacing w:line="580" w:lineRule="exact"/>
        <w:ind w:firstLine="640"/>
        <w:jc w:val="both"/>
      </w:pPr>
      <w:r>
        <w:rPr>
          <w:rFonts w:ascii="仿宋_GB2312" w:hAnsi="仿宋_GB2312" w:eastAsia="仿宋_GB2312"/>
          <w:b w:val="0"/>
          <w:sz w:val="32"/>
        </w:rPr>
        <w:t>2024年度一般公共预算财政拨款基本支出502.35万元，其中：</w:t>
      </w:r>
      <w:r>
        <w:rPr>
          <w:rFonts w:ascii="仿宋_GB2312" w:hAnsi="仿宋_GB2312" w:eastAsia="仿宋_GB2312"/>
          <w:b/>
          <w:sz w:val="32"/>
        </w:rPr>
        <w:t>人员经费502.35万元，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68D2CC3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60C1E7A">
      <w:pPr>
        <w:spacing w:line="640" w:lineRule="exact"/>
        <w:ind w:firstLine="640"/>
        <w:jc w:val="both"/>
        <w:outlineLvl w:val="2"/>
      </w:pPr>
      <w:r>
        <w:rPr>
          <w:rFonts w:ascii="黑体" w:hAnsi="黑体" w:eastAsia="黑体"/>
          <w:sz w:val="32"/>
        </w:rPr>
        <w:t>七、政府性基金预算财政拨款收入支出决算情况说明</w:t>
      </w:r>
    </w:p>
    <w:p w14:paraId="1768D29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8658A3">
      <w:pPr>
        <w:spacing w:line="640" w:lineRule="exact"/>
        <w:ind w:firstLine="640"/>
        <w:jc w:val="both"/>
        <w:outlineLvl w:val="2"/>
      </w:pPr>
      <w:r>
        <w:rPr>
          <w:rFonts w:ascii="黑体" w:hAnsi="黑体" w:eastAsia="黑体"/>
          <w:sz w:val="32"/>
        </w:rPr>
        <w:t>八、国有资本经营预算财政拨款收入支出决算情况说明</w:t>
      </w:r>
    </w:p>
    <w:p w14:paraId="1ECC516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A346A9">
      <w:pPr>
        <w:spacing w:line="640" w:lineRule="exact"/>
        <w:ind w:firstLine="640"/>
        <w:jc w:val="both"/>
        <w:outlineLvl w:val="2"/>
      </w:pPr>
      <w:r>
        <w:rPr>
          <w:rFonts w:ascii="黑体" w:hAnsi="黑体" w:eastAsia="黑体"/>
          <w:sz w:val="32"/>
        </w:rPr>
        <w:t>九、财政拨款“三公”经费支出决算情况说明</w:t>
      </w:r>
    </w:p>
    <w:p w14:paraId="0291D09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B6F20C3">
      <w:pPr>
        <w:spacing w:line="580" w:lineRule="exact"/>
        <w:ind w:firstLine="640"/>
        <w:jc w:val="both"/>
      </w:pPr>
      <w:r>
        <w:rPr>
          <w:rFonts w:ascii="仿宋_GB2312" w:hAnsi="仿宋_GB2312" w:eastAsia="仿宋_GB2312"/>
          <w:b/>
          <w:sz w:val="32"/>
        </w:rPr>
        <w:t>具体情况如下：</w:t>
      </w:r>
    </w:p>
    <w:p w14:paraId="45EEEBD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980363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E1B72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27B82C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58F8A0A">
      <w:pPr>
        <w:spacing w:line="640" w:lineRule="exact"/>
        <w:ind w:firstLine="640"/>
        <w:jc w:val="both"/>
        <w:outlineLvl w:val="2"/>
      </w:pPr>
      <w:r>
        <w:rPr>
          <w:rFonts w:ascii="黑体" w:hAnsi="黑体" w:eastAsia="黑体"/>
          <w:sz w:val="32"/>
        </w:rPr>
        <w:t>十、其他重要事项的情况说明</w:t>
      </w:r>
    </w:p>
    <w:p w14:paraId="33857142">
      <w:pPr>
        <w:spacing w:line="640" w:lineRule="exact"/>
        <w:ind w:firstLine="640"/>
        <w:jc w:val="both"/>
        <w:outlineLvl w:val="3"/>
      </w:pPr>
      <w:r>
        <w:rPr>
          <w:rFonts w:ascii="楷体_GB2312" w:hAnsi="楷体_GB2312" w:eastAsia="楷体_GB2312"/>
          <w:b/>
          <w:sz w:val="32"/>
        </w:rPr>
        <w:t>（一）机关运行经费及公用经费支出情况</w:t>
      </w:r>
    </w:p>
    <w:p w14:paraId="1B35C22E">
      <w:pPr>
        <w:spacing w:line="580" w:lineRule="exact"/>
        <w:ind w:firstLine="640"/>
        <w:jc w:val="both"/>
      </w:pPr>
      <w:r>
        <w:rPr>
          <w:rFonts w:ascii="仿宋_GB2312" w:hAnsi="仿宋_GB2312" w:eastAsia="仿宋_GB2312"/>
          <w:b w:val="0"/>
          <w:sz w:val="32"/>
        </w:rPr>
        <w:t>2024年度岳普湖县中等职业技术学校（事业单位）公用经费支出0.00万元，比上年增加0.00万元，增长0.00%，主要原因是：2023年与2024年均未安排公用经费支出。</w:t>
      </w:r>
    </w:p>
    <w:p w14:paraId="5D4EF00E">
      <w:pPr>
        <w:spacing w:line="640" w:lineRule="exact"/>
        <w:ind w:firstLine="640"/>
        <w:jc w:val="both"/>
        <w:outlineLvl w:val="3"/>
      </w:pPr>
      <w:r>
        <w:rPr>
          <w:rFonts w:ascii="楷体_GB2312" w:hAnsi="楷体_GB2312" w:eastAsia="楷体_GB2312"/>
          <w:b/>
          <w:sz w:val="32"/>
        </w:rPr>
        <w:t>（二）政府采购情况</w:t>
      </w:r>
    </w:p>
    <w:p w14:paraId="39CF3376">
      <w:pPr>
        <w:spacing w:line="580" w:lineRule="exact"/>
        <w:ind w:firstLine="640"/>
        <w:jc w:val="both"/>
      </w:pPr>
      <w:r>
        <w:rPr>
          <w:rFonts w:ascii="仿宋_GB2312" w:hAnsi="仿宋_GB2312" w:eastAsia="仿宋_GB2312"/>
          <w:b w:val="0"/>
          <w:sz w:val="32"/>
        </w:rPr>
        <w:t>2024年度政府采购支出总额17.19万元，其中：政府采购货物支出0.00万元、政府采购工程支出17.19万元、政府采购服务支出0.00万元。</w:t>
      </w:r>
    </w:p>
    <w:p w14:paraId="7B6DC872">
      <w:pPr>
        <w:spacing w:line="580" w:lineRule="exact"/>
        <w:ind w:firstLine="640"/>
        <w:jc w:val="both"/>
      </w:pPr>
      <w:r>
        <w:rPr>
          <w:rFonts w:ascii="仿宋_GB2312" w:hAnsi="仿宋_GB2312" w:eastAsia="仿宋_GB2312"/>
          <w:b w:val="0"/>
          <w:sz w:val="32"/>
        </w:rPr>
        <w:t>授予中小企业合同金额17.19万元，占政府采购支出总额的100.00%，其中：授予小微企业合同金额17.19万元，占政府采购支出总额的100.00%。</w:t>
      </w:r>
    </w:p>
    <w:p w14:paraId="640EC63A">
      <w:pPr>
        <w:spacing w:line="640" w:lineRule="exact"/>
        <w:ind w:firstLine="640"/>
        <w:jc w:val="both"/>
        <w:outlineLvl w:val="3"/>
      </w:pPr>
      <w:r>
        <w:rPr>
          <w:rFonts w:ascii="楷体_GB2312" w:hAnsi="楷体_GB2312" w:eastAsia="楷体_GB2312"/>
          <w:b/>
          <w:sz w:val="32"/>
        </w:rPr>
        <w:t>（三）国有资产占用情况说明</w:t>
      </w:r>
    </w:p>
    <w:p w14:paraId="2EFB46C6">
      <w:pPr>
        <w:spacing w:line="580" w:lineRule="exact"/>
        <w:ind w:firstLine="640"/>
        <w:jc w:val="both"/>
      </w:pPr>
      <w:r>
        <w:rPr>
          <w:rFonts w:ascii="仿宋_GB2312" w:hAnsi="仿宋_GB2312" w:eastAsia="仿宋_GB2312"/>
          <w:b w:val="0"/>
          <w:sz w:val="32"/>
        </w:rPr>
        <w:t>截至2024年12月31日，房屋34,216.91平方米，价值5,164.82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3C304806">
      <w:pPr>
        <w:spacing w:line="640" w:lineRule="exact"/>
        <w:ind w:firstLine="640"/>
        <w:jc w:val="both"/>
        <w:outlineLvl w:val="2"/>
      </w:pPr>
      <w:r>
        <w:rPr>
          <w:rFonts w:ascii="黑体" w:hAnsi="黑体" w:eastAsia="黑体"/>
          <w:sz w:val="32"/>
        </w:rPr>
        <w:t>十一、预算绩效的情况说明</w:t>
      </w:r>
    </w:p>
    <w:p w14:paraId="0EF759C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1FEBC406">
      <w:r>
        <w:br w:type="page"/>
      </w:r>
    </w:p>
    <w:p w14:paraId="73DE8A39">
      <w:pPr>
        <w:spacing w:line="640" w:lineRule="exact"/>
        <w:ind w:firstLine="640"/>
        <w:jc w:val="both"/>
        <w:outlineLvl w:val="2"/>
      </w:pPr>
      <w:r>
        <w:rPr>
          <w:rFonts w:ascii="黑体" w:hAnsi="黑体" w:eastAsia="黑体"/>
          <w:sz w:val="32"/>
        </w:rPr>
        <w:t>十二、其他需说明的事项</w:t>
      </w:r>
    </w:p>
    <w:p w14:paraId="64996181">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375FF3FB">
      <w:r>
        <w:br w:type="page"/>
      </w:r>
    </w:p>
    <w:p w14:paraId="262C9ED8">
      <w:pPr>
        <w:spacing w:line="240" w:lineRule="auto"/>
        <w:jc w:val="center"/>
        <w:outlineLvl w:val="1"/>
      </w:pPr>
      <w:r>
        <w:rPr>
          <w:rFonts w:ascii="黑体" w:hAnsi="黑体" w:eastAsia="黑体"/>
          <w:sz w:val="32"/>
        </w:rPr>
        <w:t>第三部分 专业名词解释</w:t>
      </w:r>
    </w:p>
    <w:p w14:paraId="58B8928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A6BC6E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29204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FB929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2DC24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EA911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19842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37ABD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2768A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053C5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5CB83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6D3D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997B4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9A14D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C4C1906">
      <w:r>
        <w:br w:type="page"/>
      </w:r>
    </w:p>
    <w:p w14:paraId="11174292">
      <w:pPr>
        <w:spacing w:line="240" w:lineRule="auto"/>
        <w:jc w:val="center"/>
        <w:outlineLvl w:val="1"/>
      </w:pPr>
      <w:r>
        <w:rPr>
          <w:rFonts w:ascii="黑体" w:hAnsi="黑体" w:eastAsia="黑体"/>
          <w:sz w:val="32"/>
        </w:rPr>
        <w:t>第四部分 部门决算报表（见附表）</w:t>
      </w:r>
    </w:p>
    <w:p w14:paraId="262A1F5F">
      <w:pPr>
        <w:spacing w:line="240" w:lineRule="auto"/>
        <w:ind w:firstLine="640"/>
        <w:jc w:val="both"/>
      </w:pPr>
      <w:r>
        <w:rPr>
          <w:rFonts w:ascii="仿宋_GB2312" w:hAnsi="仿宋_GB2312" w:eastAsia="仿宋_GB2312"/>
          <w:b w:val="0"/>
          <w:sz w:val="32"/>
        </w:rPr>
        <w:t>一、《收入支出决算总表》</w:t>
      </w:r>
    </w:p>
    <w:p w14:paraId="42381B52">
      <w:pPr>
        <w:spacing w:line="240" w:lineRule="auto"/>
        <w:ind w:firstLine="640"/>
        <w:jc w:val="both"/>
      </w:pPr>
      <w:r>
        <w:rPr>
          <w:rFonts w:ascii="仿宋_GB2312" w:hAnsi="仿宋_GB2312" w:eastAsia="仿宋_GB2312"/>
          <w:b w:val="0"/>
          <w:sz w:val="32"/>
        </w:rPr>
        <w:t>二、《收入决算表》</w:t>
      </w:r>
    </w:p>
    <w:p w14:paraId="4AFD53F2">
      <w:pPr>
        <w:spacing w:line="240" w:lineRule="auto"/>
        <w:ind w:firstLine="640"/>
        <w:jc w:val="both"/>
      </w:pPr>
      <w:r>
        <w:rPr>
          <w:rFonts w:ascii="仿宋_GB2312" w:hAnsi="仿宋_GB2312" w:eastAsia="仿宋_GB2312"/>
          <w:b w:val="0"/>
          <w:sz w:val="32"/>
        </w:rPr>
        <w:t>三、《支出决算表》</w:t>
      </w:r>
    </w:p>
    <w:p w14:paraId="7C022F50">
      <w:pPr>
        <w:spacing w:line="240" w:lineRule="auto"/>
        <w:ind w:firstLine="640"/>
        <w:jc w:val="both"/>
      </w:pPr>
      <w:r>
        <w:rPr>
          <w:rFonts w:ascii="仿宋_GB2312" w:hAnsi="仿宋_GB2312" w:eastAsia="仿宋_GB2312"/>
          <w:b w:val="0"/>
          <w:sz w:val="32"/>
        </w:rPr>
        <w:t>四、《财政拨款收入支出决算总表》</w:t>
      </w:r>
    </w:p>
    <w:p w14:paraId="1C8A7155">
      <w:pPr>
        <w:spacing w:line="240" w:lineRule="auto"/>
        <w:ind w:firstLine="640"/>
        <w:jc w:val="both"/>
      </w:pPr>
      <w:r>
        <w:rPr>
          <w:rFonts w:ascii="仿宋_GB2312" w:hAnsi="仿宋_GB2312" w:eastAsia="仿宋_GB2312"/>
          <w:b w:val="0"/>
          <w:sz w:val="32"/>
        </w:rPr>
        <w:t>五、《一般公共预算财政拨款支出决算表》</w:t>
      </w:r>
    </w:p>
    <w:p w14:paraId="179F87C4">
      <w:pPr>
        <w:spacing w:line="240" w:lineRule="auto"/>
        <w:ind w:firstLine="640"/>
        <w:jc w:val="both"/>
      </w:pPr>
      <w:r>
        <w:rPr>
          <w:rFonts w:ascii="仿宋_GB2312" w:hAnsi="仿宋_GB2312" w:eastAsia="仿宋_GB2312"/>
          <w:b w:val="0"/>
          <w:sz w:val="32"/>
        </w:rPr>
        <w:t>六、《一般公共预算财政拨款基本支出决算表》</w:t>
      </w:r>
    </w:p>
    <w:p w14:paraId="33B6FA8D">
      <w:pPr>
        <w:spacing w:line="240" w:lineRule="auto"/>
        <w:ind w:firstLine="640"/>
        <w:jc w:val="both"/>
      </w:pPr>
      <w:r>
        <w:rPr>
          <w:rFonts w:ascii="仿宋_GB2312" w:hAnsi="仿宋_GB2312" w:eastAsia="仿宋_GB2312"/>
          <w:b w:val="0"/>
          <w:sz w:val="32"/>
        </w:rPr>
        <w:t>七、《政府性基金预算财政拨款收入支出决算表》</w:t>
      </w:r>
    </w:p>
    <w:p w14:paraId="2B8B19A6">
      <w:pPr>
        <w:spacing w:line="240" w:lineRule="auto"/>
        <w:ind w:firstLine="640"/>
        <w:jc w:val="both"/>
      </w:pPr>
      <w:r>
        <w:rPr>
          <w:rFonts w:ascii="仿宋_GB2312" w:hAnsi="仿宋_GB2312" w:eastAsia="仿宋_GB2312"/>
          <w:b w:val="0"/>
          <w:sz w:val="32"/>
        </w:rPr>
        <w:t>八、《国有资本经营预算财政拨款收入支出决算表》</w:t>
      </w:r>
    </w:p>
    <w:p w14:paraId="37AF553D">
      <w:pPr>
        <w:spacing w:line="240" w:lineRule="auto"/>
        <w:ind w:firstLine="640"/>
        <w:jc w:val="both"/>
      </w:pPr>
      <w:r>
        <w:rPr>
          <w:rFonts w:ascii="仿宋_GB2312" w:hAnsi="仿宋_GB2312" w:eastAsia="仿宋_GB2312"/>
          <w:b w:val="0"/>
          <w:sz w:val="32"/>
        </w:rPr>
        <w:t>九、《财政拨款“三公”经费支出决算表》</w:t>
      </w:r>
    </w:p>
    <w:p w14:paraId="7C403BB8">
      <w:pPr>
        <w:spacing w:line="240" w:lineRule="auto"/>
        <w:ind w:firstLine="640"/>
        <w:jc w:val="both"/>
      </w:pPr>
    </w:p>
    <w:p w14:paraId="28EDB0AC">
      <w:pPr>
        <w:spacing w:line="240" w:lineRule="auto"/>
        <w:ind w:firstLine="640"/>
        <w:jc w:val="both"/>
      </w:pPr>
    </w:p>
    <w:p w14:paraId="0A79E130">
      <w:pPr>
        <w:spacing w:line="240" w:lineRule="auto"/>
        <w:ind w:firstLine="640"/>
        <w:jc w:val="both"/>
      </w:pPr>
    </w:p>
    <w:p w14:paraId="2B0C3D8B">
      <w:pPr>
        <w:spacing w:line="240" w:lineRule="auto"/>
        <w:ind w:firstLine="640"/>
        <w:jc w:val="both"/>
      </w:pPr>
    </w:p>
    <w:p w14:paraId="6681E12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A156AF"/>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092CEE"/>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5050</Words>
  <Characters>5682</Characters>
  <Lines>0</Lines>
  <Paragraphs>0</Paragraphs>
  <TotalTime>4</TotalTime>
  <ScaleCrop>false</ScaleCrop>
  <LinksUpToDate>false</LinksUpToDate>
  <CharactersWithSpaces>5692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