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岳普湖县岳普湖镇文化路社区幼儿园2024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41E3B18">
      <w:r>
        <w:br w:type="page"/>
      </w:r>
    </w:p>
    <w:p w14:paraId="1229547A">
      <w:pPr>
        <w:spacing w:line="640" w:lineRule="exact"/>
        <w:jc w:val="center"/>
        <w:outlineLvl w:val="1"/>
      </w:pPr>
      <w:r>
        <w:rPr>
          <w:rFonts w:ascii="黑体" w:hAnsi="黑体" w:eastAsia="黑体"/>
          <w:sz w:val="32"/>
        </w:rPr>
        <w:t>第一部分 单位概况</w:t>
      </w:r>
    </w:p>
    <w:p w14:paraId="2E455693">
      <w:pPr>
        <w:spacing w:line="640" w:lineRule="exact"/>
        <w:ind w:firstLine="640"/>
        <w:jc w:val="both"/>
        <w:outlineLvl w:val="2"/>
      </w:pPr>
      <w:r>
        <w:rPr>
          <w:rFonts w:ascii="黑体" w:hAnsi="黑体" w:eastAsia="黑体"/>
          <w:sz w:val="32"/>
        </w:rPr>
        <w:t>一、主要职能</w:t>
      </w:r>
    </w:p>
    <w:p w14:paraId="2D208403">
      <w:pPr>
        <w:spacing w:line="580" w:lineRule="exact"/>
        <w:ind w:firstLine="640"/>
        <w:jc w:val="both"/>
      </w:pPr>
      <w:r>
        <w:rPr>
          <w:rFonts w:ascii="仿宋_GB2312" w:hAnsi="仿宋_GB2312" w:eastAsia="仿宋_GB2312"/>
          <w:sz w:val="32"/>
        </w:rPr>
        <w:t>1.按照国家规定的课程标准，开展教学活动，传授学科知识，培养幼儿的学习能力和思维能力。制定教学计划，合理安排教学进度，确保教学任务按时完成。运用多种教学方法和手段，激发幼儿的学习兴趣，提高教学效果。</w:t>
      </w:r>
    </w:p>
    <w:p w14:paraId="4414F328">
      <w:pPr>
        <w:spacing w:line="580" w:lineRule="exact"/>
        <w:ind w:firstLine="640"/>
        <w:jc w:val="both"/>
      </w:pPr>
      <w:r>
        <w:rPr>
          <w:rFonts w:ascii="仿宋_GB2312" w:hAnsi="仿宋_GB2312" w:eastAsia="仿宋_GB2312"/>
          <w:sz w:val="32"/>
        </w:rPr>
        <w:t>2.注重幼儿的全面发展，培养幼儿的综合素质。开展品德教育，培养幼儿良好的道德品质和行为习惯。组织体育、艺术、科技等活动，提高幼儿的身体素质、审美能力和创新精神。</w:t>
      </w:r>
    </w:p>
    <w:p w14:paraId="5693FEA6">
      <w:pPr>
        <w:spacing w:line="580" w:lineRule="exact"/>
        <w:ind w:firstLine="640"/>
        <w:jc w:val="both"/>
      </w:pPr>
      <w:r>
        <w:rPr>
          <w:rFonts w:ascii="仿宋_GB2312" w:hAnsi="仿宋_GB2312" w:eastAsia="仿宋_GB2312"/>
          <w:sz w:val="32"/>
        </w:rPr>
        <w:t>3.关注幼儿的身心健康，提供必要的心理辅导和支持。开展心理健康教育活动，提高幼儿的心理素质。与家长保持密切联系，共同关注幼儿的成长。</w:t>
      </w:r>
    </w:p>
    <w:p w14:paraId="2134BD41">
      <w:pPr>
        <w:spacing w:line="580" w:lineRule="exact"/>
        <w:ind w:firstLine="640"/>
        <w:jc w:val="both"/>
      </w:pPr>
      <w:r>
        <w:rPr>
          <w:rFonts w:ascii="仿宋_GB2312" w:hAnsi="仿宋_GB2312" w:eastAsia="仿宋_GB2312"/>
          <w:sz w:val="32"/>
        </w:rPr>
        <w:t>4.传承和弘扬优秀传统文化，培养幼儿的民族自豪感和爱国精神。开设传统文化课程，如国学、书法、武术等。组织传统文化活动，如经典诵读、传统节日庆祝等。</w:t>
      </w:r>
    </w:p>
    <w:p w14:paraId="1E9A64B9">
      <w:pPr>
        <w:spacing w:line="640" w:lineRule="exact"/>
        <w:ind w:firstLine="640"/>
        <w:jc w:val="both"/>
        <w:outlineLvl w:val="2"/>
      </w:pPr>
      <w:r>
        <w:rPr>
          <w:rFonts w:ascii="黑体" w:hAnsi="黑体" w:eastAsia="黑体"/>
          <w:sz w:val="32"/>
        </w:rPr>
        <w:t>二、机构设置及人员情况</w:t>
      </w:r>
    </w:p>
    <w:p w14:paraId="0626C0B9">
      <w:pPr>
        <w:spacing w:line="580" w:lineRule="exact"/>
        <w:ind w:firstLine="640"/>
        <w:jc w:val="both"/>
      </w:pPr>
      <w:r>
        <w:rPr>
          <w:rFonts w:ascii="仿宋_GB2312" w:hAnsi="仿宋_GB2312" w:eastAsia="仿宋_GB2312"/>
          <w:sz w:val="32"/>
        </w:rPr>
        <w:t>岳普湖县岳普湖镇文化路社区幼儿园2024年度，实有人数9人，其中：在职人员9人，增加0人；离休人员0人，增加0人；退休人员0人,增加0人。</w:t>
      </w:r>
    </w:p>
    <w:p w14:paraId="20C0780C">
      <w:pPr>
        <w:spacing w:line="580" w:lineRule="exact"/>
        <w:ind w:firstLine="640"/>
        <w:jc w:val="both"/>
      </w:pPr>
      <w:r>
        <w:rPr>
          <w:rFonts w:ascii="仿宋_GB2312" w:hAnsi="仿宋_GB2312" w:eastAsia="仿宋_GB2312"/>
          <w:sz w:val="32"/>
        </w:rPr>
        <w:t>岳普湖县岳普湖镇文化路社区幼儿园无下属预算单位，下设1个科室，分别是：办公室。</w:t>
      </w:r>
    </w:p>
    <w:p w14:paraId="065BE854">
      <w:r>
        <w:br w:type="page"/>
      </w:r>
    </w:p>
    <w:p w14:paraId="3AE2D520">
      <w:pPr>
        <w:spacing w:line="240" w:lineRule="auto"/>
        <w:jc w:val="center"/>
        <w:outlineLvl w:val="1"/>
      </w:pPr>
      <w:r>
        <w:rPr>
          <w:rFonts w:ascii="黑体" w:hAnsi="黑体" w:eastAsia="黑体"/>
          <w:sz w:val="32"/>
        </w:rPr>
        <w:t>第二部分 部门决算情况说明</w:t>
      </w:r>
    </w:p>
    <w:p w14:paraId="5B3A0108">
      <w:pPr>
        <w:spacing w:line="640" w:lineRule="exact"/>
        <w:ind w:firstLine="640"/>
        <w:jc w:val="both"/>
        <w:outlineLvl w:val="2"/>
      </w:pPr>
      <w:r>
        <w:rPr>
          <w:rFonts w:ascii="黑体" w:hAnsi="黑体" w:eastAsia="黑体"/>
          <w:sz w:val="32"/>
        </w:rPr>
        <w:t>一、收入支出决算总体情况说明</w:t>
      </w:r>
    </w:p>
    <w:p w14:paraId="7ECA1BE0">
      <w:pPr>
        <w:spacing w:line="580" w:lineRule="exact"/>
        <w:ind w:firstLine="640"/>
        <w:jc w:val="both"/>
      </w:pPr>
      <w:r>
        <w:rPr>
          <w:rFonts w:ascii="仿宋_GB2312" w:hAnsi="仿宋_GB2312" w:eastAsia="仿宋_GB2312"/>
          <w:b/>
          <w:sz w:val="32"/>
        </w:rPr>
        <w:t>2024年度收入总计144.96万元，</w:t>
      </w:r>
      <w:r>
        <w:rPr>
          <w:rFonts w:ascii="仿宋_GB2312" w:hAnsi="仿宋_GB2312" w:eastAsia="仿宋_GB2312"/>
          <w:b w:val="0"/>
          <w:sz w:val="32"/>
        </w:rPr>
        <w:t>其中：本年收入合计144.96万元，使用非财政拨款结余（含专用结余）0.00万元，年初结转和结余0.00万元。</w:t>
      </w:r>
    </w:p>
    <w:p w14:paraId="23670691">
      <w:pPr>
        <w:spacing w:line="580" w:lineRule="exact"/>
        <w:ind w:firstLine="640"/>
        <w:jc w:val="both"/>
      </w:pPr>
      <w:r>
        <w:rPr>
          <w:rFonts w:ascii="仿宋_GB2312" w:hAnsi="仿宋_GB2312" w:eastAsia="仿宋_GB2312"/>
          <w:b/>
          <w:sz w:val="32"/>
        </w:rPr>
        <w:t>2024年度支出总计144.96万元，</w:t>
      </w:r>
      <w:r>
        <w:rPr>
          <w:rFonts w:ascii="仿宋_GB2312" w:hAnsi="仿宋_GB2312" w:eastAsia="仿宋_GB2312"/>
          <w:b w:val="0"/>
          <w:sz w:val="32"/>
        </w:rPr>
        <w:t>其中：本年支出合计144.96万元，结余分配0.00万元，年末结转和结余0.00万元。</w:t>
      </w:r>
    </w:p>
    <w:p w14:paraId="4D9AC890">
      <w:pPr>
        <w:spacing w:line="580" w:lineRule="exact"/>
        <w:ind w:firstLine="640"/>
        <w:jc w:val="both"/>
      </w:pPr>
      <w:r>
        <w:rPr>
          <w:rFonts w:ascii="仿宋_GB2312" w:hAnsi="仿宋_GB2312" w:eastAsia="仿宋_GB2312"/>
          <w:b w:val="0"/>
          <w:sz w:val="32"/>
        </w:rPr>
        <w:t>收入支出总体与上年相比，减少66.68万元，下降31.51%，主要原因是：本年自聘教师减少，自聘教师费用减少。</w:t>
      </w:r>
    </w:p>
    <w:p w14:paraId="4E149BD1">
      <w:pPr>
        <w:spacing w:line="640" w:lineRule="exact"/>
        <w:ind w:firstLine="640"/>
        <w:jc w:val="both"/>
        <w:outlineLvl w:val="2"/>
      </w:pPr>
      <w:r>
        <w:rPr>
          <w:rFonts w:ascii="黑体" w:hAnsi="黑体" w:eastAsia="黑体"/>
          <w:sz w:val="32"/>
        </w:rPr>
        <w:t>二、收入决算情况说明</w:t>
      </w:r>
    </w:p>
    <w:p w14:paraId="170948CC">
      <w:pPr>
        <w:spacing w:line="580" w:lineRule="exact"/>
        <w:ind w:firstLine="640"/>
        <w:jc w:val="both"/>
      </w:pPr>
      <w:r>
        <w:rPr>
          <w:rFonts w:ascii="仿宋_GB2312" w:hAnsi="仿宋_GB2312" w:eastAsia="仿宋_GB2312"/>
          <w:b/>
          <w:sz w:val="32"/>
        </w:rPr>
        <w:t>本年收入144.96万元，</w:t>
      </w:r>
      <w:r>
        <w:rPr>
          <w:rFonts w:ascii="仿宋_GB2312" w:hAnsi="仿宋_GB2312" w:eastAsia="仿宋_GB2312"/>
          <w:b w:val="0"/>
          <w:sz w:val="32"/>
        </w:rPr>
        <w:t>其中：财政拨款收入144.96万元，占100.00%；上级补助收入0.00万元，占0.00%；事业收入0.00万元，占0.00%；经营收入0.00万元，占0.00%；附属单位上缴收入0.00万元，占0.00%；其他收入0.00万元，占0.00%。</w:t>
      </w:r>
    </w:p>
    <w:p w14:paraId="293E7BB4">
      <w:pPr>
        <w:spacing w:line="640" w:lineRule="exact"/>
        <w:ind w:firstLine="640"/>
        <w:jc w:val="both"/>
        <w:outlineLvl w:val="2"/>
      </w:pPr>
      <w:r>
        <w:rPr>
          <w:rFonts w:ascii="黑体" w:hAnsi="黑体" w:eastAsia="黑体"/>
          <w:sz w:val="32"/>
        </w:rPr>
        <w:t>三、支出决算情况说明</w:t>
      </w:r>
    </w:p>
    <w:p w14:paraId="27F2D8EB">
      <w:pPr>
        <w:spacing w:line="580" w:lineRule="exact"/>
        <w:ind w:firstLine="640"/>
        <w:jc w:val="both"/>
      </w:pPr>
      <w:r>
        <w:rPr>
          <w:rFonts w:ascii="仿宋_GB2312" w:hAnsi="仿宋_GB2312" w:eastAsia="仿宋_GB2312"/>
          <w:b/>
          <w:sz w:val="32"/>
        </w:rPr>
        <w:t>本年支出144.96万元，</w:t>
      </w:r>
      <w:r>
        <w:rPr>
          <w:rFonts w:ascii="仿宋_GB2312" w:hAnsi="仿宋_GB2312" w:eastAsia="仿宋_GB2312"/>
          <w:b w:val="0"/>
          <w:sz w:val="32"/>
        </w:rPr>
        <w:t>其中：基本支出144.96万元，占100.00%；项目支出0.00万元，占0.00%；上缴上级支出0.00万元，占0.00%；经营支出0.00万元，占0.00%；对附属单位补助支出0.00万元，占0.00%。</w:t>
      </w:r>
    </w:p>
    <w:p w14:paraId="0EE1D495">
      <w:pPr>
        <w:spacing w:line="640" w:lineRule="exact"/>
        <w:ind w:firstLine="640"/>
        <w:jc w:val="both"/>
        <w:outlineLvl w:val="2"/>
      </w:pPr>
      <w:r>
        <w:rPr>
          <w:rFonts w:ascii="黑体" w:hAnsi="黑体" w:eastAsia="黑体"/>
          <w:sz w:val="32"/>
        </w:rPr>
        <w:t>四、财政拨款收入支出决算总体情况说明</w:t>
      </w:r>
    </w:p>
    <w:p w14:paraId="7A4A14F4">
      <w:pPr>
        <w:spacing w:line="580" w:lineRule="exact"/>
        <w:ind w:firstLine="640"/>
        <w:jc w:val="both"/>
      </w:pPr>
      <w:r>
        <w:rPr>
          <w:rFonts w:ascii="仿宋_GB2312" w:hAnsi="仿宋_GB2312" w:eastAsia="仿宋_GB2312"/>
          <w:b/>
          <w:sz w:val="32"/>
        </w:rPr>
        <w:t>2024年度财政拨款收入总计144.96万元，</w:t>
      </w:r>
      <w:r>
        <w:rPr>
          <w:rFonts w:ascii="仿宋_GB2312" w:hAnsi="仿宋_GB2312" w:eastAsia="仿宋_GB2312"/>
          <w:b w:val="0"/>
          <w:sz w:val="32"/>
        </w:rPr>
        <w:t>其中：年初财政拨款结转和结余0.00万元，本年财政拨款收入144.96万元。</w:t>
      </w:r>
      <w:r>
        <w:rPr>
          <w:rFonts w:ascii="仿宋_GB2312" w:hAnsi="仿宋_GB2312" w:eastAsia="仿宋_GB2312"/>
          <w:b/>
          <w:sz w:val="32"/>
        </w:rPr>
        <w:t>财政拨款支出总计144.96万元，</w:t>
      </w:r>
      <w:r>
        <w:rPr>
          <w:rFonts w:ascii="仿宋_GB2312" w:hAnsi="仿宋_GB2312" w:eastAsia="仿宋_GB2312"/>
          <w:b w:val="0"/>
          <w:sz w:val="32"/>
        </w:rPr>
        <w:t>其中：年末财政拨款结转和结余0.00万元，本年财政拨款支出144.96万元。</w:t>
      </w:r>
    </w:p>
    <w:p w14:paraId="014F489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减少66.68万元，下降31.51%，主要原因是：本年自聘教师减少，自聘教师费用减少。</w:t>
      </w:r>
      <w:r>
        <w:rPr>
          <w:rFonts w:ascii="仿宋_GB2312" w:hAnsi="仿宋_GB2312" w:eastAsia="仿宋_GB2312"/>
          <w:b/>
          <w:sz w:val="32"/>
        </w:rPr>
        <w:t>与年初预算相比，</w:t>
      </w:r>
      <w:r>
        <w:rPr>
          <w:rFonts w:ascii="仿宋_GB2312" w:hAnsi="仿宋_GB2312" w:eastAsia="仿宋_GB2312"/>
          <w:b w:val="0"/>
          <w:sz w:val="32"/>
        </w:rPr>
        <w:t>年初预算数140.76万元，决算数144.96万元，预决算差异率2.98%，主要原因是：年中追加人员工资、社保、公积金基数调增部分资金，导致预决算存在差异。</w:t>
      </w:r>
    </w:p>
    <w:p w14:paraId="1D454104">
      <w:pPr>
        <w:spacing w:line="640" w:lineRule="exact"/>
        <w:ind w:firstLine="640"/>
        <w:jc w:val="both"/>
        <w:outlineLvl w:val="2"/>
      </w:pPr>
      <w:r>
        <w:rPr>
          <w:rFonts w:ascii="黑体" w:hAnsi="黑体" w:eastAsia="黑体"/>
          <w:sz w:val="32"/>
        </w:rPr>
        <w:t>五、一般公共预算财政拨款支出决算情况说明</w:t>
      </w:r>
    </w:p>
    <w:p w14:paraId="614F4316">
      <w:pPr>
        <w:spacing w:line="640" w:lineRule="exact"/>
        <w:ind w:firstLine="640"/>
        <w:jc w:val="both"/>
        <w:outlineLvl w:val="3"/>
      </w:pPr>
      <w:r>
        <w:rPr>
          <w:rFonts w:ascii="楷体_GB2312" w:hAnsi="楷体_GB2312" w:eastAsia="楷体_GB2312"/>
          <w:b/>
          <w:sz w:val="32"/>
        </w:rPr>
        <w:t>（一）一般公共预算财政拨款支出决算总体情况</w:t>
      </w:r>
    </w:p>
    <w:p w14:paraId="5A158B6B">
      <w:pPr>
        <w:spacing w:line="580" w:lineRule="exact"/>
        <w:ind w:firstLine="640"/>
        <w:jc w:val="both"/>
      </w:pPr>
      <w:r>
        <w:rPr>
          <w:rFonts w:ascii="仿宋_GB2312" w:hAnsi="仿宋_GB2312" w:eastAsia="仿宋_GB2312"/>
          <w:b/>
          <w:sz w:val="32"/>
        </w:rPr>
        <w:t>2024年度一般公共预算财政拨款支出144.96万元，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减少66.68万元，下降31.51%，主要原因是：本年自聘教师减少，自聘教师费用减少。</w:t>
      </w:r>
      <w:r>
        <w:rPr>
          <w:rFonts w:ascii="仿宋_GB2312" w:hAnsi="仿宋_GB2312" w:eastAsia="仿宋_GB2312"/>
          <w:b/>
          <w:sz w:val="32"/>
        </w:rPr>
        <w:t>与年初预算相比,</w:t>
      </w:r>
      <w:r>
        <w:rPr>
          <w:rFonts w:ascii="仿宋_GB2312" w:hAnsi="仿宋_GB2312" w:eastAsia="仿宋_GB2312"/>
          <w:b w:val="0"/>
          <w:sz w:val="32"/>
        </w:rPr>
        <w:t>年初预算数140.76万元，决算数144.96万元，预决算差异率2.98%，主要原因是：年中追加人员工资、社保、公积金基数调增部分资金，导致预决算存在差异。</w:t>
      </w:r>
    </w:p>
    <w:p w14:paraId="19F703BF">
      <w:pPr>
        <w:spacing w:line="640" w:lineRule="exact"/>
        <w:ind w:firstLine="640"/>
        <w:jc w:val="both"/>
        <w:outlineLvl w:val="3"/>
      </w:pPr>
      <w:r>
        <w:rPr>
          <w:rFonts w:ascii="楷体_GB2312" w:hAnsi="楷体_GB2312" w:eastAsia="楷体_GB2312"/>
          <w:b/>
          <w:sz w:val="32"/>
        </w:rPr>
        <w:t>（二）一般公共预算财政拨款支出决算结构情况</w:t>
      </w:r>
    </w:p>
    <w:p w14:paraId="65369FE0">
      <w:pPr>
        <w:spacing w:line="580" w:lineRule="exact"/>
        <w:ind w:firstLine="640"/>
        <w:jc w:val="both"/>
      </w:pPr>
      <w:r>
        <w:rPr>
          <w:rFonts w:ascii="仿宋_GB2312" w:hAnsi="仿宋_GB2312" w:eastAsia="仿宋_GB2312"/>
          <w:b w:val="0"/>
          <w:sz w:val="32"/>
        </w:rPr>
        <w:t>1.教育支出(类)144.96万元,占100.00%。</w:t>
      </w:r>
    </w:p>
    <w:p w14:paraId="71B82D63">
      <w:pPr>
        <w:spacing w:line="640" w:lineRule="exact"/>
        <w:ind w:firstLine="640"/>
        <w:jc w:val="both"/>
        <w:outlineLvl w:val="3"/>
      </w:pPr>
      <w:r>
        <w:rPr>
          <w:rFonts w:ascii="楷体_GB2312" w:hAnsi="楷体_GB2312" w:eastAsia="楷体_GB2312"/>
          <w:b/>
          <w:sz w:val="32"/>
        </w:rPr>
        <w:t>（三）一般公共预算财政拨款支出决算具体情况</w:t>
      </w:r>
    </w:p>
    <w:p w14:paraId="4E493F3B">
      <w:pPr>
        <w:spacing w:line="580" w:lineRule="exact"/>
        <w:ind w:firstLine="640"/>
        <w:jc w:val="both"/>
      </w:pPr>
      <w:r>
        <w:rPr>
          <w:rFonts w:ascii="仿宋_GB2312" w:hAnsi="仿宋_GB2312" w:eastAsia="仿宋_GB2312"/>
          <w:b w:val="0"/>
          <w:sz w:val="32"/>
        </w:rPr>
        <w:t>1.教育支出(类)普通教育(款)学前教育(项):支出决算数为144.96万元，比上年决算减少54.41万元，下降27.29%,主要原因是：本年自聘教师减少，自聘教师费用减少。</w:t>
      </w:r>
    </w:p>
    <w:p w14:paraId="4206F89A">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12.27万元，下降100.00%,主要原因是：本年功能科目调整，养老保险缴费上年度单独列支，本年调整至主科目列支，导致经费较上年减少。</w:t>
      </w:r>
    </w:p>
    <w:p w14:paraId="68536B3B">
      <w:pPr>
        <w:spacing w:line="640" w:lineRule="exact"/>
        <w:ind w:firstLine="640"/>
        <w:jc w:val="both"/>
        <w:outlineLvl w:val="2"/>
      </w:pPr>
      <w:r>
        <w:rPr>
          <w:rFonts w:ascii="黑体" w:hAnsi="黑体" w:eastAsia="黑体"/>
          <w:sz w:val="32"/>
        </w:rPr>
        <w:t>六、一般公共预算财政拨款基本支出决算情况说明</w:t>
      </w:r>
    </w:p>
    <w:p w14:paraId="51AD376E">
      <w:pPr>
        <w:spacing w:line="580" w:lineRule="exact"/>
        <w:ind w:firstLine="640"/>
        <w:jc w:val="both"/>
      </w:pPr>
      <w:r>
        <w:rPr>
          <w:rFonts w:ascii="仿宋_GB2312" w:hAnsi="仿宋_GB2312" w:eastAsia="仿宋_GB2312"/>
          <w:b w:val="0"/>
          <w:sz w:val="32"/>
        </w:rPr>
        <w:t>2024年度一般公共预算财政拨款基本支出144.96万元，其中：</w:t>
      </w:r>
      <w:r>
        <w:rPr>
          <w:rFonts w:ascii="仿宋_GB2312" w:hAnsi="仿宋_GB2312" w:eastAsia="仿宋_GB2312"/>
          <w:b/>
          <w:sz w:val="32"/>
        </w:rPr>
        <w:t>人员经费144.96万元，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包括：基本工资、津贴补贴、奖金、绩效工资、机关事业单位基本养老保险缴费、职工基本医疗保险缴费、其他社会保障缴费、住房公积金、其他工资福利支出、奖励金。</w:t>
      </w:r>
    </w:p>
    <w:p w14:paraId="13BAD659">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2A5A0574">
      <w:pPr>
        <w:spacing w:line="640" w:lineRule="exact"/>
        <w:ind w:firstLine="640"/>
        <w:jc w:val="both"/>
        <w:outlineLvl w:val="2"/>
      </w:pPr>
      <w:r>
        <w:rPr>
          <w:rFonts w:ascii="黑体" w:hAnsi="黑体" w:eastAsia="黑体"/>
          <w:sz w:val="32"/>
        </w:rPr>
        <w:t>七、政府性基金预算财政拨款收入支出决算情况说明</w:t>
      </w:r>
    </w:p>
    <w:p w14:paraId="3E36CDC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E04B4CB">
      <w:pPr>
        <w:spacing w:line="640" w:lineRule="exact"/>
        <w:ind w:firstLine="640"/>
        <w:jc w:val="both"/>
        <w:outlineLvl w:val="2"/>
      </w:pPr>
      <w:r>
        <w:rPr>
          <w:rFonts w:ascii="黑体" w:hAnsi="黑体" w:eastAsia="黑体"/>
          <w:sz w:val="32"/>
        </w:rPr>
        <w:t>八、国有资本经营预算财政拨款收入支出决算情况说明</w:t>
      </w:r>
    </w:p>
    <w:p w14:paraId="6BC8001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D566E43">
      <w:pPr>
        <w:spacing w:line="640" w:lineRule="exact"/>
        <w:ind w:firstLine="640"/>
        <w:jc w:val="both"/>
        <w:outlineLvl w:val="2"/>
      </w:pPr>
      <w:r>
        <w:rPr>
          <w:rFonts w:ascii="黑体" w:hAnsi="黑体" w:eastAsia="黑体"/>
          <w:sz w:val="32"/>
        </w:rPr>
        <w:t>九、财政拨款“三公”经费支出决算情况说明</w:t>
      </w:r>
    </w:p>
    <w:p w14:paraId="0B96FE02">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51FC087">
      <w:pPr>
        <w:spacing w:line="580" w:lineRule="exact"/>
        <w:ind w:firstLine="640"/>
        <w:jc w:val="both"/>
      </w:pPr>
      <w:r>
        <w:rPr>
          <w:rFonts w:ascii="仿宋_GB2312" w:hAnsi="仿宋_GB2312" w:eastAsia="仿宋_GB2312"/>
          <w:b/>
          <w:sz w:val="32"/>
        </w:rPr>
        <w:t>具体情况如下：</w:t>
      </w:r>
    </w:p>
    <w:p w14:paraId="2C01044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013408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40676AF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A32376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D9BC999">
      <w:pPr>
        <w:spacing w:line="640" w:lineRule="exact"/>
        <w:ind w:firstLine="640"/>
        <w:jc w:val="both"/>
        <w:outlineLvl w:val="2"/>
      </w:pPr>
      <w:r>
        <w:rPr>
          <w:rFonts w:ascii="黑体" w:hAnsi="黑体" w:eastAsia="黑体"/>
          <w:sz w:val="32"/>
        </w:rPr>
        <w:t>十、其他重要事项的情况说明</w:t>
      </w:r>
    </w:p>
    <w:p w14:paraId="6B6D4FF2">
      <w:pPr>
        <w:spacing w:line="640" w:lineRule="exact"/>
        <w:ind w:firstLine="640"/>
        <w:jc w:val="both"/>
        <w:outlineLvl w:val="3"/>
      </w:pPr>
      <w:r>
        <w:rPr>
          <w:rFonts w:ascii="楷体_GB2312" w:hAnsi="楷体_GB2312" w:eastAsia="楷体_GB2312"/>
          <w:b/>
          <w:sz w:val="32"/>
        </w:rPr>
        <w:t>（一）机关运行经费及公用经费支出情况</w:t>
      </w:r>
    </w:p>
    <w:p w14:paraId="254A7619">
      <w:pPr>
        <w:spacing w:line="580" w:lineRule="exact"/>
        <w:ind w:firstLine="640"/>
        <w:jc w:val="both"/>
      </w:pPr>
      <w:r>
        <w:rPr>
          <w:rFonts w:ascii="仿宋_GB2312" w:hAnsi="仿宋_GB2312" w:eastAsia="仿宋_GB2312"/>
          <w:b w:val="0"/>
          <w:sz w:val="32"/>
        </w:rPr>
        <w:t>2024年度岳普湖县岳普湖镇文化路社区幼儿园（事业单位）公用经费支出0.00万元，比上年增加0.00万元，增长0.00%，主要原因是：2023年与2024年均未安排公用经费支出。</w:t>
      </w:r>
    </w:p>
    <w:p w14:paraId="39C26FDF">
      <w:pPr>
        <w:spacing w:line="640" w:lineRule="exact"/>
        <w:ind w:firstLine="640"/>
        <w:jc w:val="both"/>
        <w:outlineLvl w:val="3"/>
      </w:pPr>
      <w:r>
        <w:rPr>
          <w:rFonts w:ascii="楷体_GB2312" w:hAnsi="楷体_GB2312" w:eastAsia="楷体_GB2312"/>
          <w:b/>
          <w:sz w:val="32"/>
        </w:rPr>
        <w:t>（二）政府采购情况</w:t>
      </w:r>
    </w:p>
    <w:p w14:paraId="6FE8FDAF">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28A4D393">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1B379369">
      <w:pPr>
        <w:spacing w:line="640" w:lineRule="exact"/>
        <w:ind w:firstLine="640"/>
        <w:jc w:val="both"/>
        <w:outlineLvl w:val="3"/>
      </w:pPr>
      <w:r>
        <w:rPr>
          <w:rFonts w:ascii="楷体_GB2312" w:hAnsi="楷体_GB2312" w:eastAsia="楷体_GB2312"/>
          <w:b/>
          <w:sz w:val="32"/>
        </w:rPr>
        <w:t>（三）国有资产占用情况说明</w:t>
      </w:r>
    </w:p>
    <w:p w14:paraId="30C355FA">
      <w:pPr>
        <w:spacing w:line="580" w:lineRule="exact"/>
        <w:ind w:firstLine="640"/>
        <w:jc w:val="both"/>
      </w:pPr>
      <w:r>
        <w:rPr>
          <w:rFonts w:ascii="仿宋_GB2312" w:hAnsi="仿宋_GB2312" w:eastAsia="仿宋_GB2312"/>
          <w:b w:val="0"/>
          <w:sz w:val="32"/>
        </w:rPr>
        <w:t>截至2024年12月31日，房屋900.20平方米，价值122.05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31A2FF99">
      <w:pPr>
        <w:spacing w:line="640" w:lineRule="exact"/>
        <w:ind w:firstLine="640"/>
        <w:jc w:val="both"/>
        <w:outlineLvl w:val="2"/>
      </w:pPr>
      <w:bookmarkStart w:id="0" w:name="_GoBack"/>
      <w:bookmarkEnd w:id="0"/>
      <w:r>
        <w:rPr>
          <w:rFonts w:ascii="黑体" w:hAnsi="黑体" w:eastAsia="黑体"/>
          <w:sz w:val="32"/>
        </w:rPr>
        <w:t>十一、预算绩效的情况说明</w:t>
      </w:r>
    </w:p>
    <w:p w14:paraId="2CAB8BEC">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2C169407">
      <w:r>
        <w:br w:type="page"/>
      </w:r>
    </w:p>
    <w:p w14:paraId="32B5B59F">
      <w:pPr>
        <w:spacing w:line="640" w:lineRule="exact"/>
        <w:ind w:firstLine="640"/>
        <w:jc w:val="both"/>
        <w:outlineLvl w:val="2"/>
      </w:pPr>
      <w:r>
        <w:rPr>
          <w:rFonts w:ascii="黑体" w:hAnsi="黑体" w:eastAsia="黑体"/>
          <w:sz w:val="32"/>
        </w:rPr>
        <w:t>十二、其他需说明的事项</w:t>
      </w:r>
    </w:p>
    <w:p w14:paraId="584F0891">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1A1996AB">
      <w:pPr>
        <w:spacing w:line="580" w:lineRule="exact"/>
        <w:ind w:firstLine="640"/>
        <w:jc w:val="both"/>
      </w:pPr>
      <w:r>
        <w:rPr>
          <w:rFonts w:ascii="仿宋_GB2312" w:hAnsi="仿宋_GB2312" w:eastAsia="仿宋_GB2312"/>
          <w:b w:val="0"/>
          <w:sz w:val="32"/>
        </w:rPr>
        <w:t>本年度本单位整体绩效自评表由教育局编报并公开。</w:t>
      </w:r>
    </w:p>
    <w:p w14:paraId="0309FA79">
      <w:r>
        <w:br w:type="page"/>
      </w:r>
    </w:p>
    <w:p w14:paraId="216413D3">
      <w:pPr>
        <w:spacing w:line="240" w:lineRule="auto"/>
        <w:jc w:val="center"/>
        <w:outlineLvl w:val="1"/>
      </w:pPr>
      <w:r>
        <w:rPr>
          <w:rFonts w:ascii="黑体" w:hAnsi="黑体" w:eastAsia="黑体"/>
          <w:sz w:val="32"/>
        </w:rPr>
        <w:t>第三部分 专业名词解释</w:t>
      </w:r>
    </w:p>
    <w:p w14:paraId="5F7C3AA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65E5B2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4A6454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80A710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F56DD0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227FE9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8A386A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F28850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53FB44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0FBCBB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060D06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9DCD6C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087054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6F7210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9BA486B">
      <w:r>
        <w:br w:type="page"/>
      </w:r>
    </w:p>
    <w:p w14:paraId="1C2F9B7F">
      <w:pPr>
        <w:spacing w:line="240" w:lineRule="auto"/>
        <w:jc w:val="center"/>
        <w:outlineLvl w:val="1"/>
      </w:pPr>
      <w:r>
        <w:rPr>
          <w:rFonts w:ascii="黑体" w:hAnsi="黑体" w:eastAsia="黑体"/>
          <w:sz w:val="32"/>
        </w:rPr>
        <w:t>第四部分 部门决算报表（见附表）</w:t>
      </w:r>
    </w:p>
    <w:p w14:paraId="35BB9ED2">
      <w:pPr>
        <w:spacing w:line="240" w:lineRule="auto"/>
        <w:ind w:firstLine="640"/>
        <w:jc w:val="both"/>
      </w:pPr>
      <w:r>
        <w:rPr>
          <w:rFonts w:ascii="仿宋_GB2312" w:hAnsi="仿宋_GB2312" w:eastAsia="仿宋_GB2312"/>
          <w:b w:val="0"/>
          <w:sz w:val="32"/>
        </w:rPr>
        <w:t>一、《收入支出决算总表》</w:t>
      </w:r>
    </w:p>
    <w:p w14:paraId="4772CF8A">
      <w:pPr>
        <w:spacing w:line="240" w:lineRule="auto"/>
        <w:ind w:firstLine="640"/>
        <w:jc w:val="both"/>
      </w:pPr>
      <w:r>
        <w:rPr>
          <w:rFonts w:ascii="仿宋_GB2312" w:hAnsi="仿宋_GB2312" w:eastAsia="仿宋_GB2312"/>
          <w:b w:val="0"/>
          <w:sz w:val="32"/>
        </w:rPr>
        <w:t>二、《收入决算表》</w:t>
      </w:r>
    </w:p>
    <w:p w14:paraId="3F08BE1F">
      <w:pPr>
        <w:spacing w:line="240" w:lineRule="auto"/>
        <w:ind w:firstLine="640"/>
        <w:jc w:val="both"/>
      </w:pPr>
      <w:r>
        <w:rPr>
          <w:rFonts w:ascii="仿宋_GB2312" w:hAnsi="仿宋_GB2312" w:eastAsia="仿宋_GB2312"/>
          <w:b w:val="0"/>
          <w:sz w:val="32"/>
        </w:rPr>
        <w:t>三、《支出决算表》</w:t>
      </w:r>
    </w:p>
    <w:p w14:paraId="0327AA1D">
      <w:pPr>
        <w:spacing w:line="240" w:lineRule="auto"/>
        <w:ind w:firstLine="640"/>
        <w:jc w:val="both"/>
      </w:pPr>
      <w:r>
        <w:rPr>
          <w:rFonts w:ascii="仿宋_GB2312" w:hAnsi="仿宋_GB2312" w:eastAsia="仿宋_GB2312"/>
          <w:b w:val="0"/>
          <w:sz w:val="32"/>
        </w:rPr>
        <w:t>四、《财政拨款收入支出决算总表》</w:t>
      </w:r>
    </w:p>
    <w:p w14:paraId="7C50539F">
      <w:pPr>
        <w:spacing w:line="240" w:lineRule="auto"/>
        <w:ind w:firstLine="640"/>
        <w:jc w:val="both"/>
      </w:pPr>
      <w:r>
        <w:rPr>
          <w:rFonts w:ascii="仿宋_GB2312" w:hAnsi="仿宋_GB2312" w:eastAsia="仿宋_GB2312"/>
          <w:b w:val="0"/>
          <w:sz w:val="32"/>
        </w:rPr>
        <w:t>五、《一般公共预算财政拨款支出决算表》</w:t>
      </w:r>
    </w:p>
    <w:p w14:paraId="2502836F">
      <w:pPr>
        <w:spacing w:line="240" w:lineRule="auto"/>
        <w:ind w:firstLine="640"/>
        <w:jc w:val="both"/>
      </w:pPr>
      <w:r>
        <w:rPr>
          <w:rFonts w:ascii="仿宋_GB2312" w:hAnsi="仿宋_GB2312" w:eastAsia="仿宋_GB2312"/>
          <w:b w:val="0"/>
          <w:sz w:val="32"/>
        </w:rPr>
        <w:t>六、《一般公共预算财政拨款基本支出决算表》</w:t>
      </w:r>
    </w:p>
    <w:p w14:paraId="2E5AC718">
      <w:pPr>
        <w:spacing w:line="240" w:lineRule="auto"/>
        <w:ind w:firstLine="640"/>
        <w:jc w:val="both"/>
      </w:pPr>
      <w:r>
        <w:rPr>
          <w:rFonts w:ascii="仿宋_GB2312" w:hAnsi="仿宋_GB2312" w:eastAsia="仿宋_GB2312"/>
          <w:b w:val="0"/>
          <w:sz w:val="32"/>
        </w:rPr>
        <w:t>七、《政府性基金预算财政拨款收入支出决算表》</w:t>
      </w:r>
    </w:p>
    <w:p w14:paraId="0944CECE">
      <w:pPr>
        <w:spacing w:line="240" w:lineRule="auto"/>
        <w:ind w:firstLine="640"/>
        <w:jc w:val="both"/>
      </w:pPr>
      <w:r>
        <w:rPr>
          <w:rFonts w:ascii="仿宋_GB2312" w:hAnsi="仿宋_GB2312" w:eastAsia="仿宋_GB2312"/>
          <w:b w:val="0"/>
          <w:sz w:val="32"/>
        </w:rPr>
        <w:t>八、《国有资本经营预算财政拨款收入支出决算表》</w:t>
      </w:r>
    </w:p>
    <w:p w14:paraId="6A6B6B5C">
      <w:pPr>
        <w:spacing w:line="240" w:lineRule="auto"/>
        <w:ind w:firstLine="640"/>
        <w:jc w:val="both"/>
      </w:pPr>
      <w:r>
        <w:rPr>
          <w:rFonts w:ascii="仿宋_GB2312" w:hAnsi="仿宋_GB2312" w:eastAsia="仿宋_GB2312"/>
          <w:b w:val="0"/>
          <w:sz w:val="32"/>
        </w:rPr>
        <w:t>九、《财政拨款“三公”经费支出决算表》</w:t>
      </w:r>
    </w:p>
    <w:p w14:paraId="0C464071">
      <w:pPr>
        <w:spacing w:line="240" w:lineRule="auto"/>
        <w:ind w:firstLine="640"/>
        <w:jc w:val="both"/>
      </w:pPr>
    </w:p>
    <w:p w14:paraId="5886B1DC">
      <w:pPr>
        <w:spacing w:line="240" w:lineRule="auto"/>
        <w:ind w:firstLine="640"/>
        <w:jc w:val="both"/>
      </w:pPr>
    </w:p>
    <w:p w14:paraId="7F710E9E">
      <w:pPr>
        <w:spacing w:line="240" w:lineRule="auto"/>
        <w:ind w:firstLine="640"/>
        <w:jc w:val="both"/>
      </w:pPr>
    </w:p>
    <w:p w14:paraId="0ED91A00">
      <w:pPr>
        <w:spacing w:line="240" w:lineRule="auto"/>
        <w:ind w:firstLine="640"/>
        <w:jc w:val="both"/>
      </w:pPr>
    </w:p>
    <w:p w14:paraId="27336C0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DCFB27A-856B-4391-90B1-A864CE4E424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6DC6D39F-86CC-4010-903C-A49AC9A32598}"/>
  </w:font>
  <w:font w:name="仿宋_GB2312">
    <w:panose1 w:val="02010609030101010101"/>
    <w:charset w:val="86"/>
    <w:family w:val="modern"/>
    <w:pitch w:val="default"/>
    <w:sig w:usb0="00000001" w:usb1="080E0000" w:usb2="00000000" w:usb3="00000000" w:csb0="00040000" w:csb1="00000000"/>
    <w:embedRegular r:id="rId3" w:fontKey="{CD151C08-1FAE-4B28-8321-66EE05ED98FC}"/>
  </w:font>
  <w:font w:name="楷体_GB2312">
    <w:panose1 w:val="02010609030101010101"/>
    <w:charset w:val="86"/>
    <w:family w:val="auto"/>
    <w:pitch w:val="default"/>
    <w:sig w:usb0="00000001" w:usb1="080E0000" w:usb2="00000000" w:usb3="00000000" w:csb0="00040000" w:csb1="00000000"/>
    <w:embedRegular r:id="rId4" w:fontKey="{D2F5E388-49BE-4231-869C-3AC6AB52CA05}"/>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7970BB3"/>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4639</Words>
  <Characters>5166</Characters>
  <Lines>0</Lines>
  <Paragraphs>0</Paragraphs>
  <TotalTime>0</TotalTime>
  <ScaleCrop>false</ScaleCrop>
  <LinksUpToDate>false</LinksUpToDate>
  <CharactersWithSpaces>5176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2025-09-12T08:47:01Z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eyJoZGlkIjoiMGIxZTI3ODM4ZmVjOGE5NDFiYmE3OTRiMjQ5OTEyNzIiLCJ1c2VySWQiOiIzNzI2MDMzNTYifQ==</vt:lpwstr>
  </property>
</Properties>
</file>