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bookmarkStart w:id="0" w:name="_GoBack"/>
      <w:bookmarkEnd w:id="0"/>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岳普湖县科学技术局2024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7EF5D03">
      <w:r>
        <w:br w:type="page"/>
      </w:r>
    </w:p>
    <w:p w14:paraId="19C18D33">
      <w:pPr>
        <w:spacing w:line="640" w:lineRule="exact"/>
        <w:jc w:val="center"/>
        <w:outlineLvl w:val="1"/>
      </w:pPr>
      <w:r>
        <w:rPr>
          <w:rFonts w:ascii="黑体" w:hAnsi="黑体" w:eastAsia="黑体"/>
          <w:sz w:val="32"/>
        </w:rPr>
        <w:t>第一部分 单位概况</w:t>
      </w:r>
    </w:p>
    <w:p w14:paraId="2CA6A01E">
      <w:pPr>
        <w:spacing w:line="640" w:lineRule="exact"/>
        <w:ind w:firstLine="640"/>
        <w:jc w:val="both"/>
        <w:outlineLvl w:val="2"/>
      </w:pPr>
      <w:r>
        <w:rPr>
          <w:rFonts w:ascii="黑体" w:hAnsi="黑体" w:eastAsia="黑体"/>
          <w:sz w:val="32"/>
        </w:rPr>
        <w:t>一、主要职能</w:t>
      </w:r>
    </w:p>
    <w:p w14:paraId="680AB27F">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贯彻落实国家创新驱动发展战略方针、拟订县科技发展、引进国外智力规划和政策并组织实施。</w:t>
      </w:r>
    </w:p>
    <w:p w14:paraId="0551A864">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统筹推进</w:t>
      </w:r>
      <w:r>
        <w:rPr>
          <w:rFonts w:hint="eastAsia" w:ascii="仿宋_GB2312" w:hAnsi="仿宋_GB2312" w:eastAsia="仿宋_GB2312"/>
          <w:sz w:val="32"/>
          <w:lang w:eastAsia="zh-CN"/>
        </w:rPr>
        <w:t>县级</w:t>
      </w:r>
      <w:r>
        <w:rPr>
          <w:rFonts w:ascii="仿宋_GB2312" w:hAnsi="仿宋_GB2312" w:eastAsia="仿宋_GB2312"/>
          <w:sz w:val="32"/>
        </w:rPr>
        <w:t>创新体系建设和科技体制改革，会同有关部门健全技术创新激励机制。推动企业科技创新能力建设，承担推进科技军民融合发展相关工作，推进重大科技决策咨询制度建设。</w:t>
      </w:r>
    </w:p>
    <w:p w14:paraId="746208A1">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建立科技项目管理和科研项目资金协调、评估、监管机制。会同有关部门提出优化配置科技资源的政策措施</w:t>
      </w:r>
      <w:r>
        <w:rPr>
          <w:rFonts w:hint="eastAsia" w:ascii="仿宋_GB2312" w:hAnsi="仿宋_GB2312" w:eastAsia="仿宋_GB2312"/>
          <w:sz w:val="32"/>
          <w:lang w:eastAsia="zh-CN"/>
        </w:rPr>
        <w:t>建议</w:t>
      </w:r>
      <w:r>
        <w:rPr>
          <w:rFonts w:ascii="仿宋_GB2312" w:hAnsi="仿宋_GB2312" w:eastAsia="仿宋_GB2312"/>
          <w:sz w:val="32"/>
        </w:rPr>
        <w:t>，推动多元化科技投入体系建设，协调管理县财政科技计划（专项、基金等）并监督实施。</w:t>
      </w:r>
    </w:p>
    <w:p w14:paraId="40378CE9">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牵头组织实施产学研结合工作，会同有关部门制定科技成果推广政策，协调我县企业与高校、科研院所的合作，指导科技成果转化。指导科技服务业、技术市场和科技中介组织发展。</w:t>
      </w:r>
    </w:p>
    <w:p w14:paraId="04702490">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会同有关部门拟订高新技术发展及其产业化、科技促进农业农村和社会发展的规划、政策和措施，指导高新技术产业化及应用技术的开发与推广，会同有关部门推荐或认定高新技术园区、高新技术企业和高新技术产品，指导高新技术产业开发区和各类科技示范推广基地(园区)的建设与管理。会同有关部门推进全县科技创新示范点建设，促进以科技改善民生为重点的农村建设和社会建设。</w:t>
      </w:r>
    </w:p>
    <w:p w14:paraId="47A5F77A">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推进全县创新体系建设，指导县域创新发展、科技资源合理布局和协同创新能力建设，推动科技园区建设。会同有关部门推荐或认定科技型中小企业和自主创新产品，加强技术创新平台的建设，促进科技型中小企业的技术创新工作。</w:t>
      </w:r>
    </w:p>
    <w:p w14:paraId="6745768C">
      <w:pPr>
        <w:spacing w:line="580" w:lineRule="exact"/>
        <w:ind w:firstLine="640"/>
        <w:jc w:val="both"/>
      </w:pPr>
      <w:r>
        <w:rPr>
          <w:rFonts w:hint="eastAsia" w:ascii="仿宋_GB2312" w:hAnsi="仿宋_GB2312" w:eastAsia="仿宋_GB2312"/>
          <w:sz w:val="32"/>
          <w:lang w:eastAsia="zh-CN"/>
        </w:rPr>
        <w:t>7.</w:t>
      </w:r>
      <w:r>
        <w:rPr>
          <w:rFonts w:ascii="仿宋_GB2312" w:hAnsi="仿宋_GB2312" w:eastAsia="仿宋_GB2312"/>
          <w:sz w:val="32"/>
        </w:rPr>
        <w:t>负责科技监督</w:t>
      </w:r>
      <w:r>
        <w:rPr>
          <w:rFonts w:hint="eastAsia" w:ascii="仿宋_GB2312" w:hAnsi="仿宋_GB2312" w:eastAsia="仿宋_GB2312"/>
          <w:sz w:val="32"/>
          <w:lang w:eastAsia="zh-CN"/>
        </w:rPr>
        <w:t>评价</w:t>
      </w:r>
      <w:r>
        <w:rPr>
          <w:rFonts w:ascii="仿宋_GB2312" w:hAnsi="仿宋_GB2312" w:eastAsia="仿宋_GB2312"/>
          <w:sz w:val="32"/>
        </w:rPr>
        <w:t>体系建设和相关科技评估管理，指导科技评价机制改革，统筹科研诚信建设。落实国家创新调查和科技报告制度，指导全县科技保密工作。</w:t>
      </w:r>
    </w:p>
    <w:p w14:paraId="5F62CA55">
      <w:pPr>
        <w:spacing w:line="580" w:lineRule="exact"/>
        <w:ind w:firstLine="640"/>
        <w:jc w:val="both"/>
      </w:pPr>
      <w:r>
        <w:rPr>
          <w:rFonts w:hint="eastAsia" w:ascii="仿宋_GB2312" w:hAnsi="仿宋_GB2312" w:eastAsia="仿宋_GB2312"/>
          <w:sz w:val="32"/>
          <w:lang w:eastAsia="zh-CN"/>
        </w:rPr>
        <w:t>8.</w:t>
      </w:r>
      <w:r>
        <w:rPr>
          <w:rFonts w:ascii="仿宋_GB2312" w:hAnsi="仿宋_GB2312" w:eastAsia="仿宋_GB2312"/>
          <w:sz w:val="32"/>
        </w:rPr>
        <w:t>拟订科技对外交往与创新能力开放合作的规划、政策和措施，组织国际科技合作与科技人才交流活动。指导相关部门和</w:t>
      </w:r>
      <w:r>
        <w:rPr>
          <w:rFonts w:hint="eastAsia" w:ascii="仿宋_GB2312" w:hAnsi="仿宋_GB2312" w:eastAsia="仿宋_GB2312"/>
          <w:sz w:val="32"/>
          <w:lang w:eastAsia="zh-CN"/>
        </w:rPr>
        <w:t>地方</w:t>
      </w:r>
      <w:r>
        <w:rPr>
          <w:rFonts w:ascii="仿宋_GB2312" w:hAnsi="仿宋_GB2312" w:eastAsia="仿宋_GB2312"/>
          <w:sz w:val="32"/>
        </w:rPr>
        <w:t>科技合作与科技人才交流工作。</w:t>
      </w:r>
    </w:p>
    <w:p w14:paraId="0A34C59C">
      <w:pPr>
        <w:spacing w:line="580" w:lineRule="exact"/>
        <w:ind w:firstLine="640"/>
        <w:jc w:val="both"/>
      </w:pPr>
      <w:r>
        <w:rPr>
          <w:rFonts w:hint="eastAsia" w:ascii="仿宋_GB2312" w:hAnsi="仿宋_GB2312" w:eastAsia="仿宋_GB2312"/>
          <w:sz w:val="32"/>
          <w:lang w:eastAsia="zh-CN"/>
        </w:rPr>
        <w:t>9.</w:t>
      </w:r>
      <w:r>
        <w:rPr>
          <w:rFonts w:ascii="仿宋_GB2312" w:hAnsi="仿宋_GB2312" w:eastAsia="仿宋_GB2312"/>
          <w:sz w:val="32"/>
        </w:rPr>
        <w:t>负责引进国外智力工作。</w:t>
      </w:r>
    </w:p>
    <w:p w14:paraId="06CB4147">
      <w:pPr>
        <w:spacing w:line="580" w:lineRule="exact"/>
        <w:ind w:firstLine="640"/>
        <w:jc w:val="both"/>
      </w:pPr>
      <w:r>
        <w:rPr>
          <w:rFonts w:hint="eastAsia" w:ascii="仿宋_GB2312" w:hAnsi="仿宋_GB2312" w:eastAsia="仿宋_GB2312"/>
          <w:sz w:val="32"/>
          <w:lang w:eastAsia="zh-CN"/>
        </w:rPr>
        <w:t>10.</w:t>
      </w:r>
      <w:r>
        <w:rPr>
          <w:rFonts w:ascii="仿宋_GB2312" w:hAnsi="仿宋_GB2312" w:eastAsia="仿宋_GB2312"/>
          <w:sz w:val="32"/>
        </w:rPr>
        <w:t>会同有关部门拟订科技人才队伍建设规划和政策，建立健全科技人才评价和激励机制，组织实施科技人才计划，推动高端科技创新人才队伍建设。</w:t>
      </w:r>
    </w:p>
    <w:p w14:paraId="294BB9A6">
      <w:pPr>
        <w:spacing w:line="580" w:lineRule="exact"/>
        <w:ind w:firstLine="640"/>
        <w:jc w:val="both"/>
      </w:pPr>
      <w:r>
        <w:rPr>
          <w:rFonts w:hint="eastAsia" w:ascii="仿宋_GB2312" w:hAnsi="仿宋_GB2312" w:eastAsia="仿宋_GB2312"/>
          <w:sz w:val="32"/>
          <w:lang w:eastAsia="zh-CN"/>
        </w:rPr>
        <w:t>11.</w:t>
      </w:r>
      <w:r>
        <w:rPr>
          <w:rFonts w:ascii="仿宋_GB2312" w:hAnsi="仿宋_GB2312" w:eastAsia="仿宋_GB2312"/>
          <w:sz w:val="32"/>
        </w:rPr>
        <w:t>拟订科学普及科学传播规划、政策并组织实施，动员社会各方面力量开展科普活动和青少年科技教育活动，推广先进技术。</w:t>
      </w:r>
    </w:p>
    <w:p w14:paraId="42D88858">
      <w:pPr>
        <w:spacing w:line="580" w:lineRule="exact"/>
        <w:ind w:firstLine="640"/>
        <w:jc w:val="both"/>
      </w:pPr>
      <w:r>
        <w:rPr>
          <w:rFonts w:hint="eastAsia" w:ascii="仿宋_GB2312" w:hAnsi="仿宋_GB2312" w:eastAsia="仿宋_GB2312"/>
          <w:sz w:val="32"/>
          <w:lang w:eastAsia="zh-CN"/>
        </w:rPr>
        <w:t>12.</w:t>
      </w:r>
      <w:r>
        <w:rPr>
          <w:rFonts w:ascii="仿宋_GB2312" w:hAnsi="仿宋_GB2312" w:eastAsia="仿宋_GB2312"/>
          <w:sz w:val="32"/>
        </w:rPr>
        <w:t>完成县委、县人民政府交办的其他事项。</w:t>
      </w:r>
    </w:p>
    <w:p w14:paraId="7366CACA">
      <w:pPr>
        <w:spacing w:line="580" w:lineRule="exact"/>
        <w:ind w:firstLine="640"/>
        <w:jc w:val="both"/>
      </w:pPr>
      <w:r>
        <w:rPr>
          <w:rFonts w:hint="eastAsia" w:ascii="仿宋_GB2312" w:hAnsi="仿宋_GB2312" w:eastAsia="仿宋_GB2312"/>
          <w:sz w:val="32"/>
          <w:lang w:eastAsia="zh-CN"/>
        </w:rPr>
        <w:t>13.</w:t>
      </w:r>
      <w:r>
        <w:rPr>
          <w:rFonts w:ascii="仿宋_GB2312" w:hAnsi="仿宋_GB2312" w:eastAsia="仿宋_GB2312"/>
          <w:sz w:val="32"/>
        </w:rPr>
        <w:t>职能转变。围绕贯彻实施科教兴国战略、人才强国战略、创新驱动发展战略，加强优化、转变政府科技管理和服务职能，完善科技创新制度和组织体系，加强宏观管理和统筹协调，减少微观管理和具体审批事项，加强事中事后监督和科研诚信建设。从研发管理向创新服务转变，深入推进科技计划管理改革，减少科技计划项目重复、分散、封闭、低效和资源配置“碎片化”的现象。政府部门不直接管理具体科研项目，委托项目管理专业机构承担项目受理、评审、立项、过程管理、验收等具体工作。</w:t>
      </w:r>
    </w:p>
    <w:p w14:paraId="284F242D">
      <w:pPr>
        <w:spacing w:line="640" w:lineRule="exact"/>
        <w:ind w:firstLine="640"/>
        <w:jc w:val="both"/>
        <w:outlineLvl w:val="2"/>
      </w:pPr>
      <w:r>
        <w:rPr>
          <w:rFonts w:ascii="黑体" w:hAnsi="黑体" w:eastAsia="黑体"/>
          <w:sz w:val="32"/>
        </w:rPr>
        <w:t>二、机构设置及人员情况</w:t>
      </w:r>
    </w:p>
    <w:p w14:paraId="183164C7">
      <w:pPr>
        <w:spacing w:line="580" w:lineRule="exact"/>
        <w:ind w:firstLine="640"/>
        <w:jc w:val="both"/>
      </w:pPr>
      <w:r>
        <w:rPr>
          <w:rFonts w:ascii="仿宋_GB2312" w:hAnsi="仿宋_GB2312" w:eastAsia="仿宋_GB2312"/>
          <w:sz w:val="32"/>
        </w:rPr>
        <w:t>岳普湖县科学技术局2024年度，实有人数11人，其中：在职人员8人，增加0人；离休人员0人，增加0人；退休人员3人,增加0人。</w:t>
      </w:r>
    </w:p>
    <w:p w14:paraId="375A639E">
      <w:pPr>
        <w:spacing w:line="580" w:lineRule="exact"/>
        <w:ind w:firstLine="640"/>
        <w:jc w:val="both"/>
      </w:pPr>
      <w:r>
        <w:rPr>
          <w:rFonts w:ascii="仿宋_GB2312" w:hAnsi="仿宋_GB2312" w:eastAsia="仿宋_GB2312"/>
          <w:sz w:val="32"/>
        </w:rPr>
        <w:t>岳普湖县科学技术局无下属预算单位，下设2个科室，分别是：行政办公室、财务室。</w:t>
      </w:r>
    </w:p>
    <w:p w14:paraId="197FF5CE">
      <w:r>
        <w:br w:type="page"/>
      </w:r>
    </w:p>
    <w:p w14:paraId="39DC40D7">
      <w:pPr>
        <w:spacing w:line="240" w:lineRule="auto"/>
        <w:jc w:val="center"/>
        <w:outlineLvl w:val="1"/>
      </w:pPr>
      <w:r>
        <w:rPr>
          <w:rFonts w:ascii="黑体" w:hAnsi="黑体" w:eastAsia="黑体"/>
          <w:sz w:val="32"/>
        </w:rPr>
        <w:t>第二部分 部门决算情况说明</w:t>
      </w:r>
    </w:p>
    <w:p w14:paraId="2499B008">
      <w:pPr>
        <w:spacing w:line="640" w:lineRule="exact"/>
        <w:ind w:firstLine="640"/>
        <w:jc w:val="both"/>
        <w:outlineLvl w:val="2"/>
      </w:pPr>
      <w:r>
        <w:rPr>
          <w:rFonts w:ascii="黑体" w:hAnsi="黑体" w:eastAsia="黑体"/>
          <w:sz w:val="32"/>
        </w:rPr>
        <w:t>一、收入支出决算总体情况说明</w:t>
      </w:r>
    </w:p>
    <w:p w14:paraId="1084B433">
      <w:pPr>
        <w:spacing w:line="580" w:lineRule="exact"/>
        <w:ind w:firstLine="640"/>
        <w:jc w:val="both"/>
      </w:pPr>
      <w:r>
        <w:rPr>
          <w:rFonts w:ascii="仿宋_GB2312" w:hAnsi="仿宋_GB2312" w:eastAsia="仿宋_GB2312"/>
          <w:b/>
          <w:sz w:val="32"/>
        </w:rPr>
        <w:t>2024年度收入总计231.27万元，</w:t>
      </w:r>
      <w:r>
        <w:rPr>
          <w:rFonts w:ascii="仿宋_GB2312" w:hAnsi="仿宋_GB2312" w:eastAsia="仿宋_GB2312"/>
          <w:b w:val="0"/>
          <w:sz w:val="32"/>
        </w:rPr>
        <w:t>其中：本年收入合计231.27万元，使用非财政拨款结余（含专用结余）0.00万元，年初结转和结余0.00万元。</w:t>
      </w:r>
    </w:p>
    <w:p w14:paraId="18577144">
      <w:pPr>
        <w:spacing w:line="580" w:lineRule="exact"/>
        <w:ind w:firstLine="640"/>
        <w:jc w:val="both"/>
      </w:pPr>
      <w:r>
        <w:rPr>
          <w:rFonts w:ascii="仿宋_GB2312" w:hAnsi="仿宋_GB2312" w:eastAsia="仿宋_GB2312"/>
          <w:b/>
          <w:sz w:val="32"/>
        </w:rPr>
        <w:t>2024年度支出总计231.27万元，</w:t>
      </w:r>
      <w:r>
        <w:rPr>
          <w:rFonts w:ascii="仿宋_GB2312" w:hAnsi="仿宋_GB2312" w:eastAsia="仿宋_GB2312"/>
          <w:b w:val="0"/>
          <w:sz w:val="32"/>
        </w:rPr>
        <w:t>其中：本年支出合计231.27万元，结余分配0.00万元，年末结转和结余0.00万元。</w:t>
      </w:r>
    </w:p>
    <w:p w14:paraId="3DA115ED">
      <w:pPr>
        <w:spacing w:line="580" w:lineRule="exact"/>
        <w:ind w:firstLine="640"/>
        <w:jc w:val="both"/>
      </w:pPr>
      <w:r>
        <w:rPr>
          <w:rFonts w:ascii="仿宋_GB2312" w:hAnsi="仿宋_GB2312" w:eastAsia="仿宋_GB2312"/>
          <w:b w:val="0"/>
          <w:sz w:val="32"/>
        </w:rPr>
        <w:t>收入支出总体与上年相比，减少123.92万元，下降34.89%，主要原因是：本年减少喀什地区科技创新及立项项口项目等项目经费，导致经费减少。</w:t>
      </w:r>
    </w:p>
    <w:p w14:paraId="76F96CDB">
      <w:pPr>
        <w:spacing w:line="640" w:lineRule="exact"/>
        <w:ind w:firstLine="640"/>
        <w:jc w:val="both"/>
        <w:outlineLvl w:val="2"/>
      </w:pPr>
      <w:r>
        <w:rPr>
          <w:rFonts w:ascii="黑体" w:hAnsi="黑体" w:eastAsia="黑体"/>
          <w:sz w:val="32"/>
        </w:rPr>
        <w:t>二、收入决算情况说明</w:t>
      </w:r>
    </w:p>
    <w:p w14:paraId="29322707">
      <w:pPr>
        <w:spacing w:line="580" w:lineRule="exact"/>
        <w:ind w:firstLine="640"/>
        <w:jc w:val="both"/>
      </w:pPr>
      <w:r>
        <w:rPr>
          <w:rFonts w:ascii="仿宋_GB2312" w:hAnsi="仿宋_GB2312" w:eastAsia="仿宋_GB2312"/>
          <w:b/>
          <w:sz w:val="32"/>
        </w:rPr>
        <w:t>本年收入231.27万元，</w:t>
      </w:r>
      <w:r>
        <w:rPr>
          <w:rFonts w:ascii="仿宋_GB2312" w:hAnsi="仿宋_GB2312" w:eastAsia="仿宋_GB2312"/>
          <w:b w:val="0"/>
          <w:sz w:val="32"/>
        </w:rPr>
        <w:t>其中：财政拨款收入231.27万元，占100.00%；上级补助收入0.00万元，占0.00%；事业收入0.00万元，占0.00%；经营收入0.00万元，占0.00%；附属单位上缴收入0.00万元，占0.00%；其他收入0.00万元，占0.00%。</w:t>
      </w:r>
    </w:p>
    <w:p w14:paraId="03029677">
      <w:pPr>
        <w:spacing w:line="640" w:lineRule="exact"/>
        <w:ind w:firstLine="640"/>
        <w:jc w:val="both"/>
        <w:outlineLvl w:val="2"/>
      </w:pPr>
      <w:r>
        <w:rPr>
          <w:rFonts w:ascii="黑体" w:hAnsi="黑体" w:eastAsia="黑体"/>
          <w:sz w:val="32"/>
        </w:rPr>
        <w:t>三、支出决算情况说明</w:t>
      </w:r>
    </w:p>
    <w:p w14:paraId="23A9DA28">
      <w:pPr>
        <w:spacing w:line="580" w:lineRule="exact"/>
        <w:ind w:firstLine="640"/>
        <w:jc w:val="both"/>
      </w:pPr>
      <w:r>
        <w:rPr>
          <w:rFonts w:ascii="仿宋_GB2312" w:hAnsi="仿宋_GB2312" w:eastAsia="仿宋_GB2312"/>
          <w:b/>
          <w:sz w:val="32"/>
        </w:rPr>
        <w:t>本年支出231.27万元，</w:t>
      </w:r>
      <w:r>
        <w:rPr>
          <w:rFonts w:ascii="仿宋_GB2312" w:hAnsi="仿宋_GB2312" w:eastAsia="仿宋_GB2312"/>
          <w:b w:val="0"/>
          <w:sz w:val="32"/>
        </w:rPr>
        <w:t>其中：基本支出148.31万元，占64.13%；项目支出82.95万元，占35.87%；上缴上级支出0.00万元，占0.00%；经营支出0.00万元，占0.00%；对附属单位补助支出0.00万元，占0.00%。</w:t>
      </w:r>
    </w:p>
    <w:p w14:paraId="1D451143">
      <w:pPr>
        <w:spacing w:line="640" w:lineRule="exact"/>
        <w:ind w:firstLine="640"/>
        <w:jc w:val="both"/>
        <w:outlineLvl w:val="2"/>
      </w:pPr>
      <w:r>
        <w:rPr>
          <w:rFonts w:ascii="黑体" w:hAnsi="黑体" w:eastAsia="黑体"/>
          <w:sz w:val="32"/>
        </w:rPr>
        <w:t>四、财政拨款收入支出决算总体情况说明</w:t>
      </w:r>
    </w:p>
    <w:p w14:paraId="7DA887FE">
      <w:pPr>
        <w:spacing w:line="580" w:lineRule="exact"/>
        <w:ind w:firstLine="640"/>
        <w:jc w:val="both"/>
      </w:pPr>
      <w:r>
        <w:rPr>
          <w:rFonts w:ascii="仿宋_GB2312" w:hAnsi="仿宋_GB2312" w:eastAsia="仿宋_GB2312"/>
          <w:b/>
          <w:sz w:val="32"/>
        </w:rPr>
        <w:t>2024年度财政拨款收入总计231.27万元，</w:t>
      </w:r>
      <w:r>
        <w:rPr>
          <w:rFonts w:ascii="仿宋_GB2312" w:hAnsi="仿宋_GB2312" w:eastAsia="仿宋_GB2312"/>
          <w:b w:val="0"/>
          <w:sz w:val="32"/>
        </w:rPr>
        <w:t>其中：年初财政拨款结转和结余0.00万元，本年财政拨款收入231.27万元。</w:t>
      </w:r>
      <w:r>
        <w:rPr>
          <w:rFonts w:ascii="仿宋_GB2312" w:hAnsi="仿宋_GB2312" w:eastAsia="仿宋_GB2312"/>
          <w:b/>
          <w:sz w:val="32"/>
        </w:rPr>
        <w:t>财政拨款支出总计231.27万元，</w:t>
      </w:r>
      <w:r>
        <w:rPr>
          <w:rFonts w:ascii="仿宋_GB2312" w:hAnsi="仿宋_GB2312" w:eastAsia="仿宋_GB2312"/>
          <w:b w:val="0"/>
          <w:sz w:val="32"/>
        </w:rPr>
        <w:t>其中：年末财政拨款结转和结余0.00万元，本年财政拨款支出231.27万元。</w:t>
      </w:r>
    </w:p>
    <w:p w14:paraId="5F237FF5">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减少123.92万元，下降34.89%，主要原因是：本年度减少科技创新立项项目和科技创新奖补资金项目等项目经费，导致经费减少。</w:t>
      </w:r>
      <w:r>
        <w:rPr>
          <w:rFonts w:ascii="仿宋_GB2312" w:hAnsi="仿宋_GB2312" w:eastAsia="仿宋_GB2312"/>
          <w:b/>
          <w:sz w:val="32"/>
        </w:rPr>
        <w:t>与年初预算相比，</w:t>
      </w:r>
      <w:r>
        <w:rPr>
          <w:rFonts w:ascii="仿宋_GB2312" w:hAnsi="仿宋_GB2312" w:eastAsia="仿宋_GB2312"/>
          <w:b w:val="0"/>
          <w:sz w:val="32"/>
        </w:rPr>
        <w:t>年初预算数216.85万元，决算数231.27万元，预决算差异率6.65%，主要原因是：年中追加人员工资、社保、公积金基数调增部分资金，导致预决算存在差异。</w:t>
      </w:r>
    </w:p>
    <w:p w14:paraId="1E43E568">
      <w:pPr>
        <w:spacing w:line="640" w:lineRule="exact"/>
        <w:ind w:firstLine="640"/>
        <w:jc w:val="both"/>
        <w:outlineLvl w:val="2"/>
      </w:pPr>
      <w:r>
        <w:rPr>
          <w:rFonts w:ascii="黑体" w:hAnsi="黑体" w:eastAsia="黑体"/>
          <w:sz w:val="32"/>
        </w:rPr>
        <w:t>五、一般公共预算财政拨款支出决算情况说明</w:t>
      </w:r>
    </w:p>
    <w:p w14:paraId="7C7826A1">
      <w:pPr>
        <w:spacing w:line="640" w:lineRule="exact"/>
        <w:ind w:firstLine="640"/>
        <w:jc w:val="both"/>
        <w:outlineLvl w:val="3"/>
      </w:pPr>
      <w:r>
        <w:rPr>
          <w:rFonts w:ascii="楷体_GB2312" w:hAnsi="楷体_GB2312" w:eastAsia="楷体_GB2312"/>
          <w:b/>
          <w:sz w:val="32"/>
        </w:rPr>
        <w:t>（一）一般公共预算财政拨款支出决算总体情况</w:t>
      </w:r>
    </w:p>
    <w:p w14:paraId="2E2C3F9D">
      <w:pPr>
        <w:spacing w:line="580" w:lineRule="exact"/>
        <w:ind w:firstLine="640"/>
        <w:jc w:val="both"/>
      </w:pPr>
      <w:r>
        <w:rPr>
          <w:rFonts w:ascii="仿宋_GB2312" w:hAnsi="仿宋_GB2312" w:eastAsia="仿宋_GB2312"/>
          <w:b/>
          <w:sz w:val="32"/>
        </w:rPr>
        <w:t>2024年度一般公共预算财政拨款支出231.27万元，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减少123.92万元，下降34.89%，主要原因是：本年度减少科技创新立项项目和科技创新奖补资金项目等项目经费，导致经费减少。</w:t>
      </w:r>
      <w:r>
        <w:rPr>
          <w:rFonts w:ascii="仿宋_GB2312" w:hAnsi="仿宋_GB2312" w:eastAsia="仿宋_GB2312"/>
          <w:b/>
          <w:sz w:val="32"/>
        </w:rPr>
        <w:t>与年初预算相比,</w:t>
      </w:r>
      <w:r>
        <w:rPr>
          <w:rFonts w:ascii="仿宋_GB2312" w:hAnsi="仿宋_GB2312" w:eastAsia="仿宋_GB2312"/>
          <w:b w:val="0"/>
          <w:sz w:val="32"/>
        </w:rPr>
        <w:t>年初预算数216.85万元，决算数231.27万元，预决算差异率6.65%，主要原因是：年中追加人员工资、社保、公积金基数调增部分资金，导致预决算存在差异。</w:t>
      </w:r>
    </w:p>
    <w:p w14:paraId="514F3D9B">
      <w:pPr>
        <w:spacing w:line="640" w:lineRule="exact"/>
        <w:ind w:firstLine="640"/>
        <w:jc w:val="both"/>
        <w:outlineLvl w:val="3"/>
      </w:pPr>
      <w:r>
        <w:rPr>
          <w:rFonts w:ascii="楷体_GB2312" w:hAnsi="楷体_GB2312" w:eastAsia="楷体_GB2312"/>
          <w:b/>
          <w:sz w:val="32"/>
        </w:rPr>
        <w:t>（二）一般公共预算财政拨款支出决算结构情况</w:t>
      </w:r>
    </w:p>
    <w:p w14:paraId="5A1C66A7">
      <w:pPr>
        <w:spacing w:line="580" w:lineRule="exact"/>
        <w:ind w:firstLine="640"/>
        <w:jc w:val="both"/>
      </w:pPr>
      <w:r>
        <w:rPr>
          <w:rFonts w:ascii="仿宋_GB2312" w:hAnsi="仿宋_GB2312" w:eastAsia="仿宋_GB2312"/>
          <w:b w:val="0"/>
          <w:sz w:val="32"/>
        </w:rPr>
        <w:t>1.科学技术支出(类)205.53万元,占88.87%。</w:t>
      </w:r>
    </w:p>
    <w:p w14:paraId="21E397CD">
      <w:pPr>
        <w:spacing w:line="580" w:lineRule="exact"/>
        <w:ind w:firstLine="640"/>
        <w:jc w:val="both"/>
      </w:pPr>
      <w:r>
        <w:rPr>
          <w:rFonts w:ascii="仿宋_GB2312" w:hAnsi="仿宋_GB2312" w:eastAsia="仿宋_GB2312"/>
          <w:b w:val="0"/>
          <w:sz w:val="32"/>
        </w:rPr>
        <w:t>2.社会保障和就业支出(类)18.69万元,占8.08%。</w:t>
      </w:r>
    </w:p>
    <w:p w14:paraId="38649A05">
      <w:pPr>
        <w:spacing w:line="580" w:lineRule="exact"/>
        <w:ind w:firstLine="640"/>
        <w:jc w:val="both"/>
      </w:pPr>
      <w:r>
        <w:rPr>
          <w:rFonts w:ascii="仿宋_GB2312" w:hAnsi="仿宋_GB2312" w:eastAsia="仿宋_GB2312"/>
          <w:b w:val="0"/>
          <w:sz w:val="32"/>
        </w:rPr>
        <w:t>3.卫生健康支出(类)7.04万元,占3.04%。</w:t>
      </w:r>
    </w:p>
    <w:p w14:paraId="2FAC8C51">
      <w:pPr>
        <w:spacing w:line="640" w:lineRule="exact"/>
        <w:ind w:firstLine="640"/>
        <w:jc w:val="both"/>
        <w:outlineLvl w:val="3"/>
      </w:pPr>
      <w:r>
        <w:rPr>
          <w:rFonts w:ascii="楷体_GB2312" w:hAnsi="楷体_GB2312" w:eastAsia="楷体_GB2312"/>
          <w:b/>
          <w:sz w:val="32"/>
        </w:rPr>
        <w:t>（三）一般公共预算财政拨款支出决算具体情况</w:t>
      </w:r>
    </w:p>
    <w:p w14:paraId="65E25407">
      <w:pPr>
        <w:spacing w:line="580" w:lineRule="exact"/>
        <w:ind w:firstLine="640"/>
        <w:jc w:val="both"/>
      </w:pPr>
      <w:r>
        <w:rPr>
          <w:rFonts w:ascii="仿宋_GB2312" w:hAnsi="仿宋_GB2312" w:eastAsia="仿宋_GB2312"/>
          <w:b w:val="0"/>
          <w:sz w:val="32"/>
        </w:rPr>
        <w:t>1.科学技术支出(类)科学技术管理事务(款)行政运行(项):支出决算数为122.58万元，比上年决算增加30.17万元，增长32.65%,主要原因是：本年在职人员工资调薪，工资等相关人员经费增加</w:t>
      </w:r>
      <w:r>
        <w:rPr>
          <w:rFonts w:hint="eastAsia" w:ascii="仿宋_GB2312" w:hAnsi="仿宋_GB2312" w:eastAsia="仿宋_GB2312"/>
          <w:b w:val="0"/>
          <w:sz w:val="32"/>
          <w:lang w:eastAsia="zh-CN"/>
        </w:rPr>
        <w:t>；</w:t>
      </w:r>
      <w:r>
        <w:rPr>
          <w:rFonts w:ascii="仿宋_GB2312" w:hAnsi="仿宋_GB2312" w:eastAsia="仿宋_GB2312"/>
          <w:b w:val="0"/>
          <w:sz w:val="32"/>
        </w:rPr>
        <w:t>本年功能科目调整，住房公积金上年度单独列支，本年调整至主科目列支，导致经费较上年</w:t>
      </w:r>
      <w:r>
        <w:rPr>
          <w:rFonts w:hint="eastAsia" w:ascii="仿宋_GB2312" w:hAnsi="仿宋_GB2312" w:eastAsia="仿宋_GB2312"/>
          <w:b w:val="0"/>
          <w:sz w:val="32"/>
          <w:lang w:val="en-US" w:eastAsia="zh-CN"/>
        </w:rPr>
        <w:t>增加</w:t>
      </w:r>
      <w:r>
        <w:rPr>
          <w:rFonts w:ascii="仿宋_GB2312" w:hAnsi="仿宋_GB2312" w:eastAsia="仿宋_GB2312"/>
          <w:b w:val="0"/>
          <w:sz w:val="32"/>
        </w:rPr>
        <w:t>。</w:t>
      </w:r>
    </w:p>
    <w:p w14:paraId="1E554479">
      <w:pPr>
        <w:spacing w:line="580" w:lineRule="exact"/>
        <w:ind w:firstLine="640"/>
        <w:jc w:val="both"/>
      </w:pPr>
      <w:r>
        <w:rPr>
          <w:rFonts w:ascii="仿宋_GB2312" w:hAnsi="仿宋_GB2312" w:eastAsia="仿宋_GB2312"/>
          <w:b w:val="0"/>
          <w:sz w:val="32"/>
        </w:rPr>
        <w:t>2.科学技术支出(类)科学技术管理事务(款)其他科学技术管理事务支出(项):支出决算数为0.00万元，比上年决算减少5.00万元，下降100.00%,主要原因是：本年减少共建中国无花果之乡技术咨询费项目。</w:t>
      </w:r>
    </w:p>
    <w:p w14:paraId="5FD1E251">
      <w:pPr>
        <w:spacing w:line="580" w:lineRule="exact"/>
        <w:ind w:firstLine="640"/>
        <w:jc w:val="both"/>
      </w:pPr>
      <w:r>
        <w:rPr>
          <w:rFonts w:ascii="仿宋_GB2312" w:hAnsi="仿宋_GB2312" w:eastAsia="仿宋_GB2312"/>
          <w:b w:val="0"/>
          <w:sz w:val="32"/>
        </w:rPr>
        <w:t>3.科学技术支出(类)技术研究与开发(款)科技成果转化与扩散(项):支出决算数为46.59万元，比上年决算减少33.41万元，下降41.76%,主要原因是：本年度减少科技创新立项项目和科技创新奖补资金项目。</w:t>
      </w:r>
    </w:p>
    <w:p w14:paraId="3E7D730D">
      <w:pPr>
        <w:spacing w:line="580" w:lineRule="exact"/>
        <w:ind w:firstLine="640"/>
        <w:jc w:val="both"/>
      </w:pPr>
      <w:r>
        <w:rPr>
          <w:rFonts w:ascii="仿宋_GB2312" w:hAnsi="仿宋_GB2312" w:eastAsia="仿宋_GB2312"/>
          <w:b w:val="0"/>
          <w:sz w:val="32"/>
        </w:rPr>
        <w:t>4.科学技术支出(类)科技条件与服务(款)其他科技条件与服务支出(项):支出决算数为14.52万元，比上年决算增加3.09万元，增长27.03%,主要原因是：本年增加项目2024年“三区”科技人才支持计划项目，导致经费较上年增加。</w:t>
      </w:r>
    </w:p>
    <w:p w14:paraId="54A35DA6">
      <w:pPr>
        <w:spacing w:line="580" w:lineRule="exact"/>
        <w:ind w:firstLine="640"/>
        <w:jc w:val="both"/>
      </w:pPr>
      <w:r>
        <w:rPr>
          <w:rFonts w:ascii="仿宋_GB2312" w:hAnsi="仿宋_GB2312" w:eastAsia="仿宋_GB2312"/>
          <w:b w:val="0"/>
          <w:sz w:val="32"/>
        </w:rPr>
        <w:t>5.科学技术支出(类)科学技术普及(款)科普活动(项):支出决算数为0.16万元，比上年决算减少3.63万元，下降95.78%,主要原因是：本年减少2024年中央“基层科普行动计划”项目。</w:t>
      </w:r>
    </w:p>
    <w:p w14:paraId="44DAAFCB">
      <w:pPr>
        <w:spacing w:line="580" w:lineRule="exact"/>
        <w:ind w:firstLine="640"/>
        <w:jc w:val="both"/>
      </w:pPr>
      <w:r>
        <w:rPr>
          <w:rFonts w:ascii="仿宋_GB2312" w:hAnsi="仿宋_GB2312" w:eastAsia="仿宋_GB2312"/>
          <w:b w:val="0"/>
          <w:sz w:val="32"/>
        </w:rPr>
        <w:t>6.科学技术支出(类)科学技术普及(款)科技馆站(项):支出决算数为21.69万元，比上年决算减少0.13万元，下降0.60%,主要原因是：本年减少项目2024年科技馆免费开放补助资金减少，导致经费较上年减少。</w:t>
      </w:r>
    </w:p>
    <w:p w14:paraId="29F9115B">
      <w:pPr>
        <w:spacing w:line="580" w:lineRule="exact"/>
        <w:ind w:firstLine="640"/>
        <w:jc w:val="both"/>
      </w:pPr>
      <w:r>
        <w:rPr>
          <w:rFonts w:ascii="仿宋_GB2312" w:hAnsi="仿宋_GB2312" w:eastAsia="仿宋_GB2312"/>
          <w:b w:val="0"/>
          <w:sz w:val="32"/>
        </w:rPr>
        <w:t>7.科学技术支出(类)科学技术普及(款)其他科学技术普及支出(项):支出决算数为0.00万元，比上年决算减少4.66万元，下降100.00%,主要原因是：本年减少2022年基层科普行动计划资金、2022年自治区科技计划专项资金。</w:t>
      </w:r>
    </w:p>
    <w:p w14:paraId="0A4B54B6">
      <w:pPr>
        <w:spacing w:line="580" w:lineRule="exact"/>
        <w:ind w:firstLine="640"/>
        <w:jc w:val="both"/>
      </w:pPr>
      <w:r>
        <w:rPr>
          <w:rFonts w:ascii="仿宋_GB2312" w:hAnsi="仿宋_GB2312" w:eastAsia="仿宋_GB2312"/>
          <w:b w:val="0"/>
          <w:sz w:val="32"/>
        </w:rPr>
        <w:t>8.科学技术支出(类)其他科学技术支出(款)科技奖励(项):支出决算数为0.00万元，比上年决算减少105.00万元，下降100.00%,主要原因是：本年减少科技创新奖补资金项目，导致经费较上年减少。</w:t>
      </w:r>
    </w:p>
    <w:p w14:paraId="270B2B4E">
      <w:pPr>
        <w:spacing w:line="580" w:lineRule="exact"/>
        <w:ind w:firstLine="640"/>
        <w:jc w:val="both"/>
      </w:pPr>
      <w:r>
        <w:rPr>
          <w:rFonts w:ascii="仿宋_GB2312" w:hAnsi="仿宋_GB2312" w:eastAsia="仿宋_GB2312"/>
          <w:b w:val="0"/>
          <w:sz w:val="32"/>
        </w:rPr>
        <w:t>9.社会保障和就业支出(类)行政事业单位养老支出(款)行政单位离退休(项):支出决算数为4.53万元，比上年决算增加0.68万元，增长17.66%,主要原因是：本年补发退休人员绩效，导致退休费较上年增加。</w:t>
      </w:r>
    </w:p>
    <w:p w14:paraId="43EEF3C2">
      <w:pPr>
        <w:spacing w:line="580" w:lineRule="exact"/>
        <w:ind w:firstLine="640"/>
        <w:jc w:val="both"/>
      </w:pPr>
      <w:r>
        <w:rPr>
          <w:rFonts w:ascii="仿宋_GB2312" w:hAnsi="仿宋_GB2312" w:eastAsia="仿宋_GB2312"/>
          <w:b w:val="0"/>
          <w:sz w:val="32"/>
        </w:rPr>
        <w:t>10.社会保障和就业支出(类)行政事业单位养老支出(款)机关事业单位基本养老保险缴费支出(项):支出决算数为14.16万元，比上年决算增加3.19万元，增长29.08%,主要原因是：本年在职人员调薪，养老保险缴费增加。</w:t>
      </w:r>
    </w:p>
    <w:p w14:paraId="4F4C8BFD">
      <w:pPr>
        <w:spacing w:line="580" w:lineRule="exact"/>
        <w:ind w:firstLine="640"/>
        <w:jc w:val="both"/>
      </w:pPr>
      <w:r>
        <w:rPr>
          <w:rFonts w:ascii="仿宋_GB2312" w:hAnsi="仿宋_GB2312" w:eastAsia="仿宋_GB2312"/>
          <w:b w:val="0"/>
          <w:sz w:val="32"/>
        </w:rPr>
        <w:t>11.卫生健康支出(类)行政事业单位医疗(款)行政单位医疗(项):支出决算数为6.02万元，比上年决算减少0.18万元，下降2.90%,主要原因是：本年在职人员调入调出，人员职级不同，缴费基数不同，导致行政单位医疗较上年减少。</w:t>
      </w:r>
    </w:p>
    <w:p w14:paraId="4756ECD0">
      <w:pPr>
        <w:spacing w:line="580" w:lineRule="exact"/>
        <w:ind w:firstLine="640"/>
        <w:jc w:val="both"/>
      </w:pPr>
      <w:r>
        <w:rPr>
          <w:rFonts w:ascii="仿宋_GB2312" w:hAnsi="仿宋_GB2312" w:eastAsia="仿宋_GB2312"/>
          <w:b w:val="0"/>
          <w:sz w:val="32"/>
        </w:rPr>
        <w:t>12.卫生健康支出(类)行政事业单位医疗(款)公务员医疗补助(项):支出决算数为1.02万元，比上年决算减少0.39万元，下降27.66%,主要原因是：本年在职人员调出一名公务员，公务员医疗保险缴费减少。</w:t>
      </w:r>
    </w:p>
    <w:p w14:paraId="5CF9F4CF">
      <w:pPr>
        <w:spacing w:line="580" w:lineRule="exact"/>
        <w:ind w:firstLine="640"/>
        <w:jc w:val="both"/>
      </w:pPr>
      <w:r>
        <w:rPr>
          <w:rFonts w:ascii="仿宋_GB2312" w:hAnsi="仿宋_GB2312" w:eastAsia="仿宋_GB2312"/>
          <w:b w:val="0"/>
          <w:sz w:val="32"/>
        </w:rPr>
        <w:t>13.住房保障支出(类)住房改革支出(款)住房公积金(项):支出决算数为0.00万元，比上年决算减少8.65万元，下降100.00%,主要原因是：本年功能科目调整，住房公积金上年度单独列支，本年调整至主科目列支，导致经费较上年减少。</w:t>
      </w:r>
    </w:p>
    <w:p w14:paraId="2C17A58D">
      <w:pPr>
        <w:spacing w:line="640" w:lineRule="exact"/>
        <w:ind w:firstLine="640"/>
        <w:jc w:val="both"/>
        <w:outlineLvl w:val="2"/>
      </w:pPr>
      <w:r>
        <w:rPr>
          <w:rFonts w:ascii="黑体" w:hAnsi="黑体" w:eastAsia="黑体"/>
          <w:sz w:val="32"/>
        </w:rPr>
        <w:t>六、一般公共预算财政拨款基本支出决算情况说明</w:t>
      </w:r>
    </w:p>
    <w:p w14:paraId="161079EF">
      <w:pPr>
        <w:spacing w:line="580" w:lineRule="exact"/>
        <w:ind w:firstLine="640"/>
        <w:jc w:val="both"/>
      </w:pPr>
      <w:r>
        <w:rPr>
          <w:rFonts w:ascii="仿宋_GB2312" w:hAnsi="仿宋_GB2312" w:eastAsia="仿宋_GB2312"/>
          <w:b w:val="0"/>
          <w:sz w:val="32"/>
        </w:rPr>
        <w:t>2024年度一般公共预算财政拨款基本支出148.31万元，其中：</w:t>
      </w:r>
      <w:r>
        <w:rPr>
          <w:rFonts w:ascii="仿宋_GB2312" w:hAnsi="仿宋_GB2312" w:eastAsia="仿宋_GB2312"/>
          <w:b/>
          <w:sz w:val="32"/>
        </w:rPr>
        <w:t>人员经费143.61万元，</w:t>
      </w:r>
      <w:r>
        <w:rPr>
          <w:rFonts w:ascii="仿宋_GB2312" w:hAnsi="仿宋_GB2312" w:eastAsia="仿宋_GB2312"/>
          <w:b w:val="0"/>
          <w:sz w:val="32"/>
        </w:rPr>
        <w:t>包括：基本工资、津贴补贴、奖金、绩效工资、机关事业单位基本养老保险缴费、职工基本医疗保险缴费、公务员医疗补助缴费、其他社会保障缴费、住房公积金、退休费。</w:t>
      </w:r>
    </w:p>
    <w:p w14:paraId="012D9537">
      <w:pPr>
        <w:spacing w:line="580" w:lineRule="exact"/>
        <w:ind w:firstLine="640"/>
        <w:jc w:val="both"/>
      </w:pPr>
      <w:r>
        <w:rPr>
          <w:rFonts w:ascii="仿宋_GB2312" w:hAnsi="仿宋_GB2312" w:eastAsia="仿宋_GB2312"/>
          <w:b/>
          <w:sz w:val="32"/>
        </w:rPr>
        <w:t>公用经费4.70万元，</w:t>
      </w:r>
      <w:r>
        <w:rPr>
          <w:rFonts w:ascii="仿宋_GB2312" w:hAnsi="仿宋_GB2312" w:eastAsia="仿宋_GB2312"/>
          <w:b w:val="0"/>
          <w:sz w:val="32"/>
        </w:rPr>
        <w:t>包括：办公费、物业管理费、差旅费、公务接待费、公务用车运行维护费。</w:t>
      </w:r>
    </w:p>
    <w:p w14:paraId="1134128F">
      <w:pPr>
        <w:spacing w:line="640" w:lineRule="exact"/>
        <w:ind w:firstLine="640"/>
        <w:jc w:val="both"/>
        <w:outlineLvl w:val="2"/>
      </w:pPr>
      <w:r>
        <w:rPr>
          <w:rFonts w:ascii="黑体" w:hAnsi="黑体" w:eastAsia="黑体"/>
          <w:sz w:val="32"/>
        </w:rPr>
        <w:t>七、政府性基金预算财政拨款收入支出决算情况说明</w:t>
      </w:r>
    </w:p>
    <w:p w14:paraId="1587C2E9">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1DEE140E">
      <w:pPr>
        <w:spacing w:line="640" w:lineRule="exact"/>
        <w:ind w:firstLine="640"/>
        <w:jc w:val="both"/>
        <w:outlineLvl w:val="2"/>
      </w:pPr>
      <w:r>
        <w:rPr>
          <w:rFonts w:ascii="黑体" w:hAnsi="黑体" w:eastAsia="黑体"/>
          <w:sz w:val="32"/>
        </w:rPr>
        <w:t>八、国有资本经营预算财政拨款收入支出决算情况说明</w:t>
      </w:r>
    </w:p>
    <w:p w14:paraId="180CFE9A">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64CF7C45">
      <w:pPr>
        <w:spacing w:line="640" w:lineRule="exact"/>
        <w:ind w:firstLine="640"/>
        <w:jc w:val="both"/>
        <w:outlineLvl w:val="2"/>
      </w:pPr>
      <w:r>
        <w:rPr>
          <w:rFonts w:ascii="黑体" w:hAnsi="黑体" w:eastAsia="黑体"/>
          <w:sz w:val="32"/>
        </w:rPr>
        <w:t>九、财政拨款“三公”经费支出决算情况说明</w:t>
      </w:r>
    </w:p>
    <w:p w14:paraId="14F751D5">
      <w:pPr>
        <w:spacing w:line="580" w:lineRule="exact"/>
        <w:ind w:firstLine="640"/>
        <w:jc w:val="both"/>
      </w:pPr>
      <w:r>
        <w:rPr>
          <w:rFonts w:ascii="仿宋_GB2312" w:hAnsi="仿宋_GB2312" w:eastAsia="仿宋_GB2312"/>
          <w:b/>
          <w:sz w:val="32"/>
        </w:rPr>
        <w:t>2024年度财政拨款“三公”经费支出0.91万元，</w:t>
      </w:r>
      <w:r>
        <w:rPr>
          <w:rFonts w:ascii="仿宋_GB2312" w:hAnsi="仿宋_GB2312" w:eastAsia="仿宋_GB2312"/>
          <w:b w:val="0"/>
          <w:sz w:val="32"/>
        </w:rPr>
        <w:t>比上年减少0.76万元，下降45.51%，主要原因是：本年车辆使用次数减少，维修维护费等减少。其中：因公出国（境）费支出0.00万元，占0.00%，比上年增加0.00万元，增长0.00%，主要原因是：2023年与2024年均未安排因公出国（境）费支出。公务用车购置及运行维护费支出0.51万元，占56.04%，比上年减少1.16万元，下降69.46%，主要原因是：本年车辆使用次数减少，维修维护费等减少。公务接待费支出0.40万元，占43.96%，比上年增加0.40万元，增长100.00%，主要原因是：本年因业务需求，增加公务接待工作，导致公务接待费较上年增加。</w:t>
      </w:r>
    </w:p>
    <w:p w14:paraId="03868E73">
      <w:pPr>
        <w:spacing w:line="580" w:lineRule="exact"/>
        <w:ind w:firstLine="640"/>
        <w:jc w:val="both"/>
      </w:pPr>
      <w:r>
        <w:rPr>
          <w:rFonts w:ascii="仿宋_GB2312" w:hAnsi="仿宋_GB2312" w:eastAsia="仿宋_GB2312"/>
          <w:b/>
          <w:sz w:val="32"/>
        </w:rPr>
        <w:t>具体情况如下：</w:t>
      </w:r>
    </w:p>
    <w:p w14:paraId="0E90E322">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3F228D0">
      <w:pPr>
        <w:spacing w:line="580" w:lineRule="exact"/>
        <w:ind w:firstLine="640"/>
        <w:jc w:val="both"/>
      </w:pPr>
      <w:r>
        <w:rPr>
          <w:rFonts w:ascii="仿宋_GB2312" w:hAnsi="仿宋_GB2312" w:eastAsia="仿宋_GB2312"/>
          <w:b w:val="0"/>
          <w:sz w:val="32"/>
        </w:rPr>
        <w:t>公务用车购置及运行维护费0.51万元，其中：公务用车购置费0.00万元，公务用车运行维护费0.51万元。公务用车运行维护费开支内容包括车辆保险费、维修维护费等。公务用车购置数0辆，公务用车保有量2辆。国有资产占用情况中固定资产车辆2辆，与公务用车保有量差异原因是：本单位固定资产车辆与公务用车保有量一致无差异。</w:t>
      </w:r>
    </w:p>
    <w:p w14:paraId="7B1A3184">
      <w:pPr>
        <w:spacing w:line="580" w:lineRule="exact"/>
        <w:ind w:firstLine="640"/>
        <w:jc w:val="both"/>
      </w:pPr>
      <w:r>
        <w:rPr>
          <w:rFonts w:ascii="仿宋_GB2312" w:hAnsi="仿宋_GB2312" w:eastAsia="仿宋_GB2312"/>
          <w:b w:val="0"/>
          <w:sz w:val="32"/>
        </w:rPr>
        <w:t>公务接待费0.40万元，开支内容包括因地区科协，来我县进行项目</w:t>
      </w:r>
      <w:r>
        <w:rPr>
          <w:rFonts w:hint="eastAsia" w:ascii="仿宋_GB2312" w:hAnsi="仿宋_GB2312" w:eastAsia="仿宋_GB2312"/>
          <w:b w:val="0"/>
          <w:sz w:val="32"/>
          <w:lang w:eastAsia="zh-CN"/>
        </w:rPr>
        <w:t>调研</w:t>
      </w:r>
      <w:r>
        <w:rPr>
          <w:rFonts w:ascii="仿宋_GB2312" w:hAnsi="仿宋_GB2312" w:eastAsia="仿宋_GB2312"/>
          <w:b w:val="0"/>
          <w:sz w:val="32"/>
        </w:rPr>
        <w:t>产生的就餐费。单位全年安排的国内公务接待5批次，23人次。</w:t>
      </w:r>
    </w:p>
    <w:p w14:paraId="01FE47DF">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0.91万元，决算数0.91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0.51万元，决算数0.51万元，预决算差异率0.00%，主要原因是：严格按照预算执行，预决算无差异。公务接待费全年预算数0.40万元，决算数0.40万元，预决算差异率0.00%，主要原因是：严格按照预算执行，预决算无差异。</w:t>
      </w:r>
    </w:p>
    <w:p w14:paraId="199034C2">
      <w:pPr>
        <w:spacing w:line="640" w:lineRule="exact"/>
        <w:ind w:firstLine="640"/>
        <w:jc w:val="both"/>
        <w:outlineLvl w:val="2"/>
      </w:pPr>
      <w:r>
        <w:rPr>
          <w:rFonts w:ascii="黑体" w:hAnsi="黑体" w:eastAsia="黑体"/>
          <w:sz w:val="32"/>
        </w:rPr>
        <w:t>十、其他重要事项的情况说明</w:t>
      </w:r>
    </w:p>
    <w:p w14:paraId="4D24D6FA">
      <w:pPr>
        <w:spacing w:line="640" w:lineRule="exact"/>
        <w:ind w:firstLine="640"/>
        <w:jc w:val="both"/>
        <w:outlineLvl w:val="3"/>
      </w:pPr>
      <w:r>
        <w:rPr>
          <w:rFonts w:ascii="楷体_GB2312" w:hAnsi="楷体_GB2312" w:eastAsia="楷体_GB2312"/>
          <w:b/>
          <w:sz w:val="32"/>
        </w:rPr>
        <w:t>（一）机关运行经费及公用经费支出情况</w:t>
      </w:r>
    </w:p>
    <w:p w14:paraId="0972F388">
      <w:pPr>
        <w:spacing w:line="580" w:lineRule="exact"/>
        <w:ind w:firstLine="640"/>
        <w:jc w:val="both"/>
      </w:pPr>
      <w:r>
        <w:rPr>
          <w:rFonts w:ascii="仿宋_GB2312" w:hAnsi="仿宋_GB2312" w:eastAsia="仿宋_GB2312"/>
          <w:b w:val="0"/>
          <w:sz w:val="32"/>
        </w:rPr>
        <w:t>2024年度岳普湖县科学技术局（行政单位和参照公务员法管理事业单位）机关运行经费支出4.70万元，比上年增加1.83万元，增长63.76%，主要原因是：本年维护科技馆展品，导致机关运行经费较上年增加。</w:t>
      </w:r>
    </w:p>
    <w:p w14:paraId="697D9199">
      <w:pPr>
        <w:spacing w:line="640" w:lineRule="exact"/>
        <w:ind w:firstLine="640"/>
        <w:jc w:val="both"/>
        <w:outlineLvl w:val="3"/>
      </w:pPr>
      <w:r>
        <w:rPr>
          <w:rFonts w:ascii="楷体_GB2312" w:hAnsi="楷体_GB2312" w:eastAsia="楷体_GB2312"/>
          <w:b/>
          <w:sz w:val="32"/>
        </w:rPr>
        <w:t>（二）政府采购情况</w:t>
      </w:r>
    </w:p>
    <w:p w14:paraId="28B38765">
      <w:pPr>
        <w:spacing w:line="580" w:lineRule="exact"/>
        <w:ind w:firstLine="640"/>
        <w:jc w:val="both"/>
      </w:pPr>
      <w:r>
        <w:rPr>
          <w:rFonts w:ascii="仿宋_GB2312" w:hAnsi="仿宋_GB2312" w:eastAsia="仿宋_GB2312"/>
          <w:b w:val="0"/>
          <w:sz w:val="32"/>
        </w:rPr>
        <w:t>2024年度政府采购支出总额2.04万元，其中：政府采购货物支出1.59万元、政府采购工程支出0.00万元、政府采购服务支出0.45万元。</w:t>
      </w:r>
    </w:p>
    <w:p w14:paraId="47EAF289">
      <w:pPr>
        <w:spacing w:line="580" w:lineRule="exact"/>
        <w:ind w:firstLine="640"/>
        <w:jc w:val="both"/>
      </w:pPr>
      <w:r>
        <w:rPr>
          <w:rFonts w:ascii="仿宋_GB2312" w:hAnsi="仿宋_GB2312" w:eastAsia="仿宋_GB2312"/>
          <w:b w:val="0"/>
          <w:sz w:val="32"/>
        </w:rPr>
        <w:t>授予中小企业合同金额1.03万元，占政府采购支出总额的50.49%，其中：授予小微企业合同金额1.03万元，占政府采购支出总额的50.49%。</w:t>
      </w:r>
    </w:p>
    <w:p w14:paraId="5C2E7F9A">
      <w:pPr>
        <w:spacing w:line="640" w:lineRule="exact"/>
        <w:ind w:firstLine="640"/>
        <w:jc w:val="both"/>
        <w:outlineLvl w:val="3"/>
      </w:pPr>
      <w:r>
        <w:rPr>
          <w:rFonts w:ascii="楷体_GB2312" w:hAnsi="楷体_GB2312" w:eastAsia="楷体_GB2312"/>
          <w:b/>
          <w:sz w:val="32"/>
        </w:rPr>
        <w:t>（三）国有资产占用情况说明</w:t>
      </w:r>
    </w:p>
    <w:p w14:paraId="18AC95FE">
      <w:pPr>
        <w:spacing w:line="580" w:lineRule="exact"/>
        <w:ind w:firstLine="640"/>
        <w:jc w:val="both"/>
      </w:pPr>
      <w:r>
        <w:rPr>
          <w:rFonts w:ascii="仿宋_GB2312" w:hAnsi="仿宋_GB2312" w:eastAsia="仿宋_GB2312"/>
          <w:b w:val="0"/>
          <w:sz w:val="32"/>
        </w:rPr>
        <w:t>截至2024年12月31日，房屋0.00平方米，价值0.00万元。车辆2辆，价值23.60万元，其中：副部（省）级及以上领导用车0辆、主要负责人用车0辆、机要通信用车0辆、应急保障用车0辆、执法执勤用车0辆、特种专业技术用车0辆、离退休干部服务用车0辆、其他用车2辆，其他用车主要是：一般公务用车。单价100万元（含）以上设备（不含车辆）0台（套）。</w:t>
      </w:r>
    </w:p>
    <w:p w14:paraId="275A39FA">
      <w:pPr>
        <w:spacing w:line="640" w:lineRule="exact"/>
        <w:ind w:firstLine="640"/>
        <w:jc w:val="both"/>
        <w:outlineLvl w:val="2"/>
      </w:pPr>
      <w:r>
        <w:rPr>
          <w:rFonts w:ascii="黑体" w:hAnsi="黑体" w:eastAsia="黑体"/>
          <w:sz w:val="32"/>
        </w:rPr>
        <w:t>十一、预算绩效的情况说明</w:t>
      </w:r>
    </w:p>
    <w:p w14:paraId="18EE3314">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231.27万元，实际执行总额231.27万元；预算绩效评价项目6个，全年预算数106.23万元，全年执行数86.08万元。预算绩效管理取得的成效：一是单位领导重视。单位领导高度重视，分管领导具体负责，专门成立项目绩效评价工作组，负责项目工作的指挥、协调，明确工作职责。充分发挥其职能作用。二是项目管理规范。</w:t>
      </w:r>
      <w:r>
        <w:rPr>
          <w:rFonts w:hint="eastAsia" w:ascii="仿宋_GB2312" w:hAnsi="仿宋_GB2312" w:eastAsia="仿宋_GB2312"/>
          <w:b w:val="0"/>
          <w:sz w:val="32"/>
          <w:lang w:eastAsia="zh-CN"/>
        </w:rPr>
        <w:t>本单位</w:t>
      </w:r>
      <w:r>
        <w:rPr>
          <w:rFonts w:ascii="仿宋_GB2312" w:hAnsi="仿宋_GB2312" w:eastAsia="仿宋_GB2312"/>
          <w:b w:val="0"/>
          <w:sz w:val="32"/>
        </w:rPr>
        <w:t>从多方面对本项目的实施进行研究和预算绩效管理，管理制度完善、责任落实到位，在项目实施过</w:t>
      </w:r>
      <w:r>
        <w:rPr>
          <w:rFonts w:hint="eastAsia" w:ascii="仿宋_GB2312" w:hAnsi="仿宋_GB2312" w:eastAsia="仿宋_GB2312"/>
          <w:b w:val="0"/>
          <w:sz w:val="32"/>
          <w:lang w:eastAsia="zh-CN"/>
        </w:rPr>
        <w:t>程中</w:t>
      </w:r>
      <w:r>
        <w:rPr>
          <w:rFonts w:ascii="仿宋_GB2312" w:hAnsi="仿宋_GB2312" w:eastAsia="仿宋_GB2312"/>
          <w:b w:val="0"/>
          <w:sz w:val="32"/>
        </w:rPr>
        <w:t>对项目的事前、事中、事后全方位、全过程进行分析、掌握，注重评价过程的记录和档案整理，为下一年度工作提供依据。三是注重沟通协调。对项目推进过程中出现的问题及时进行沟通、整改，尽早拿出解决措施加以应对，确保项目顺利进行，保障项目按期完成。四是强化监督考核。加大项目监管力度，切实让项目受益人员享受到项目所产生的效益。安排项目分管领导，做好项目执行过程中的监督管理，跟踪考核机制的</w:t>
      </w:r>
      <w:r>
        <w:rPr>
          <w:rFonts w:hint="eastAsia" w:ascii="仿宋_GB2312" w:hAnsi="仿宋_GB2312" w:eastAsia="仿宋_GB2312"/>
          <w:b w:val="0"/>
          <w:sz w:val="32"/>
          <w:lang w:eastAsia="zh-CN"/>
        </w:rPr>
        <w:t>完善</w:t>
      </w:r>
      <w:r>
        <w:rPr>
          <w:rFonts w:ascii="仿宋_GB2312" w:hAnsi="仿宋_GB2312" w:eastAsia="仿宋_GB2312"/>
          <w:b w:val="0"/>
          <w:sz w:val="32"/>
        </w:rPr>
        <w:t>保障运行有效。结合项目完成情况和工作实施，强化考核验收。五是以当前影响全民科学文化素质水平提升的重点人群和关键环节为着力点，重点实施未成年人科学素质行动。发现的问题及原因：一是相关绩效管理方面专业知识的系统性学习有待加强。各项指标的设置要进一步优化、完善，主要在细化、量化上改进。在绩效自评过程中，</w:t>
      </w:r>
      <w:r>
        <w:rPr>
          <w:rFonts w:hint="eastAsia" w:ascii="仿宋_GB2312" w:hAnsi="仿宋_GB2312" w:eastAsia="仿宋_GB2312"/>
          <w:b w:val="0"/>
          <w:sz w:val="32"/>
          <w:lang w:eastAsia="zh-CN"/>
        </w:rPr>
        <w:t>由于</w:t>
      </w:r>
      <w:r>
        <w:rPr>
          <w:rFonts w:ascii="仿宋_GB2312" w:hAnsi="仿宋_GB2312" w:eastAsia="仿宋_GB2312"/>
          <w:b w:val="0"/>
          <w:sz w:val="32"/>
        </w:rPr>
        <w:t>部分人员缺乏相关绩效管理专业知识，自评工作还存在自我审定的局限性，影响评价质量。二是缺少带着问题去评价的意识，现场评价的工作量少，后续效益评价具体措施和方法不足。三是在宣传引导青少年方面还略显不够。素质教育创新不足，素质提升过于机械化、程序化。下一步改进措施：一是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二是进一步完善项目评价过程中有关数据和资料的收集、整理、审核及分析。项目启动时同步做好档案的归纳与整理，及时整理、收集、汇总，健全档案资料。项目后续管理有待进一步加强和跟踪。三是通过绩效管理，发现实施中存在漏洞，以后加强管理，及时掌握与之相关的各类信息，减少成本，使资金效益最大化。四是评价工作应从项目实施方案源头抓起，评价工作和意识应贯穿项目整个过程。五是青少年方面素质方面进一步加强宣传引导。对素质教育不断进行创新。具体附整体支出绩效自评表，项目支出绩效自评表和评价报告。</w:t>
      </w:r>
    </w:p>
    <w:p w14:paraId="730B7318">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1181"/>
        <w:gridCol w:w="855"/>
        <w:gridCol w:w="913"/>
        <w:gridCol w:w="983"/>
        <w:gridCol w:w="983"/>
        <w:gridCol w:w="983"/>
        <w:gridCol w:w="983"/>
      </w:tblGrid>
      <w:tr w14:paraId="03E04073">
        <w:tblPrEx>
          <w:tblCellMar>
            <w:top w:w="0" w:type="dxa"/>
            <w:left w:w="108" w:type="dxa"/>
            <w:bottom w:w="0" w:type="dxa"/>
            <w:right w:w="108" w:type="dxa"/>
          </w:tblCellMar>
        </w:tblPrEx>
        <w:tc>
          <w:tcPr>
            <w:tcW w:w="8847" w:type="dxa"/>
            <w:gridSpan w:val="9"/>
            <w:vAlign w:val="center"/>
          </w:tcPr>
          <w:p w14:paraId="0901EEA0">
            <w:pPr>
              <w:jc w:val="center"/>
            </w:pPr>
            <w:r>
              <w:rPr>
                <w:rFonts w:ascii="宋体" w:hAnsi="宋体" w:eastAsia="宋体"/>
                <w:sz w:val="24"/>
              </w:rPr>
              <w:t>单位整体支出绩效自评表</w:t>
            </w:r>
          </w:p>
        </w:tc>
      </w:tr>
      <w:tr w14:paraId="4E1CFC5E">
        <w:tblPrEx>
          <w:tblCellMar>
            <w:top w:w="0" w:type="dxa"/>
            <w:left w:w="108" w:type="dxa"/>
            <w:bottom w:w="0" w:type="dxa"/>
            <w:right w:w="108" w:type="dxa"/>
          </w:tblCellMar>
        </w:tblPrEx>
        <w:tc>
          <w:tcPr>
            <w:tcW w:w="8847" w:type="dxa"/>
            <w:gridSpan w:val="9"/>
            <w:vAlign w:val="center"/>
          </w:tcPr>
          <w:p w14:paraId="463E344F">
            <w:pPr>
              <w:jc w:val="center"/>
            </w:pPr>
            <w:r>
              <w:rPr>
                <w:rFonts w:ascii="宋体" w:hAnsi="宋体" w:eastAsia="宋体"/>
                <w:sz w:val="24"/>
              </w:rPr>
              <w:t>（2024年度）</w:t>
            </w:r>
          </w:p>
        </w:tc>
      </w:tr>
      <w:tr w14:paraId="6C60510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B0F669">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59CCE080">
            <w:pPr>
              <w:jc w:val="center"/>
            </w:pPr>
            <w:r>
              <w:rPr>
                <w:rFonts w:ascii="宋体" w:hAnsi="宋体" w:eastAsia="宋体"/>
                <w:sz w:val="16"/>
              </w:rPr>
              <w:t>岳普湖县科学技术局</w:t>
            </w:r>
          </w:p>
        </w:tc>
      </w:tr>
      <w:tr w14:paraId="032FCC2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625813">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085405">
            <w:pPr>
              <w:jc w:val="center"/>
            </w:pPr>
            <w:r>
              <w:rPr>
                <w:rFonts w:ascii="宋体" w:hAnsi="宋体" w:eastAsia="宋体"/>
                <w:sz w:val="16"/>
              </w:rPr>
              <w:t>资金来源</w:t>
            </w:r>
          </w:p>
        </w:tc>
        <w:tc>
          <w:tcPr>
            <w:tcW w:w="1181" w:type="dxa"/>
            <w:tcBorders>
              <w:top w:val="single" w:color="auto" w:sz="10" w:space="0"/>
              <w:left w:val="single" w:color="auto" w:sz="10" w:space="0"/>
              <w:bottom w:val="single" w:color="auto" w:sz="10" w:space="0"/>
              <w:right w:val="single" w:color="auto" w:sz="10" w:space="0"/>
              <w:insideV w:val="single" w:sz="10" w:space="0"/>
            </w:tcBorders>
            <w:vAlign w:val="center"/>
          </w:tcPr>
          <w:p w14:paraId="3187C8AC">
            <w:pPr>
              <w:jc w:val="center"/>
            </w:pPr>
            <w:r>
              <w:rPr>
                <w:rFonts w:ascii="宋体" w:hAnsi="宋体" w:eastAsia="宋体"/>
                <w:sz w:val="16"/>
              </w:rPr>
              <w:t>年初预算数</w:t>
            </w:r>
          </w:p>
        </w:tc>
        <w:tc>
          <w:tcPr>
            <w:tcW w:w="855" w:type="dxa"/>
            <w:tcBorders>
              <w:top w:val="single" w:color="auto" w:sz="10" w:space="0"/>
              <w:left w:val="single" w:color="auto" w:sz="10" w:space="0"/>
              <w:bottom w:val="single" w:color="auto" w:sz="10" w:space="0"/>
              <w:right w:val="single" w:color="auto" w:sz="10" w:space="0"/>
              <w:insideV w:val="single" w:sz="10" w:space="0"/>
            </w:tcBorders>
            <w:vAlign w:val="center"/>
          </w:tcPr>
          <w:p w14:paraId="45220911">
            <w:pPr>
              <w:jc w:val="center"/>
            </w:pPr>
            <w:r>
              <w:rPr>
                <w:rFonts w:ascii="宋体" w:hAnsi="宋体" w:eastAsia="宋体"/>
                <w:sz w:val="16"/>
              </w:rPr>
              <w:t>预算数（调整后）</w:t>
            </w:r>
          </w:p>
        </w:tc>
        <w:tc>
          <w:tcPr>
            <w:tcW w:w="913" w:type="dxa"/>
            <w:tcBorders>
              <w:top w:val="single" w:color="auto" w:sz="10" w:space="0"/>
              <w:left w:val="single" w:color="auto" w:sz="10" w:space="0"/>
              <w:bottom w:val="single" w:color="auto" w:sz="10" w:space="0"/>
              <w:right w:val="single" w:color="auto" w:sz="10" w:space="0"/>
              <w:insideV w:val="single" w:sz="10" w:space="0"/>
            </w:tcBorders>
            <w:vAlign w:val="center"/>
          </w:tcPr>
          <w:p w14:paraId="5E27A064">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17191B">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FDFB05">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617306">
            <w:pPr>
              <w:jc w:val="center"/>
            </w:pPr>
            <w:r>
              <w:rPr>
                <w:rFonts w:ascii="宋体" w:hAnsi="宋体" w:eastAsia="宋体"/>
                <w:sz w:val="16"/>
              </w:rPr>
              <w:t>得分</w:t>
            </w:r>
          </w:p>
        </w:tc>
      </w:tr>
      <w:tr w14:paraId="51C16C7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4F1AEB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38D7FA">
            <w:pPr>
              <w:jc w:val="center"/>
            </w:pPr>
            <w:r>
              <w:rPr>
                <w:rFonts w:ascii="宋体" w:hAnsi="宋体" w:eastAsia="宋体"/>
                <w:sz w:val="16"/>
              </w:rPr>
              <w:t>年度总资金：</w:t>
            </w:r>
          </w:p>
        </w:tc>
        <w:tc>
          <w:tcPr>
            <w:tcW w:w="1181" w:type="dxa"/>
            <w:tcBorders>
              <w:top w:val="single" w:color="auto" w:sz="10" w:space="0"/>
              <w:left w:val="single" w:color="auto" w:sz="10" w:space="0"/>
              <w:bottom w:val="single" w:color="auto" w:sz="10" w:space="0"/>
              <w:right w:val="single" w:color="auto" w:sz="10" w:space="0"/>
              <w:insideV w:val="single" w:sz="10" w:space="0"/>
            </w:tcBorders>
            <w:vAlign w:val="center"/>
          </w:tcPr>
          <w:p w14:paraId="736FAB09">
            <w:pPr>
              <w:jc w:val="center"/>
            </w:pPr>
            <w:r>
              <w:rPr>
                <w:rFonts w:ascii="宋体" w:hAnsi="宋体" w:eastAsia="宋体"/>
                <w:sz w:val="16"/>
              </w:rPr>
              <w:t>216.85</w:t>
            </w:r>
          </w:p>
        </w:tc>
        <w:tc>
          <w:tcPr>
            <w:tcW w:w="855" w:type="dxa"/>
            <w:tcBorders>
              <w:top w:val="single" w:color="auto" w:sz="10" w:space="0"/>
              <w:left w:val="single" w:color="auto" w:sz="10" w:space="0"/>
              <w:bottom w:val="single" w:color="auto" w:sz="10" w:space="0"/>
              <w:right w:val="single" w:color="auto" w:sz="10" w:space="0"/>
              <w:insideV w:val="single" w:sz="10" w:space="0"/>
            </w:tcBorders>
            <w:vAlign w:val="center"/>
          </w:tcPr>
          <w:p w14:paraId="21C17AB3">
            <w:pPr>
              <w:jc w:val="center"/>
            </w:pPr>
            <w:r>
              <w:rPr>
                <w:rFonts w:ascii="宋体" w:hAnsi="宋体" w:eastAsia="宋体"/>
                <w:sz w:val="16"/>
              </w:rPr>
              <w:t>231.27</w:t>
            </w:r>
          </w:p>
        </w:tc>
        <w:tc>
          <w:tcPr>
            <w:tcW w:w="913" w:type="dxa"/>
            <w:tcBorders>
              <w:top w:val="single" w:color="auto" w:sz="10" w:space="0"/>
              <w:left w:val="single" w:color="auto" w:sz="10" w:space="0"/>
              <w:bottom w:val="single" w:color="auto" w:sz="10" w:space="0"/>
              <w:right w:val="single" w:color="auto" w:sz="10" w:space="0"/>
              <w:insideV w:val="single" w:sz="10" w:space="0"/>
            </w:tcBorders>
            <w:vAlign w:val="center"/>
          </w:tcPr>
          <w:p w14:paraId="79849449">
            <w:pPr>
              <w:jc w:val="center"/>
            </w:pPr>
            <w:r>
              <w:rPr>
                <w:rFonts w:ascii="宋体" w:hAnsi="宋体" w:eastAsia="宋体"/>
                <w:sz w:val="16"/>
              </w:rPr>
              <w:t>231.27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CBA7F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E164BB">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F2F04A">
            <w:pPr>
              <w:jc w:val="center"/>
            </w:pPr>
            <w:r>
              <w:rPr>
                <w:rFonts w:ascii="宋体" w:hAnsi="宋体" w:eastAsia="宋体"/>
                <w:sz w:val="16"/>
              </w:rPr>
              <w:t>10</w:t>
            </w:r>
          </w:p>
        </w:tc>
      </w:tr>
      <w:tr w14:paraId="6817BA1A">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8D072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64F43D">
            <w:pPr>
              <w:jc w:val="center"/>
            </w:pPr>
            <w:r>
              <w:rPr>
                <w:rFonts w:ascii="宋体" w:hAnsi="宋体" w:eastAsia="宋体"/>
                <w:sz w:val="16"/>
              </w:rPr>
              <w:t>上级资金：</w:t>
            </w:r>
          </w:p>
        </w:tc>
        <w:tc>
          <w:tcPr>
            <w:tcW w:w="1181" w:type="dxa"/>
            <w:tcBorders>
              <w:top w:val="single" w:color="auto" w:sz="10" w:space="0"/>
              <w:left w:val="single" w:color="auto" w:sz="10" w:space="0"/>
              <w:bottom w:val="single" w:color="auto" w:sz="10" w:space="0"/>
              <w:right w:val="single" w:color="auto" w:sz="10" w:space="0"/>
              <w:insideV w:val="single" w:sz="10" w:space="0"/>
            </w:tcBorders>
            <w:vAlign w:val="center"/>
          </w:tcPr>
          <w:p w14:paraId="231CB0AD">
            <w:pPr>
              <w:jc w:val="center"/>
            </w:pPr>
            <w:r>
              <w:rPr>
                <w:rFonts w:ascii="宋体" w:hAnsi="宋体" w:eastAsia="宋体"/>
                <w:sz w:val="16"/>
              </w:rPr>
              <w:t>83.24</w:t>
            </w:r>
          </w:p>
        </w:tc>
        <w:tc>
          <w:tcPr>
            <w:tcW w:w="855" w:type="dxa"/>
            <w:tcBorders>
              <w:top w:val="single" w:color="auto" w:sz="10" w:space="0"/>
              <w:left w:val="single" w:color="auto" w:sz="10" w:space="0"/>
              <w:bottom w:val="single" w:color="auto" w:sz="10" w:space="0"/>
              <w:right w:val="single" w:color="auto" w:sz="10" w:space="0"/>
              <w:insideV w:val="single" w:sz="10" w:space="0"/>
            </w:tcBorders>
            <w:vAlign w:val="center"/>
          </w:tcPr>
          <w:p w14:paraId="65608A63">
            <w:pPr>
              <w:jc w:val="center"/>
            </w:pPr>
            <w:r>
              <w:rPr>
                <w:rFonts w:ascii="宋体" w:hAnsi="宋体" w:eastAsia="宋体"/>
                <w:sz w:val="16"/>
              </w:rPr>
              <w:t>85.13</w:t>
            </w:r>
          </w:p>
        </w:tc>
        <w:tc>
          <w:tcPr>
            <w:tcW w:w="913" w:type="dxa"/>
            <w:tcBorders>
              <w:top w:val="single" w:color="auto" w:sz="10" w:space="0"/>
              <w:left w:val="single" w:color="auto" w:sz="10" w:space="0"/>
              <w:bottom w:val="single" w:color="auto" w:sz="10" w:space="0"/>
              <w:right w:val="single" w:color="auto" w:sz="10" w:space="0"/>
              <w:insideV w:val="single" w:sz="10" w:space="0"/>
            </w:tcBorders>
            <w:vAlign w:val="center"/>
          </w:tcPr>
          <w:p w14:paraId="68573CD0">
            <w:pPr>
              <w:jc w:val="center"/>
            </w:pPr>
            <w:r>
              <w:rPr>
                <w:rFonts w:ascii="宋体" w:hAnsi="宋体" w:eastAsia="宋体"/>
                <w:sz w:val="16"/>
              </w:rPr>
              <w:t>85.13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ACE633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0AEA9C">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0A71FA">
            <w:pPr>
              <w:jc w:val="center"/>
            </w:pPr>
            <w:r>
              <w:rPr>
                <w:rFonts w:ascii="宋体" w:hAnsi="宋体" w:eastAsia="宋体"/>
                <w:sz w:val="16"/>
              </w:rPr>
              <w:t>—</w:t>
            </w:r>
          </w:p>
        </w:tc>
      </w:tr>
      <w:tr w14:paraId="40B0CE9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14F37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92F7DC">
            <w:pPr>
              <w:jc w:val="center"/>
            </w:pPr>
            <w:r>
              <w:rPr>
                <w:rFonts w:ascii="宋体" w:hAnsi="宋体" w:eastAsia="宋体"/>
                <w:sz w:val="16"/>
              </w:rPr>
              <w:t>本级资金：</w:t>
            </w:r>
          </w:p>
        </w:tc>
        <w:tc>
          <w:tcPr>
            <w:tcW w:w="1181" w:type="dxa"/>
            <w:tcBorders>
              <w:top w:val="single" w:color="auto" w:sz="10" w:space="0"/>
              <w:left w:val="single" w:color="auto" w:sz="10" w:space="0"/>
              <w:bottom w:val="single" w:color="auto" w:sz="10" w:space="0"/>
              <w:right w:val="single" w:color="auto" w:sz="10" w:space="0"/>
              <w:insideV w:val="single" w:sz="10" w:space="0"/>
            </w:tcBorders>
            <w:vAlign w:val="center"/>
          </w:tcPr>
          <w:p w14:paraId="183F498C">
            <w:pPr>
              <w:jc w:val="center"/>
            </w:pPr>
            <w:r>
              <w:rPr>
                <w:rFonts w:ascii="宋体" w:hAnsi="宋体" w:eastAsia="宋体"/>
                <w:sz w:val="16"/>
              </w:rPr>
              <w:t>133.61</w:t>
            </w:r>
          </w:p>
        </w:tc>
        <w:tc>
          <w:tcPr>
            <w:tcW w:w="855" w:type="dxa"/>
            <w:tcBorders>
              <w:top w:val="single" w:color="auto" w:sz="10" w:space="0"/>
              <w:left w:val="single" w:color="auto" w:sz="10" w:space="0"/>
              <w:bottom w:val="single" w:color="auto" w:sz="10" w:space="0"/>
              <w:right w:val="single" w:color="auto" w:sz="10" w:space="0"/>
              <w:insideV w:val="single" w:sz="10" w:space="0"/>
            </w:tcBorders>
            <w:vAlign w:val="center"/>
          </w:tcPr>
          <w:p w14:paraId="1C64A679">
            <w:pPr>
              <w:jc w:val="center"/>
            </w:pPr>
            <w:r>
              <w:rPr>
                <w:rFonts w:ascii="宋体" w:hAnsi="宋体" w:eastAsia="宋体"/>
                <w:sz w:val="16"/>
              </w:rPr>
              <w:t>146.14</w:t>
            </w:r>
          </w:p>
        </w:tc>
        <w:tc>
          <w:tcPr>
            <w:tcW w:w="913" w:type="dxa"/>
            <w:tcBorders>
              <w:top w:val="single" w:color="auto" w:sz="10" w:space="0"/>
              <w:left w:val="single" w:color="auto" w:sz="10" w:space="0"/>
              <w:bottom w:val="single" w:color="auto" w:sz="10" w:space="0"/>
              <w:right w:val="single" w:color="auto" w:sz="10" w:space="0"/>
              <w:insideV w:val="single" w:sz="10" w:space="0"/>
            </w:tcBorders>
            <w:vAlign w:val="center"/>
          </w:tcPr>
          <w:p w14:paraId="754C0504">
            <w:pPr>
              <w:jc w:val="center"/>
            </w:pPr>
            <w:r>
              <w:rPr>
                <w:rFonts w:ascii="宋体" w:hAnsi="宋体" w:eastAsia="宋体"/>
                <w:sz w:val="16"/>
              </w:rPr>
              <w:t>146.14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06915A">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03A6C4">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471362">
            <w:pPr>
              <w:jc w:val="center"/>
            </w:pPr>
            <w:r>
              <w:rPr>
                <w:rFonts w:ascii="宋体" w:hAnsi="宋体" w:eastAsia="宋体"/>
                <w:sz w:val="16"/>
              </w:rPr>
              <w:t>—</w:t>
            </w:r>
          </w:p>
        </w:tc>
      </w:tr>
      <w:tr w14:paraId="5A22F90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CAA33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BDDE52">
            <w:pPr>
              <w:jc w:val="center"/>
            </w:pPr>
            <w:r>
              <w:rPr>
                <w:rFonts w:ascii="宋体" w:hAnsi="宋体" w:eastAsia="宋体"/>
                <w:sz w:val="16"/>
              </w:rPr>
              <w:t>其他资金：</w:t>
            </w:r>
          </w:p>
        </w:tc>
        <w:tc>
          <w:tcPr>
            <w:tcW w:w="1181" w:type="dxa"/>
            <w:tcBorders>
              <w:top w:val="single" w:color="auto" w:sz="10" w:space="0"/>
              <w:left w:val="single" w:color="auto" w:sz="10" w:space="0"/>
              <w:bottom w:val="single" w:color="auto" w:sz="10" w:space="0"/>
              <w:right w:val="single" w:color="auto" w:sz="10" w:space="0"/>
              <w:insideV w:val="single" w:sz="10" w:space="0"/>
            </w:tcBorders>
            <w:vAlign w:val="center"/>
          </w:tcPr>
          <w:p w14:paraId="32778CB0">
            <w:pPr>
              <w:jc w:val="center"/>
            </w:pPr>
            <w:r>
              <w:rPr>
                <w:rFonts w:ascii="宋体" w:hAnsi="宋体" w:eastAsia="宋体"/>
                <w:sz w:val="16"/>
              </w:rPr>
              <w:t>0.00</w:t>
            </w:r>
          </w:p>
        </w:tc>
        <w:tc>
          <w:tcPr>
            <w:tcW w:w="855" w:type="dxa"/>
            <w:tcBorders>
              <w:top w:val="single" w:color="auto" w:sz="10" w:space="0"/>
              <w:left w:val="single" w:color="auto" w:sz="10" w:space="0"/>
              <w:bottom w:val="single" w:color="auto" w:sz="10" w:space="0"/>
              <w:right w:val="single" w:color="auto" w:sz="10" w:space="0"/>
              <w:insideV w:val="single" w:sz="10" w:space="0"/>
            </w:tcBorders>
            <w:vAlign w:val="center"/>
          </w:tcPr>
          <w:p w14:paraId="1E4D6263">
            <w:pPr>
              <w:jc w:val="center"/>
            </w:pPr>
            <w:r>
              <w:rPr>
                <w:rFonts w:ascii="宋体" w:hAnsi="宋体" w:eastAsia="宋体"/>
                <w:sz w:val="16"/>
              </w:rPr>
              <w:t>0.00</w:t>
            </w:r>
          </w:p>
        </w:tc>
        <w:tc>
          <w:tcPr>
            <w:tcW w:w="913" w:type="dxa"/>
            <w:tcBorders>
              <w:top w:val="single" w:color="auto" w:sz="10" w:space="0"/>
              <w:left w:val="single" w:color="auto" w:sz="10" w:space="0"/>
              <w:bottom w:val="single" w:color="auto" w:sz="10" w:space="0"/>
              <w:right w:val="single" w:color="auto" w:sz="10" w:space="0"/>
              <w:insideV w:val="single" w:sz="10" w:space="0"/>
            </w:tcBorders>
            <w:vAlign w:val="center"/>
          </w:tcPr>
          <w:p w14:paraId="2F26328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48EC8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4EA808">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9E019A">
            <w:pPr>
              <w:jc w:val="center"/>
            </w:pPr>
            <w:r>
              <w:rPr>
                <w:rFonts w:ascii="宋体" w:hAnsi="宋体" w:eastAsia="宋体"/>
                <w:sz w:val="16"/>
              </w:rPr>
              <w:t>—</w:t>
            </w:r>
          </w:p>
        </w:tc>
      </w:tr>
      <w:tr w14:paraId="75D9B8F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6CB320">
            <w:pPr>
              <w:jc w:val="center"/>
            </w:pPr>
            <w:r>
              <w:rPr>
                <w:rFonts w:ascii="宋体" w:hAnsi="宋体" w:eastAsia="宋体"/>
                <w:sz w:val="16"/>
              </w:rPr>
              <w:t>年度总体目标</w:t>
            </w:r>
          </w:p>
        </w:tc>
        <w:tc>
          <w:tcPr>
            <w:tcW w:w="301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FD4CF34">
            <w:pPr>
              <w:jc w:val="center"/>
            </w:pPr>
            <w:r>
              <w:rPr>
                <w:rFonts w:ascii="宋体" w:hAnsi="宋体" w:eastAsia="宋体"/>
                <w:sz w:val="16"/>
              </w:rPr>
              <w:t>预期目标</w:t>
            </w:r>
          </w:p>
        </w:tc>
        <w:tc>
          <w:tcPr>
            <w:tcW w:w="484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DDFA33E">
            <w:pPr>
              <w:jc w:val="center"/>
            </w:pPr>
            <w:r>
              <w:rPr>
                <w:rFonts w:ascii="宋体" w:hAnsi="宋体" w:eastAsia="宋体"/>
                <w:sz w:val="16"/>
              </w:rPr>
              <w:t>实际完成情况</w:t>
            </w:r>
          </w:p>
        </w:tc>
      </w:tr>
      <w:tr w14:paraId="728603B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5EFFA44"/>
        </w:tc>
        <w:tc>
          <w:tcPr>
            <w:tcW w:w="301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C2B3478">
            <w:pPr>
              <w:jc w:val="both"/>
            </w:pPr>
            <w:r>
              <w:rPr>
                <w:rFonts w:ascii="宋体" w:hAnsi="宋体" w:eastAsia="宋体"/>
                <w:sz w:val="16"/>
              </w:rPr>
              <w:t>保障单位日常经费正常支出。培育3家高新技术企业，打造1个“好奇岳普湖”科普平台，建设1个村级科普馆。加强乡村科普基础设施建设。加大科普宣传普及力度，加强基层科普组织和科普人才队伍建设。</w:t>
            </w:r>
          </w:p>
        </w:tc>
        <w:tc>
          <w:tcPr>
            <w:tcW w:w="484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21CC579">
            <w:pPr>
              <w:jc w:val="both"/>
            </w:pPr>
            <w:r>
              <w:rPr>
                <w:rFonts w:ascii="宋体" w:hAnsi="宋体" w:eastAsia="宋体"/>
                <w:sz w:val="16"/>
              </w:rPr>
              <w:t>完成了培育3家高新技术企业的任务，为科技发展注入了新的活力，也为地方经济的提升做出积极的贡献。同时，打造“好奇岳普湖”的科普平台，致力于激发公众对科学的兴趣和好奇心，通过互动体验和知识普及，让科学变得更加生动和易于理解。建设一个村级科普馆，旨在将科学知识传播到更广泛的基层群众中去，缩小城乡之间的科普教育差距。为保障单位的日常经费开支，采取有效的措施，确保单位运作的顺畅和高效。不断加强乡村科普基础设施的建设，以确保科普活动的顺利进行。加大科普宣传普及的力度，通过各种渠道和方式，让更多的人了解和接触到科学知识。注重加强基层科普组织和科普人才队伍建设。</w:t>
            </w:r>
          </w:p>
        </w:tc>
      </w:tr>
      <w:tr w14:paraId="55A6FAA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4F91A6">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1B0D24">
            <w:pPr>
              <w:jc w:val="center"/>
            </w:pPr>
            <w:r>
              <w:rPr>
                <w:rFonts w:ascii="宋体" w:hAnsi="宋体" w:eastAsia="宋体"/>
                <w:sz w:val="16"/>
              </w:rPr>
              <w:t>二级指标</w:t>
            </w:r>
          </w:p>
        </w:tc>
        <w:tc>
          <w:tcPr>
            <w:tcW w:w="1181" w:type="dxa"/>
            <w:tcBorders>
              <w:top w:val="single" w:color="auto" w:sz="10" w:space="0"/>
              <w:left w:val="single" w:color="auto" w:sz="10" w:space="0"/>
              <w:bottom w:val="single" w:color="auto" w:sz="10" w:space="0"/>
              <w:right w:val="single" w:color="auto" w:sz="10" w:space="0"/>
              <w:insideV w:val="single" w:sz="10" w:space="0"/>
            </w:tcBorders>
            <w:vAlign w:val="center"/>
          </w:tcPr>
          <w:p w14:paraId="28951421">
            <w:pPr>
              <w:jc w:val="center"/>
            </w:pPr>
            <w:r>
              <w:rPr>
                <w:rFonts w:ascii="宋体" w:hAnsi="宋体" w:eastAsia="宋体"/>
                <w:sz w:val="16"/>
              </w:rPr>
              <w:t>三级指标</w:t>
            </w:r>
          </w:p>
        </w:tc>
        <w:tc>
          <w:tcPr>
            <w:tcW w:w="855" w:type="dxa"/>
            <w:tcBorders>
              <w:top w:val="single" w:color="auto" w:sz="10" w:space="0"/>
              <w:left w:val="single" w:color="auto" w:sz="10" w:space="0"/>
              <w:bottom w:val="single" w:color="auto" w:sz="10" w:space="0"/>
              <w:right w:val="single" w:color="auto" w:sz="10" w:space="0"/>
              <w:insideV w:val="single" w:sz="10" w:space="0"/>
            </w:tcBorders>
            <w:vAlign w:val="center"/>
          </w:tcPr>
          <w:p w14:paraId="4D209413">
            <w:pPr>
              <w:jc w:val="center"/>
            </w:pPr>
            <w:r>
              <w:rPr>
                <w:rFonts w:ascii="宋体" w:hAnsi="宋体" w:eastAsia="宋体"/>
                <w:sz w:val="16"/>
              </w:rPr>
              <w:t>指标值</w:t>
            </w:r>
          </w:p>
        </w:tc>
        <w:tc>
          <w:tcPr>
            <w:tcW w:w="913" w:type="dxa"/>
            <w:tcBorders>
              <w:top w:val="single" w:color="auto" w:sz="10" w:space="0"/>
              <w:left w:val="single" w:color="auto" w:sz="10" w:space="0"/>
              <w:bottom w:val="single" w:color="auto" w:sz="10" w:space="0"/>
              <w:right w:val="single" w:color="auto" w:sz="10" w:space="0"/>
              <w:insideV w:val="single" w:sz="10" w:space="0"/>
            </w:tcBorders>
            <w:vAlign w:val="center"/>
          </w:tcPr>
          <w:p w14:paraId="4DD1B1FF">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C786C6">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7AF444">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5FC673">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18E553">
            <w:pPr>
              <w:jc w:val="center"/>
            </w:pPr>
            <w:r>
              <w:rPr>
                <w:rFonts w:ascii="宋体" w:hAnsi="宋体" w:eastAsia="宋体"/>
                <w:sz w:val="16"/>
              </w:rPr>
              <w:t>得分</w:t>
            </w:r>
          </w:p>
        </w:tc>
      </w:tr>
      <w:tr w14:paraId="79CE64B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C9FFBB">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A7BECA">
            <w:pPr>
              <w:jc w:val="center"/>
            </w:pPr>
            <w:r>
              <w:rPr>
                <w:rFonts w:ascii="宋体" w:hAnsi="宋体" w:eastAsia="宋体"/>
                <w:sz w:val="16"/>
              </w:rPr>
              <w:t>数量指标</w:t>
            </w:r>
          </w:p>
        </w:tc>
        <w:tc>
          <w:tcPr>
            <w:tcW w:w="1181" w:type="dxa"/>
            <w:tcBorders>
              <w:top w:val="single" w:color="auto" w:sz="10" w:space="0"/>
              <w:left w:val="single" w:color="auto" w:sz="10" w:space="0"/>
              <w:bottom w:val="single" w:color="auto" w:sz="10" w:space="0"/>
              <w:right w:val="single" w:color="auto" w:sz="10" w:space="0"/>
              <w:insideV w:val="single" w:sz="10" w:space="0"/>
            </w:tcBorders>
            <w:vAlign w:val="center"/>
          </w:tcPr>
          <w:p w14:paraId="1E65F98A">
            <w:pPr>
              <w:jc w:val="center"/>
            </w:pPr>
            <w:r>
              <w:rPr>
                <w:rFonts w:ascii="宋体" w:hAnsi="宋体" w:eastAsia="宋体"/>
                <w:sz w:val="16"/>
              </w:rPr>
              <w:t>培育高新技术企业</w:t>
            </w:r>
          </w:p>
        </w:tc>
        <w:tc>
          <w:tcPr>
            <w:tcW w:w="855" w:type="dxa"/>
            <w:tcBorders>
              <w:top w:val="single" w:color="auto" w:sz="10" w:space="0"/>
              <w:left w:val="single" w:color="auto" w:sz="10" w:space="0"/>
              <w:bottom w:val="single" w:color="auto" w:sz="10" w:space="0"/>
              <w:right w:val="single" w:color="auto" w:sz="10" w:space="0"/>
              <w:insideV w:val="single" w:sz="10" w:space="0"/>
            </w:tcBorders>
            <w:vAlign w:val="center"/>
          </w:tcPr>
          <w:p w14:paraId="5BD48FF3">
            <w:pPr>
              <w:jc w:val="center"/>
            </w:pPr>
            <w:r>
              <w:rPr>
                <w:rFonts w:ascii="宋体" w:hAnsi="宋体" w:eastAsia="宋体"/>
                <w:sz w:val="16"/>
              </w:rPr>
              <w:t>&gt;=3家</w:t>
            </w:r>
          </w:p>
        </w:tc>
        <w:tc>
          <w:tcPr>
            <w:tcW w:w="913" w:type="dxa"/>
            <w:tcBorders>
              <w:top w:val="single" w:color="auto" w:sz="10" w:space="0"/>
              <w:left w:val="single" w:color="auto" w:sz="10" w:space="0"/>
              <w:bottom w:val="single" w:color="auto" w:sz="10" w:space="0"/>
              <w:right w:val="single" w:color="auto" w:sz="10" w:space="0"/>
              <w:insideV w:val="single" w:sz="10" w:space="0"/>
            </w:tcBorders>
            <w:vAlign w:val="center"/>
          </w:tcPr>
          <w:p w14:paraId="3EDE2E81">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5BC90A">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43270B">
            <w:pPr>
              <w:jc w:val="center"/>
            </w:pPr>
            <w:r>
              <w:rPr>
                <w:rFonts w:ascii="宋体" w:hAnsi="宋体" w:eastAsia="宋体"/>
                <w:sz w:val="16"/>
              </w:rPr>
              <w:t>3家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7E486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6F1F51">
            <w:pPr>
              <w:jc w:val="center"/>
            </w:pPr>
            <w:r>
              <w:rPr>
                <w:rFonts w:ascii="宋体" w:hAnsi="宋体" w:eastAsia="宋体"/>
                <w:sz w:val="16"/>
              </w:rPr>
              <w:t>15</w:t>
            </w:r>
          </w:p>
        </w:tc>
      </w:tr>
      <w:tr w14:paraId="0B4BC9B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076C0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0BA7819"/>
        </w:tc>
        <w:tc>
          <w:tcPr>
            <w:tcW w:w="1181" w:type="dxa"/>
            <w:tcBorders>
              <w:top w:val="single" w:color="auto" w:sz="10" w:space="0"/>
              <w:left w:val="single" w:color="auto" w:sz="10" w:space="0"/>
              <w:bottom w:val="single" w:color="auto" w:sz="10" w:space="0"/>
              <w:right w:val="single" w:color="auto" w:sz="10" w:space="0"/>
              <w:insideV w:val="single" w:sz="10" w:space="0"/>
            </w:tcBorders>
            <w:vAlign w:val="center"/>
          </w:tcPr>
          <w:p w14:paraId="36D51D7D">
            <w:pPr>
              <w:jc w:val="center"/>
            </w:pPr>
            <w:r>
              <w:rPr>
                <w:rFonts w:ascii="宋体" w:hAnsi="宋体" w:eastAsia="宋体"/>
                <w:sz w:val="16"/>
              </w:rPr>
              <w:t>打造“好奇岳普湖”科普平台</w:t>
            </w:r>
          </w:p>
        </w:tc>
        <w:tc>
          <w:tcPr>
            <w:tcW w:w="855" w:type="dxa"/>
            <w:tcBorders>
              <w:top w:val="single" w:color="auto" w:sz="10" w:space="0"/>
              <w:left w:val="single" w:color="auto" w:sz="10" w:space="0"/>
              <w:bottom w:val="single" w:color="auto" w:sz="10" w:space="0"/>
              <w:right w:val="single" w:color="auto" w:sz="10" w:space="0"/>
              <w:insideV w:val="single" w:sz="10" w:space="0"/>
            </w:tcBorders>
            <w:vAlign w:val="center"/>
          </w:tcPr>
          <w:p w14:paraId="781628EF">
            <w:pPr>
              <w:jc w:val="center"/>
            </w:pPr>
            <w:r>
              <w:rPr>
                <w:rFonts w:ascii="宋体" w:hAnsi="宋体" w:eastAsia="宋体"/>
                <w:sz w:val="16"/>
              </w:rPr>
              <w:t>&gt;=1个</w:t>
            </w:r>
          </w:p>
        </w:tc>
        <w:tc>
          <w:tcPr>
            <w:tcW w:w="913" w:type="dxa"/>
            <w:tcBorders>
              <w:top w:val="single" w:color="auto" w:sz="10" w:space="0"/>
              <w:left w:val="single" w:color="auto" w:sz="10" w:space="0"/>
              <w:bottom w:val="single" w:color="auto" w:sz="10" w:space="0"/>
              <w:right w:val="single" w:color="auto" w:sz="10" w:space="0"/>
              <w:insideV w:val="single" w:sz="10" w:space="0"/>
            </w:tcBorders>
            <w:vAlign w:val="center"/>
          </w:tcPr>
          <w:p w14:paraId="14889F22">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BA0672">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C8D67E">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DF17E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06F81C">
            <w:pPr>
              <w:jc w:val="center"/>
            </w:pPr>
            <w:r>
              <w:rPr>
                <w:rFonts w:ascii="宋体" w:hAnsi="宋体" w:eastAsia="宋体"/>
                <w:sz w:val="16"/>
              </w:rPr>
              <w:t>15</w:t>
            </w:r>
          </w:p>
        </w:tc>
      </w:tr>
      <w:tr w14:paraId="159C125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83DA7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7C7145"/>
        </w:tc>
        <w:tc>
          <w:tcPr>
            <w:tcW w:w="1181" w:type="dxa"/>
            <w:tcBorders>
              <w:top w:val="single" w:color="auto" w:sz="10" w:space="0"/>
              <w:left w:val="single" w:color="auto" w:sz="10" w:space="0"/>
              <w:bottom w:val="single" w:color="auto" w:sz="10" w:space="0"/>
              <w:right w:val="single" w:color="auto" w:sz="10" w:space="0"/>
              <w:insideV w:val="single" w:sz="10" w:space="0"/>
            </w:tcBorders>
            <w:vAlign w:val="center"/>
          </w:tcPr>
          <w:p w14:paraId="7609C651">
            <w:pPr>
              <w:jc w:val="center"/>
            </w:pPr>
            <w:r>
              <w:rPr>
                <w:rFonts w:ascii="宋体" w:hAnsi="宋体" w:eastAsia="宋体"/>
                <w:sz w:val="16"/>
              </w:rPr>
              <w:t>建设村级科普馆</w:t>
            </w:r>
          </w:p>
        </w:tc>
        <w:tc>
          <w:tcPr>
            <w:tcW w:w="855" w:type="dxa"/>
            <w:tcBorders>
              <w:top w:val="single" w:color="auto" w:sz="10" w:space="0"/>
              <w:left w:val="single" w:color="auto" w:sz="10" w:space="0"/>
              <w:bottom w:val="single" w:color="auto" w:sz="10" w:space="0"/>
              <w:right w:val="single" w:color="auto" w:sz="10" w:space="0"/>
              <w:insideV w:val="single" w:sz="10" w:space="0"/>
            </w:tcBorders>
            <w:vAlign w:val="center"/>
          </w:tcPr>
          <w:p w14:paraId="4294171F">
            <w:pPr>
              <w:jc w:val="center"/>
            </w:pPr>
            <w:r>
              <w:rPr>
                <w:rFonts w:ascii="宋体" w:hAnsi="宋体" w:eastAsia="宋体"/>
                <w:sz w:val="16"/>
              </w:rPr>
              <w:t>&gt;=1个</w:t>
            </w:r>
          </w:p>
        </w:tc>
        <w:tc>
          <w:tcPr>
            <w:tcW w:w="913" w:type="dxa"/>
            <w:tcBorders>
              <w:top w:val="single" w:color="auto" w:sz="10" w:space="0"/>
              <w:left w:val="single" w:color="auto" w:sz="10" w:space="0"/>
              <w:bottom w:val="single" w:color="auto" w:sz="10" w:space="0"/>
              <w:right w:val="single" w:color="auto" w:sz="10" w:space="0"/>
              <w:insideV w:val="single" w:sz="10" w:space="0"/>
            </w:tcBorders>
            <w:vAlign w:val="center"/>
          </w:tcPr>
          <w:p w14:paraId="797BFD79">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AEC408">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FF4059">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1DA4F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53C3D4">
            <w:pPr>
              <w:jc w:val="center"/>
            </w:pPr>
            <w:r>
              <w:rPr>
                <w:rFonts w:ascii="宋体" w:hAnsi="宋体" w:eastAsia="宋体"/>
                <w:sz w:val="16"/>
              </w:rPr>
              <w:t>15</w:t>
            </w:r>
          </w:p>
        </w:tc>
      </w:tr>
      <w:tr w14:paraId="594AC73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46F6C9"/>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28C3AB">
            <w:pPr>
              <w:jc w:val="center"/>
            </w:pPr>
            <w:r>
              <w:rPr>
                <w:rFonts w:ascii="宋体" w:hAnsi="宋体" w:eastAsia="宋体"/>
                <w:sz w:val="16"/>
              </w:rPr>
              <w:t>质量指标</w:t>
            </w:r>
          </w:p>
        </w:tc>
        <w:tc>
          <w:tcPr>
            <w:tcW w:w="1181" w:type="dxa"/>
            <w:tcBorders>
              <w:top w:val="single" w:color="auto" w:sz="10" w:space="0"/>
              <w:left w:val="single" w:color="auto" w:sz="10" w:space="0"/>
              <w:bottom w:val="single" w:color="auto" w:sz="10" w:space="0"/>
              <w:right w:val="single" w:color="auto" w:sz="10" w:space="0"/>
              <w:insideV w:val="single" w:sz="10" w:space="0"/>
            </w:tcBorders>
            <w:vAlign w:val="center"/>
          </w:tcPr>
          <w:p w14:paraId="6173273B">
            <w:pPr>
              <w:jc w:val="center"/>
            </w:pPr>
            <w:r>
              <w:rPr>
                <w:rFonts w:ascii="宋体" w:hAnsi="宋体" w:eastAsia="宋体"/>
                <w:sz w:val="16"/>
              </w:rPr>
              <w:t>培育科技企业完成率</w:t>
            </w:r>
          </w:p>
        </w:tc>
        <w:tc>
          <w:tcPr>
            <w:tcW w:w="855" w:type="dxa"/>
            <w:tcBorders>
              <w:top w:val="single" w:color="auto" w:sz="10" w:space="0"/>
              <w:left w:val="single" w:color="auto" w:sz="10" w:space="0"/>
              <w:bottom w:val="single" w:color="auto" w:sz="10" w:space="0"/>
              <w:right w:val="single" w:color="auto" w:sz="10" w:space="0"/>
              <w:insideV w:val="single" w:sz="10" w:space="0"/>
            </w:tcBorders>
            <w:vAlign w:val="center"/>
          </w:tcPr>
          <w:p w14:paraId="20AADE5F">
            <w:pPr>
              <w:jc w:val="center"/>
            </w:pPr>
            <w:r>
              <w:rPr>
                <w:rFonts w:ascii="宋体" w:hAnsi="宋体" w:eastAsia="宋体"/>
                <w:sz w:val="16"/>
              </w:rPr>
              <w:t>=100%</w:t>
            </w:r>
          </w:p>
        </w:tc>
        <w:tc>
          <w:tcPr>
            <w:tcW w:w="913" w:type="dxa"/>
            <w:tcBorders>
              <w:top w:val="single" w:color="auto" w:sz="10" w:space="0"/>
              <w:left w:val="single" w:color="auto" w:sz="10" w:space="0"/>
              <w:bottom w:val="single" w:color="auto" w:sz="10" w:space="0"/>
              <w:right w:val="single" w:color="auto" w:sz="10" w:space="0"/>
              <w:insideV w:val="single" w:sz="10" w:space="0"/>
            </w:tcBorders>
            <w:vAlign w:val="center"/>
          </w:tcPr>
          <w:p w14:paraId="4AEB4C66">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209544">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1C9BA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A8601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3C7A67">
            <w:pPr>
              <w:jc w:val="center"/>
            </w:pPr>
            <w:r>
              <w:rPr>
                <w:rFonts w:ascii="宋体" w:hAnsi="宋体" w:eastAsia="宋体"/>
                <w:sz w:val="16"/>
              </w:rPr>
              <w:t>15</w:t>
            </w:r>
          </w:p>
        </w:tc>
      </w:tr>
      <w:tr w14:paraId="3EC6834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2F256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57543CE"/>
        </w:tc>
        <w:tc>
          <w:tcPr>
            <w:tcW w:w="1181" w:type="dxa"/>
            <w:tcBorders>
              <w:top w:val="single" w:color="auto" w:sz="10" w:space="0"/>
              <w:left w:val="single" w:color="auto" w:sz="10" w:space="0"/>
              <w:bottom w:val="single" w:color="auto" w:sz="10" w:space="0"/>
              <w:right w:val="single" w:color="auto" w:sz="10" w:space="0"/>
              <w:insideV w:val="single" w:sz="10" w:space="0"/>
            </w:tcBorders>
            <w:vAlign w:val="center"/>
          </w:tcPr>
          <w:p w14:paraId="431FA19D">
            <w:pPr>
              <w:jc w:val="center"/>
            </w:pPr>
            <w:r>
              <w:rPr>
                <w:rFonts w:ascii="宋体" w:hAnsi="宋体" w:eastAsia="宋体"/>
                <w:sz w:val="16"/>
              </w:rPr>
              <w:t>加大科普宣传普及率</w:t>
            </w:r>
          </w:p>
        </w:tc>
        <w:tc>
          <w:tcPr>
            <w:tcW w:w="855" w:type="dxa"/>
            <w:tcBorders>
              <w:top w:val="single" w:color="auto" w:sz="10" w:space="0"/>
              <w:left w:val="single" w:color="auto" w:sz="10" w:space="0"/>
              <w:bottom w:val="single" w:color="auto" w:sz="10" w:space="0"/>
              <w:right w:val="single" w:color="auto" w:sz="10" w:space="0"/>
              <w:insideV w:val="single" w:sz="10" w:space="0"/>
            </w:tcBorders>
            <w:vAlign w:val="center"/>
          </w:tcPr>
          <w:p w14:paraId="4D8DA222">
            <w:pPr>
              <w:jc w:val="center"/>
            </w:pPr>
            <w:r>
              <w:rPr>
                <w:rFonts w:ascii="宋体" w:hAnsi="宋体" w:eastAsia="宋体"/>
                <w:sz w:val="16"/>
              </w:rPr>
              <w:t>=100%</w:t>
            </w:r>
          </w:p>
        </w:tc>
        <w:tc>
          <w:tcPr>
            <w:tcW w:w="913" w:type="dxa"/>
            <w:tcBorders>
              <w:top w:val="single" w:color="auto" w:sz="10" w:space="0"/>
              <w:left w:val="single" w:color="auto" w:sz="10" w:space="0"/>
              <w:bottom w:val="single" w:color="auto" w:sz="10" w:space="0"/>
              <w:right w:val="single" w:color="auto" w:sz="10" w:space="0"/>
              <w:insideV w:val="single" w:sz="10" w:space="0"/>
            </w:tcBorders>
            <w:vAlign w:val="center"/>
          </w:tcPr>
          <w:p w14:paraId="0DABC7BE">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A972DD">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4C605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C2787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378315">
            <w:pPr>
              <w:jc w:val="center"/>
            </w:pPr>
            <w:r>
              <w:rPr>
                <w:rFonts w:ascii="宋体" w:hAnsi="宋体" w:eastAsia="宋体"/>
                <w:sz w:val="16"/>
              </w:rPr>
              <w:t>15</w:t>
            </w:r>
          </w:p>
        </w:tc>
      </w:tr>
      <w:tr w14:paraId="00F00FD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655039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47C991">
            <w:pPr>
              <w:jc w:val="center"/>
            </w:pPr>
            <w:r>
              <w:rPr>
                <w:rFonts w:ascii="宋体" w:hAnsi="宋体" w:eastAsia="宋体"/>
                <w:sz w:val="16"/>
              </w:rPr>
              <w:t>时效指标</w:t>
            </w:r>
          </w:p>
        </w:tc>
        <w:tc>
          <w:tcPr>
            <w:tcW w:w="1181" w:type="dxa"/>
            <w:tcBorders>
              <w:top w:val="single" w:color="auto" w:sz="10" w:space="0"/>
              <w:left w:val="single" w:color="auto" w:sz="10" w:space="0"/>
              <w:bottom w:val="single" w:color="auto" w:sz="10" w:space="0"/>
              <w:right w:val="single" w:color="auto" w:sz="10" w:space="0"/>
              <w:insideV w:val="single" w:sz="10" w:space="0"/>
            </w:tcBorders>
            <w:vAlign w:val="center"/>
          </w:tcPr>
          <w:p w14:paraId="7AA036BF">
            <w:pPr>
              <w:jc w:val="center"/>
            </w:pPr>
            <w:r>
              <w:rPr>
                <w:rFonts w:ascii="宋体" w:hAnsi="宋体" w:eastAsia="宋体"/>
                <w:sz w:val="16"/>
              </w:rPr>
              <w:t>科技创新人才队伍建设完成及时率</w:t>
            </w:r>
          </w:p>
        </w:tc>
        <w:tc>
          <w:tcPr>
            <w:tcW w:w="855" w:type="dxa"/>
            <w:tcBorders>
              <w:top w:val="single" w:color="auto" w:sz="10" w:space="0"/>
              <w:left w:val="single" w:color="auto" w:sz="10" w:space="0"/>
              <w:bottom w:val="single" w:color="auto" w:sz="10" w:space="0"/>
              <w:right w:val="single" w:color="auto" w:sz="10" w:space="0"/>
              <w:insideV w:val="single" w:sz="10" w:space="0"/>
            </w:tcBorders>
            <w:vAlign w:val="center"/>
          </w:tcPr>
          <w:p w14:paraId="53C59B69">
            <w:pPr>
              <w:jc w:val="center"/>
            </w:pPr>
            <w:r>
              <w:rPr>
                <w:rFonts w:ascii="宋体" w:hAnsi="宋体" w:eastAsia="宋体"/>
                <w:sz w:val="16"/>
              </w:rPr>
              <w:t>=100%</w:t>
            </w:r>
          </w:p>
        </w:tc>
        <w:tc>
          <w:tcPr>
            <w:tcW w:w="913" w:type="dxa"/>
            <w:tcBorders>
              <w:top w:val="single" w:color="auto" w:sz="10" w:space="0"/>
              <w:left w:val="single" w:color="auto" w:sz="10" w:space="0"/>
              <w:bottom w:val="single" w:color="auto" w:sz="10" w:space="0"/>
              <w:right w:val="single" w:color="auto" w:sz="10" w:space="0"/>
              <w:insideV w:val="single" w:sz="10" w:space="0"/>
            </w:tcBorders>
            <w:vAlign w:val="center"/>
          </w:tcPr>
          <w:p w14:paraId="3F77C8A8">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2D037E">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1F6BE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4E56B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B85FAF">
            <w:pPr>
              <w:jc w:val="center"/>
            </w:pPr>
            <w:r>
              <w:rPr>
                <w:rFonts w:ascii="宋体" w:hAnsi="宋体" w:eastAsia="宋体"/>
                <w:sz w:val="16"/>
              </w:rPr>
              <w:t>15</w:t>
            </w:r>
          </w:p>
        </w:tc>
      </w:tr>
    </w:tbl>
    <w:p w14:paraId="452DD76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086F103D">
        <w:tblPrEx>
          <w:tblCellMar>
            <w:top w:w="0" w:type="dxa"/>
            <w:left w:w="108" w:type="dxa"/>
            <w:bottom w:w="0" w:type="dxa"/>
            <w:right w:w="108" w:type="dxa"/>
          </w:tblCellMar>
        </w:tblPrEx>
        <w:tc>
          <w:tcPr>
            <w:tcW w:w="8848" w:type="dxa"/>
            <w:gridSpan w:val="14"/>
            <w:vAlign w:val="center"/>
          </w:tcPr>
          <w:p w14:paraId="4DCD2B57">
            <w:pPr>
              <w:jc w:val="center"/>
            </w:pPr>
            <w:r>
              <w:rPr>
                <w:rFonts w:ascii="宋体" w:hAnsi="宋体" w:eastAsia="宋体"/>
                <w:sz w:val="24"/>
              </w:rPr>
              <w:t>项目支出绩效自评表</w:t>
            </w:r>
          </w:p>
        </w:tc>
      </w:tr>
      <w:tr w14:paraId="7A1F3D19">
        <w:tblPrEx>
          <w:tblCellMar>
            <w:top w:w="0" w:type="dxa"/>
            <w:left w:w="108" w:type="dxa"/>
            <w:bottom w:w="0" w:type="dxa"/>
            <w:right w:w="108" w:type="dxa"/>
          </w:tblCellMar>
        </w:tblPrEx>
        <w:tc>
          <w:tcPr>
            <w:tcW w:w="8848" w:type="dxa"/>
            <w:gridSpan w:val="14"/>
            <w:vAlign w:val="center"/>
          </w:tcPr>
          <w:p w14:paraId="702B3024">
            <w:pPr>
              <w:jc w:val="center"/>
            </w:pPr>
            <w:r>
              <w:rPr>
                <w:rFonts w:ascii="宋体" w:hAnsi="宋体" w:eastAsia="宋体"/>
                <w:sz w:val="24"/>
              </w:rPr>
              <w:t>(2024年度)</w:t>
            </w:r>
          </w:p>
        </w:tc>
      </w:tr>
      <w:tr w14:paraId="773EC17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D15C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4D0CD24">
            <w:pPr>
              <w:jc w:val="center"/>
            </w:pPr>
            <w:r>
              <w:rPr>
                <w:rFonts w:ascii="宋体" w:hAnsi="宋体" w:eastAsia="宋体"/>
                <w:sz w:val="16"/>
              </w:rPr>
              <w:t>2023年喀什地区科技计划立项（第二批）项目</w:t>
            </w:r>
          </w:p>
        </w:tc>
      </w:tr>
      <w:tr w14:paraId="2F5BCCC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2305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E1A9D8D">
            <w:pPr>
              <w:jc w:val="center"/>
            </w:pPr>
            <w:r>
              <w:rPr>
                <w:rFonts w:ascii="宋体" w:hAnsi="宋体" w:eastAsia="宋体"/>
                <w:sz w:val="16"/>
              </w:rPr>
              <w:t>岳普湖县科学技术局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1F8B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589E386">
            <w:pPr>
              <w:jc w:val="center"/>
            </w:pPr>
            <w:r>
              <w:rPr>
                <w:rFonts w:ascii="宋体" w:hAnsi="宋体" w:eastAsia="宋体"/>
                <w:sz w:val="16"/>
              </w:rPr>
              <w:t>岳普湖县科学技术局</w:t>
            </w:r>
          </w:p>
        </w:tc>
      </w:tr>
      <w:tr w14:paraId="2C9558F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BC33B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A68E9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DE228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5926F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74460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A3321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87334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22E36">
            <w:pPr>
              <w:jc w:val="center"/>
            </w:pPr>
            <w:r>
              <w:rPr>
                <w:rFonts w:ascii="宋体" w:hAnsi="宋体" w:eastAsia="宋体"/>
                <w:sz w:val="16"/>
              </w:rPr>
              <w:t>得分</w:t>
            </w:r>
          </w:p>
        </w:tc>
      </w:tr>
      <w:tr w14:paraId="09AE3F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11451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02B40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4722EF">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586D9B">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FECEC9">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3217F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36AA4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4D4D7">
            <w:pPr>
              <w:jc w:val="center"/>
            </w:pPr>
            <w:r>
              <w:rPr>
                <w:rFonts w:ascii="宋体" w:hAnsi="宋体" w:eastAsia="宋体"/>
                <w:sz w:val="16"/>
              </w:rPr>
              <w:t>10.00分</w:t>
            </w:r>
          </w:p>
        </w:tc>
      </w:tr>
      <w:tr w14:paraId="158663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5715D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82A71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58BAFE">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DA9E76">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EEE9AB">
            <w:pPr>
              <w:jc w:val="center"/>
            </w:pPr>
            <w:r>
              <w:rPr>
                <w:rFonts w:ascii="宋体" w:hAnsi="宋体" w:eastAsia="宋体"/>
                <w:sz w:val="16"/>
              </w:rPr>
              <w:t>45.00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B1073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836F47">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5135B">
            <w:pPr>
              <w:jc w:val="center"/>
            </w:pPr>
            <w:r>
              <w:rPr>
                <w:rFonts w:ascii="宋体" w:hAnsi="宋体" w:eastAsia="宋体"/>
                <w:sz w:val="16"/>
              </w:rPr>
              <w:t>—</w:t>
            </w:r>
          </w:p>
        </w:tc>
      </w:tr>
      <w:tr w14:paraId="1B21B8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54F66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30BC1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0413D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34FCB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2A2C1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DAC60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FDF8B1">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49465">
            <w:pPr>
              <w:jc w:val="center"/>
            </w:pPr>
            <w:r>
              <w:rPr>
                <w:rFonts w:ascii="宋体" w:hAnsi="宋体" w:eastAsia="宋体"/>
                <w:sz w:val="16"/>
              </w:rPr>
              <w:t>—</w:t>
            </w:r>
          </w:p>
        </w:tc>
      </w:tr>
      <w:tr w14:paraId="52D89C3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A82B1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D8DDE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58E27CA">
            <w:pPr>
              <w:jc w:val="center"/>
            </w:pPr>
            <w:r>
              <w:rPr>
                <w:rFonts w:ascii="宋体" w:hAnsi="宋体" w:eastAsia="宋体"/>
                <w:sz w:val="16"/>
              </w:rPr>
              <w:t>实际完成情况</w:t>
            </w:r>
          </w:p>
        </w:tc>
      </w:tr>
      <w:tr w14:paraId="0F7202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D966C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9276A7">
            <w:pPr>
              <w:jc w:val="both"/>
            </w:pPr>
            <w:r>
              <w:rPr>
                <w:rFonts w:ascii="宋体" w:hAnsi="宋体" w:eastAsia="宋体"/>
                <w:sz w:val="16"/>
              </w:rPr>
              <w:t>对岳普湖县申报科技计划项目的3家企业进行2023年度财政资金支持。其中：新疆远大绿色农业发展有限公司实施的“孜然新品种繁育和高产节水种植技术示范与推广”项目支持5万元、新疆绿丹食品有限责任公司实施的“功能性红枣粉加工技术集成与示范”项目支持20万元、喀什妃尝香农业发展有限公司实施的“无花果酒研发与技术推广”项目支持20万元。项目的实施提升区域科技创新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41AD43F">
            <w:pPr>
              <w:jc w:val="both"/>
            </w:pPr>
            <w:r>
              <w:rPr>
                <w:rFonts w:ascii="宋体" w:hAnsi="宋体" w:eastAsia="宋体"/>
                <w:sz w:val="16"/>
              </w:rPr>
              <w:t>已完成岳普湖县申报科技计划项目的3家企业财政资金补助发放。其中：新疆远大绿色农业发展有限公司实施的“孜然新品种繁育和高产节水种植技术示范与推广”项目为5万元、新疆绿丹食品有限责任公司实施的“功能性红枣粉加工技术集成与示范”项目为20万元、喀什妃尝香农业发展有限公司实施的“无花果酒研发与技术推广”项目为20万元。预算执行率为100%。项目的实施有效提升区域科技创新能力。项目承担单位满意度为100%。</w:t>
            </w:r>
          </w:p>
        </w:tc>
      </w:tr>
      <w:tr w14:paraId="00F563E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32C5B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289E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2712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88F2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4DF9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4372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3EA6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8EE4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9B0C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B091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FF83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696A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05BB72">
            <w:pPr>
              <w:jc w:val="center"/>
            </w:pPr>
            <w:r>
              <w:rPr>
                <w:rFonts w:ascii="宋体" w:hAnsi="宋体" w:eastAsia="宋体"/>
                <w:sz w:val="16"/>
              </w:rPr>
              <w:t>偏差原因分析及改进措施</w:t>
            </w:r>
          </w:p>
        </w:tc>
      </w:tr>
      <w:tr w14:paraId="18C328C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5E72E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0C6DC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D603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CC0E0">
            <w:pPr>
              <w:jc w:val="center"/>
            </w:pPr>
            <w:r>
              <w:rPr>
                <w:rFonts w:ascii="宋体" w:hAnsi="宋体" w:eastAsia="宋体"/>
                <w:sz w:val="16"/>
              </w:rPr>
              <w:t>科技计划项目立项数量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23312">
            <w:pPr>
              <w:jc w:val="center"/>
            </w:pPr>
            <w:r>
              <w:rPr>
                <w:rFonts w:ascii="宋体" w:hAnsi="宋体" w:eastAsia="宋体"/>
                <w:sz w:val="16"/>
              </w:rPr>
              <w:t>&gt;=3个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2ED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68DB8">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7C07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EC5C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098F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837B4">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5920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11AEB4">
            <w:pPr>
              <w:jc w:val="center"/>
            </w:pPr>
          </w:p>
        </w:tc>
      </w:tr>
      <w:tr w14:paraId="7BDD5B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E71C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C58B9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BF546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C81FF">
            <w:pPr>
              <w:jc w:val="center"/>
            </w:pPr>
            <w:r>
              <w:rPr>
                <w:rFonts w:ascii="宋体" w:hAnsi="宋体" w:eastAsia="宋体"/>
                <w:sz w:val="16"/>
              </w:rPr>
              <w:t>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678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5D0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2CD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1158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554A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A212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AD06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FA44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2CC950">
            <w:pPr>
              <w:jc w:val="center"/>
            </w:pPr>
          </w:p>
        </w:tc>
      </w:tr>
      <w:tr w14:paraId="356DBA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8727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F5264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E34A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2602B">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F1A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425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68C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6D4B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9B73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1022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006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CAD0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716D86">
            <w:pPr>
              <w:jc w:val="center"/>
            </w:pPr>
          </w:p>
        </w:tc>
      </w:tr>
      <w:tr w14:paraId="2AEA6A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5C2B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D0A17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B33F3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75696">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81D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C08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8D0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29F1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6B0A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A103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B3B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C662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C81F99">
            <w:pPr>
              <w:jc w:val="center"/>
            </w:pPr>
          </w:p>
        </w:tc>
      </w:tr>
      <w:tr w14:paraId="4E36B4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77DD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F3C8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A9D5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7B24A">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06364">
            <w:pPr>
              <w:jc w:val="center"/>
            </w:pPr>
            <w:r>
              <w:rPr>
                <w:rFonts w:ascii="宋体" w:hAnsi="宋体" w:eastAsia="宋体"/>
                <w:sz w:val="16"/>
              </w:rPr>
              <w:t>=2024年5月25日前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817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DD9CA">
            <w:pPr>
              <w:jc w:val="center"/>
            </w:pPr>
            <w:r>
              <w:rPr>
                <w:rFonts w:ascii="宋体" w:hAnsi="宋体" w:eastAsia="宋体"/>
                <w:sz w:val="16"/>
              </w:rPr>
              <w:t>2023年12月1日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8926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C713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72BF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759F5">
            <w:pPr>
              <w:jc w:val="center"/>
            </w:pPr>
            <w:r>
              <w:rPr>
                <w:rFonts w:ascii="宋体" w:hAnsi="宋体" w:eastAsia="宋体"/>
                <w:sz w:val="16"/>
              </w:rPr>
              <w:t>2024年5月21日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63D5D">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158F73">
            <w:pPr>
              <w:jc w:val="center"/>
            </w:pPr>
          </w:p>
        </w:tc>
      </w:tr>
      <w:tr w14:paraId="70ABC9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F6220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608982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6B510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35818">
            <w:pPr>
              <w:jc w:val="center"/>
            </w:pPr>
            <w:r>
              <w:rPr>
                <w:rFonts w:ascii="宋体" w:hAnsi="宋体" w:eastAsia="宋体"/>
                <w:sz w:val="16"/>
              </w:rPr>
              <w:t>孜然新品种繁育和高产节水种植技术示范与推广项目立项支持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2BC8F">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02AD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3D95E">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419E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AEC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B18D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292BA">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DE64E">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487D97">
            <w:pPr>
              <w:jc w:val="center"/>
            </w:pPr>
          </w:p>
        </w:tc>
      </w:tr>
      <w:tr w14:paraId="4A0458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8AD5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6C71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03D4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F7061">
            <w:pPr>
              <w:jc w:val="center"/>
            </w:pPr>
            <w:r>
              <w:rPr>
                <w:rFonts w:ascii="宋体" w:hAnsi="宋体" w:eastAsia="宋体"/>
                <w:sz w:val="16"/>
              </w:rPr>
              <w:t>功能性红枣粉加工技术集成与示范项目立项支持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26FCA">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DE5B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A5751">
            <w:pPr>
              <w:jc w:val="center"/>
            </w:pPr>
            <w:r>
              <w:rPr>
                <w:rFonts w:ascii="宋体" w:hAnsi="宋体" w:eastAsia="宋体"/>
                <w:sz w:val="16"/>
              </w:rPr>
              <w: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F55A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2708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7AEA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50B70">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D5908">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E98EF7">
            <w:pPr>
              <w:jc w:val="center"/>
            </w:pPr>
          </w:p>
        </w:tc>
      </w:tr>
      <w:tr w14:paraId="1EDB46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CCB9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4E2E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9D13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A284A">
            <w:pPr>
              <w:jc w:val="center"/>
            </w:pPr>
            <w:r>
              <w:rPr>
                <w:rFonts w:ascii="宋体" w:hAnsi="宋体" w:eastAsia="宋体"/>
                <w:sz w:val="16"/>
              </w:rPr>
              <w:t>无花果酒研发与技术推广项目立项支持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C6E71">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A8BC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F3C92">
            <w:pPr>
              <w:jc w:val="center"/>
            </w:pPr>
            <w:r>
              <w:rPr>
                <w:rFonts w:ascii="宋体" w:hAnsi="宋体" w:eastAsia="宋体"/>
                <w:sz w:val="16"/>
              </w:rPr>
              <w: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55AA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7E4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0E52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F7B3E">
            <w:pPr>
              <w:jc w:val="center"/>
            </w:pPr>
            <w:r>
              <w:rPr>
                <w:rFonts w:ascii="宋体" w:hAnsi="宋体" w:eastAsia="宋体"/>
                <w:sz w:val="16"/>
              </w:rPr>
              <w: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EFD83">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5B5916">
            <w:pPr>
              <w:jc w:val="center"/>
            </w:pPr>
          </w:p>
        </w:tc>
      </w:tr>
      <w:tr w14:paraId="21AF2E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AE60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C43E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CAD8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29813">
            <w:pPr>
              <w:jc w:val="center"/>
            </w:pPr>
            <w:r>
              <w:rPr>
                <w:rFonts w:ascii="宋体" w:hAnsi="宋体" w:eastAsia="宋体"/>
                <w:sz w:val="16"/>
              </w:rPr>
              <w:t>提升区域科技创新能力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C7032">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A89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8AB21">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BCAD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2F23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1361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1C0E8">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B77D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772698">
            <w:pPr>
              <w:jc w:val="center"/>
            </w:pPr>
          </w:p>
        </w:tc>
      </w:tr>
      <w:tr w14:paraId="6C0FF5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2AB8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42B6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B6ED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7100C">
            <w:pPr>
              <w:jc w:val="center"/>
            </w:pPr>
            <w:r>
              <w:rPr>
                <w:rFonts w:ascii="宋体" w:hAnsi="宋体" w:eastAsia="宋体"/>
                <w:sz w:val="16"/>
              </w:rPr>
              <w:t>项目承担单位满意度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5121A">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1B5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440F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0188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C64E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D8A0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1194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A384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FC37B2">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010193F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5D90A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72CE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AFE07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66EDE">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DB62B06"/>
        </w:tc>
      </w:tr>
    </w:tbl>
    <w:p w14:paraId="7BB704DE">
      <w:r>
        <w:br w:type="page"/>
      </w:r>
    </w:p>
    <w:tbl>
      <w:tblPr>
        <w:tblStyle w:val="9"/>
        <w:tblW w:w="0" w:type="auto"/>
        <w:tblInd w:w="0" w:type="dxa"/>
        <w:tblLayout w:type="autofit"/>
        <w:tblCellMar>
          <w:top w:w="0" w:type="dxa"/>
          <w:left w:w="108" w:type="dxa"/>
          <w:bottom w:w="0" w:type="dxa"/>
          <w:right w:w="108" w:type="dxa"/>
        </w:tblCellMar>
      </w:tblPr>
      <w:tblGrid>
        <w:gridCol w:w="601"/>
        <w:gridCol w:w="551"/>
        <w:gridCol w:w="552"/>
        <w:gridCol w:w="552"/>
        <w:gridCol w:w="1016"/>
        <w:gridCol w:w="552"/>
        <w:gridCol w:w="856"/>
        <w:gridCol w:w="577"/>
        <w:gridCol w:w="552"/>
        <w:gridCol w:w="577"/>
        <w:gridCol w:w="936"/>
        <w:gridCol w:w="632"/>
        <w:gridCol w:w="479"/>
        <w:gridCol w:w="627"/>
      </w:tblGrid>
      <w:tr w14:paraId="1DA562DC">
        <w:tblPrEx>
          <w:tblCellMar>
            <w:top w:w="0" w:type="dxa"/>
            <w:left w:w="108" w:type="dxa"/>
            <w:bottom w:w="0" w:type="dxa"/>
            <w:right w:w="108" w:type="dxa"/>
          </w:tblCellMar>
        </w:tblPrEx>
        <w:tc>
          <w:tcPr>
            <w:tcW w:w="8848" w:type="dxa"/>
            <w:gridSpan w:val="14"/>
            <w:vAlign w:val="center"/>
          </w:tcPr>
          <w:p w14:paraId="7247B747">
            <w:pPr>
              <w:jc w:val="center"/>
            </w:pPr>
            <w:r>
              <w:rPr>
                <w:rFonts w:ascii="宋体" w:hAnsi="宋体" w:eastAsia="宋体"/>
                <w:sz w:val="24"/>
              </w:rPr>
              <w:t>项目支出绩效自评表</w:t>
            </w:r>
          </w:p>
        </w:tc>
      </w:tr>
      <w:tr w14:paraId="71A0D970">
        <w:tc>
          <w:tcPr>
            <w:tcW w:w="8848" w:type="dxa"/>
            <w:gridSpan w:val="14"/>
            <w:vAlign w:val="center"/>
          </w:tcPr>
          <w:p w14:paraId="5199BEFE">
            <w:pPr>
              <w:jc w:val="center"/>
            </w:pPr>
            <w:r>
              <w:rPr>
                <w:rFonts w:ascii="宋体" w:hAnsi="宋体" w:eastAsia="宋体"/>
                <w:sz w:val="24"/>
              </w:rPr>
              <w:t>(2024年度)</w:t>
            </w:r>
          </w:p>
        </w:tc>
      </w:tr>
      <w:tr w14:paraId="6CE64ED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34A9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99A6184">
            <w:pPr>
              <w:jc w:val="center"/>
            </w:pPr>
            <w:r>
              <w:rPr>
                <w:rFonts w:ascii="宋体" w:hAnsi="宋体" w:eastAsia="宋体"/>
                <w:sz w:val="16"/>
              </w:rPr>
              <w:t>2024年中央“三区”科技人才支持计划项目</w:t>
            </w:r>
          </w:p>
        </w:tc>
      </w:tr>
      <w:tr w14:paraId="322CE5D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1B82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D334ED">
            <w:pPr>
              <w:jc w:val="center"/>
            </w:pPr>
            <w:r>
              <w:rPr>
                <w:rFonts w:ascii="宋体" w:hAnsi="宋体" w:eastAsia="宋体"/>
                <w:sz w:val="16"/>
              </w:rPr>
              <w:t>岳普湖县科学技术局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A7EE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C008B78">
            <w:pPr>
              <w:jc w:val="center"/>
            </w:pPr>
            <w:r>
              <w:rPr>
                <w:rFonts w:ascii="宋体" w:hAnsi="宋体" w:eastAsia="宋体"/>
                <w:sz w:val="16"/>
              </w:rPr>
              <w:t>岳普湖县科学技术局</w:t>
            </w:r>
          </w:p>
        </w:tc>
      </w:tr>
      <w:tr w14:paraId="6F23399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810F1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ABDB4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59DD8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6E370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8BECC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441E7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2F95D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08264">
            <w:pPr>
              <w:jc w:val="center"/>
            </w:pPr>
            <w:r>
              <w:rPr>
                <w:rFonts w:ascii="宋体" w:hAnsi="宋体" w:eastAsia="宋体"/>
                <w:sz w:val="16"/>
              </w:rPr>
              <w:t>得分</w:t>
            </w:r>
          </w:p>
        </w:tc>
      </w:tr>
      <w:tr w14:paraId="0BFB9A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F0D7C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876B9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15CC62">
            <w:pPr>
              <w:jc w:val="center"/>
            </w:pPr>
            <w:r>
              <w:rPr>
                <w:rFonts w:ascii="宋体" w:hAnsi="宋体" w:eastAsia="宋体"/>
                <w:sz w:val="16"/>
              </w:rPr>
              <w:t>11.14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6218AE">
            <w:pPr>
              <w:jc w:val="center"/>
            </w:pPr>
            <w:r>
              <w:rPr>
                <w:rFonts w:ascii="宋体" w:hAnsi="宋体" w:eastAsia="宋体"/>
                <w:sz w:val="16"/>
              </w:rPr>
              <w:t>11.14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0D5361">
            <w:pPr>
              <w:jc w:val="center"/>
            </w:pPr>
            <w:r>
              <w:rPr>
                <w:rFonts w:ascii="宋体" w:hAnsi="宋体" w:eastAsia="宋体"/>
                <w:sz w:val="16"/>
              </w:rPr>
              <w:t>11.14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EA21A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8D52E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BCBF8">
            <w:pPr>
              <w:jc w:val="center"/>
            </w:pPr>
            <w:r>
              <w:rPr>
                <w:rFonts w:ascii="宋体" w:hAnsi="宋体" w:eastAsia="宋体"/>
                <w:sz w:val="16"/>
              </w:rPr>
              <w:t>10.00分</w:t>
            </w:r>
          </w:p>
        </w:tc>
      </w:tr>
      <w:tr w14:paraId="6263B7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93140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83771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ECAA52">
            <w:pPr>
              <w:jc w:val="center"/>
            </w:pPr>
            <w:r>
              <w:rPr>
                <w:rFonts w:ascii="宋体" w:hAnsi="宋体" w:eastAsia="宋体"/>
                <w:sz w:val="16"/>
              </w:rPr>
              <w:t>11.14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1582A4">
            <w:pPr>
              <w:jc w:val="center"/>
            </w:pPr>
            <w:r>
              <w:rPr>
                <w:rFonts w:ascii="宋体" w:hAnsi="宋体" w:eastAsia="宋体"/>
                <w:sz w:val="16"/>
              </w:rPr>
              <w:t>11.14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CC4B7E">
            <w:pPr>
              <w:jc w:val="center"/>
            </w:pPr>
            <w:r>
              <w:rPr>
                <w:rFonts w:ascii="宋体" w:hAnsi="宋体" w:eastAsia="宋体"/>
                <w:sz w:val="16"/>
              </w:rPr>
              <w:t>11.14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02B43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F0712B">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DFB9A">
            <w:pPr>
              <w:jc w:val="center"/>
            </w:pPr>
            <w:r>
              <w:rPr>
                <w:rFonts w:ascii="宋体" w:hAnsi="宋体" w:eastAsia="宋体"/>
                <w:sz w:val="16"/>
              </w:rPr>
              <w:t>—</w:t>
            </w:r>
          </w:p>
        </w:tc>
      </w:tr>
      <w:tr w14:paraId="20B7D1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760CF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C3F6A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CA812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9EFDB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4EDCE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E3989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26C7AB">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CB9D9">
            <w:pPr>
              <w:jc w:val="center"/>
            </w:pPr>
            <w:r>
              <w:rPr>
                <w:rFonts w:ascii="宋体" w:hAnsi="宋体" w:eastAsia="宋体"/>
                <w:sz w:val="16"/>
              </w:rPr>
              <w:t>—</w:t>
            </w:r>
          </w:p>
        </w:tc>
      </w:tr>
      <w:tr w14:paraId="5F4BCC4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9995E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BC884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AC07D9A">
            <w:pPr>
              <w:jc w:val="center"/>
            </w:pPr>
            <w:r>
              <w:rPr>
                <w:rFonts w:ascii="宋体" w:hAnsi="宋体" w:eastAsia="宋体"/>
                <w:sz w:val="16"/>
              </w:rPr>
              <w:t>实际完成情况</w:t>
            </w:r>
          </w:p>
        </w:tc>
      </w:tr>
      <w:tr w14:paraId="0297EA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DEC02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58B476">
            <w:pPr>
              <w:jc w:val="both"/>
            </w:pPr>
            <w:r>
              <w:rPr>
                <w:rFonts w:ascii="宋体" w:hAnsi="宋体" w:eastAsia="宋体"/>
                <w:sz w:val="16"/>
              </w:rPr>
              <w:t>选派6名科技人员服务岳普湖县5个乡镇23个村，每名科技人员不少于100天100期的培训，共计培训3000人次。项目的实施提高农业生产水平及现代农业技术使用率。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200C4DF">
            <w:pPr>
              <w:jc w:val="both"/>
            </w:pPr>
            <w:r>
              <w:rPr>
                <w:rFonts w:ascii="宋体" w:hAnsi="宋体" w:eastAsia="宋体"/>
                <w:sz w:val="16"/>
              </w:rPr>
              <w:t>现阶段选派6名科技人员对岳普湖县5个乡镇23个村的农户进行培训，科技人员进行了101天101期的培训，共计培训3681人次。预算执行率为100%。项目的实施提高农业生产水平及现代农业技术使用率。受益专家及农民满意度100%。</w:t>
            </w:r>
          </w:p>
        </w:tc>
      </w:tr>
      <w:tr w14:paraId="7A09A61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6B8B1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9E2F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0111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3EDA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C782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4B03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9FE6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4BBF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C73B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B84A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EA49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0570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186FB9">
            <w:pPr>
              <w:jc w:val="center"/>
            </w:pPr>
            <w:r>
              <w:rPr>
                <w:rFonts w:ascii="宋体" w:hAnsi="宋体" w:eastAsia="宋体"/>
                <w:sz w:val="16"/>
              </w:rPr>
              <w:t>偏差原因分析及改进措施</w:t>
            </w:r>
          </w:p>
        </w:tc>
      </w:tr>
      <w:tr w14:paraId="769A8F8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7BE67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F67B7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70D3B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88340">
            <w:pPr>
              <w:jc w:val="center"/>
            </w:pPr>
            <w:r>
              <w:rPr>
                <w:rFonts w:ascii="宋体" w:hAnsi="宋体" w:eastAsia="宋体"/>
                <w:sz w:val="16"/>
              </w:rPr>
              <w:t>选派科技人员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03E59">
            <w:pPr>
              <w:jc w:val="center"/>
            </w:pPr>
            <w:r>
              <w:rPr>
                <w:rFonts w:ascii="宋体" w:hAnsi="宋体" w:eastAsia="宋体"/>
                <w:sz w:val="16"/>
              </w:rPr>
              <w:t>&gt;=6人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60B1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D52CF">
            <w:pPr>
              <w:jc w:val="center"/>
            </w:pPr>
            <w:r>
              <w:rPr>
                <w:rFonts w:ascii="宋体" w:hAnsi="宋体" w:eastAsia="宋体"/>
                <w:sz w:val="16"/>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D065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1EF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2726E">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6CCF1">
            <w:pPr>
              <w:jc w:val="center"/>
            </w:pPr>
            <w:r>
              <w:rPr>
                <w:rFonts w:ascii="宋体" w:hAnsi="宋体" w:eastAsia="宋体"/>
                <w:sz w:val="16"/>
              </w:rPr>
              <w: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44A5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7EF4BD">
            <w:pPr>
              <w:jc w:val="center"/>
            </w:pPr>
          </w:p>
        </w:tc>
      </w:tr>
      <w:tr w14:paraId="41154B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BA7B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620A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A373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3DA42">
            <w:pPr>
              <w:jc w:val="center"/>
            </w:pPr>
            <w:r>
              <w:rPr>
                <w:rFonts w:ascii="宋体" w:hAnsi="宋体" w:eastAsia="宋体"/>
                <w:sz w:val="16"/>
              </w:rPr>
              <w:t>服务时间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6A61E">
            <w:pPr>
              <w:jc w:val="center"/>
            </w:pPr>
            <w:r>
              <w:rPr>
                <w:rFonts w:ascii="宋体" w:hAnsi="宋体" w:eastAsia="宋体"/>
                <w:sz w:val="16"/>
              </w:rPr>
              <w:t>&gt;=100天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AE2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6099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B7778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B19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A7B9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76555">
            <w:pPr>
              <w:jc w:val="center"/>
            </w:pPr>
            <w:r>
              <w:rPr>
                <w:rFonts w:ascii="宋体" w:hAnsi="宋体" w:eastAsia="宋体"/>
                <w:sz w:val="16"/>
              </w:rPr>
              <w:t>=101天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99AE3">
            <w:pPr>
              <w:jc w:val="center"/>
            </w:pPr>
            <w:r>
              <w:rPr>
                <w:rFonts w:ascii="宋体" w:hAnsi="宋体" w:eastAsia="宋体"/>
                <w:sz w:val="16"/>
              </w:rPr>
              <w:t>4.95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CE7B5E">
            <w:pPr>
              <w:jc w:val="center"/>
            </w:pPr>
            <w:r>
              <w:rPr>
                <w:rFonts w:ascii="宋体" w:hAnsi="宋体" w:eastAsia="宋体"/>
                <w:sz w:val="16"/>
              </w:rPr>
              <w:t>偏差原因：指标实际已完成。偏离主要是年初预期值设置较低。项目在实际执行过程中超额完成项目预期目标。改进措施：对偏差进行深入分析，充分了解项目的实际需求变化，明确造成实际完成值高于预期的具体原因，以便在未来的项目中更好地把握和预测。</w:t>
            </w:r>
          </w:p>
        </w:tc>
      </w:tr>
      <w:tr w14:paraId="3C67EF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E278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0BF8A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77BC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C0243">
            <w:pPr>
              <w:jc w:val="center"/>
            </w:pPr>
            <w:r>
              <w:rPr>
                <w:rFonts w:ascii="宋体" w:hAnsi="宋体" w:eastAsia="宋体"/>
                <w:sz w:val="16"/>
              </w:rPr>
              <w:t>服务乡镇数量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70B37">
            <w:pPr>
              <w:jc w:val="center"/>
            </w:pPr>
            <w:r>
              <w:rPr>
                <w:rFonts w:ascii="宋体" w:hAnsi="宋体" w:eastAsia="宋体"/>
                <w:sz w:val="16"/>
              </w:rPr>
              <w:t>&gt;=5个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5F6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FA0F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4CC7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0878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BAB0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176D9">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572C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75F4D2">
            <w:pPr>
              <w:jc w:val="center"/>
            </w:pPr>
          </w:p>
        </w:tc>
      </w:tr>
      <w:tr w14:paraId="48801A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6435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DF60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36E1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F2366">
            <w:pPr>
              <w:jc w:val="center"/>
            </w:pPr>
            <w:r>
              <w:rPr>
                <w:rFonts w:ascii="宋体" w:hAnsi="宋体" w:eastAsia="宋体"/>
                <w:sz w:val="16"/>
              </w:rPr>
              <w:t>服务贫困村数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9BF40">
            <w:pPr>
              <w:jc w:val="center"/>
            </w:pPr>
            <w:r>
              <w:rPr>
                <w:rFonts w:ascii="宋体" w:hAnsi="宋体" w:eastAsia="宋体"/>
                <w:sz w:val="16"/>
              </w:rPr>
              <w:t>&gt;=23个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722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B856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E94C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C11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AA69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C9D3A">
            <w:pPr>
              <w:jc w:val="center"/>
            </w:pPr>
            <w:r>
              <w:rPr>
                <w:rFonts w:ascii="宋体" w:hAnsi="宋体" w:eastAsia="宋体"/>
                <w:sz w:val="16"/>
              </w:rPr>
              <w:t>=23个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7BA46">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D1F2EB">
            <w:pPr>
              <w:jc w:val="center"/>
            </w:pPr>
          </w:p>
        </w:tc>
      </w:tr>
      <w:tr w14:paraId="3F5C20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EFD0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41C5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0F51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4AD75">
            <w:pPr>
              <w:jc w:val="center"/>
            </w:pPr>
            <w:r>
              <w:rPr>
                <w:rFonts w:ascii="宋体" w:hAnsi="宋体" w:eastAsia="宋体"/>
                <w:sz w:val="16"/>
              </w:rPr>
              <w:t>举办培训场次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DDE00">
            <w:pPr>
              <w:jc w:val="center"/>
            </w:pPr>
            <w:r>
              <w:rPr>
                <w:rFonts w:ascii="宋体" w:hAnsi="宋体" w:eastAsia="宋体"/>
                <w:sz w:val="16"/>
              </w:rPr>
              <w:t>&gt;=100场次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5C8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9758E">
            <w:pPr>
              <w:jc w:val="center"/>
            </w:pPr>
            <w:r>
              <w:rPr>
                <w:rFonts w:ascii="宋体" w:hAnsi="宋体" w:eastAsia="宋体"/>
                <w:sz w:val="16"/>
              </w:rPr>
              <w:t>87场次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FF7C8">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DFC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7D25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DA078">
            <w:pPr>
              <w:jc w:val="center"/>
            </w:pPr>
            <w:r>
              <w:rPr>
                <w:rFonts w:ascii="宋体" w:hAnsi="宋体" w:eastAsia="宋体"/>
                <w:sz w:val="16"/>
              </w:rPr>
              <w:t>=101场次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0F49D">
            <w:pPr>
              <w:jc w:val="center"/>
            </w:pPr>
            <w:r>
              <w:rPr>
                <w:rFonts w:ascii="宋体" w:hAnsi="宋体" w:eastAsia="宋体"/>
                <w:sz w:val="16"/>
              </w:rPr>
              <w:t>3.96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C0B530">
            <w:pPr>
              <w:jc w:val="center"/>
            </w:pPr>
            <w:r>
              <w:rPr>
                <w:rFonts w:ascii="宋体" w:hAnsi="宋体" w:eastAsia="宋体"/>
                <w:sz w:val="16"/>
              </w:rPr>
              <w:t>偏差原因：指标实际已完成。偏离主要是年初预期值设置较低。项目在实际执行过程中超额完成项目预期目标。改进措施：对偏差进行深入分析，充分了解项目的实际需求变化，明确造成实际完成值高于预期的具体原因，以便在未来的项目中更好地把握和预测。</w:t>
            </w:r>
          </w:p>
        </w:tc>
      </w:tr>
      <w:tr w14:paraId="051E69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82DA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7E52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B660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81832">
            <w:pPr>
              <w:jc w:val="center"/>
            </w:pPr>
            <w:r>
              <w:rPr>
                <w:rFonts w:ascii="宋体" w:hAnsi="宋体" w:eastAsia="宋体"/>
                <w:sz w:val="16"/>
              </w:rPr>
              <w:t>培训农民人次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FD3D8">
            <w:pPr>
              <w:jc w:val="center"/>
            </w:pPr>
            <w:r>
              <w:rPr>
                <w:rFonts w:ascii="宋体" w:hAnsi="宋体" w:eastAsia="宋体"/>
                <w:sz w:val="16"/>
              </w:rPr>
              <w:t>&gt;=3000人次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98A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90392">
            <w:pPr>
              <w:jc w:val="center"/>
            </w:pPr>
            <w:r>
              <w:rPr>
                <w:rFonts w:ascii="宋体" w:hAnsi="宋体" w:eastAsia="宋体"/>
                <w:sz w:val="16"/>
              </w:rPr>
              <w:t>7900人次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B857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3A69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3B1B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16E25">
            <w:pPr>
              <w:jc w:val="center"/>
            </w:pPr>
            <w:r>
              <w:rPr>
                <w:rFonts w:ascii="宋体" w:hAnsi="宋体" w:eastAsia="宋体"/>
                <w:sz w:val="16"/>
              </w:rPr>
              <w:t>=3681人次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E327C">
            <w:pPr>
              <w:jc w:val="center"/>
            </w:pPr>
            <w:r>
              <w:rPr>
                <w:rFonts w:ascii="宋体" w:hAnsi="宋体" w:eastAsia="宋体"/>
                <w:sz w:val="16"/>
              </w:rPr>
              <w:t>3.09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D74DB5">
            <w:pPr>
              <w:jc w:val="center"/>
            </w:pPr>
            <w:r>
              <w:rPr>
                <w:rFonts w:ascii="宋体" w:hAnsi="宋体" w:eastAsia="宋体"/>
                <w:sz w:val="16"/>
              </w:rPr>
              <w:t>偏差原因：指标实际已完成。偏离主要是年初预期值设置偏低。项目在实际执行过程中超额完成项目预期目标。改进措施：对偏差进行深入分析，充分了解项目的实际需求变化，明确造成实际完成值高于预期的具体原因，以便在未来的项目中更好地把握和预测。</w:t>
            </w:r>
          </w:p>
        </w:tc>
      </w:tr>
      <w:tr w14:paraId="119130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E1A1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2571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017B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B060F">
            <w:pPr>
              <w:jc w:val="center"/>
            </w:pPr>
            <w:r>
              <w:rPr>
                <w:rFonts w:ascii="宋体" w:hAnsi="宋体" w:eastAsia="宋体"/>
                <w:sz w:val="16"/>
              </w:rPr>
              <w:t>预算资金到位率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959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3485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F29F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27F9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16F8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04939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558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4899B">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6E46B6">
            <w:pPr>
              <w:jc w:val="center"/>
            </w:pPr>
          </w:p>
        </w:tc>
      </w:tr>
      <w:tr w14:paraId="4C20ED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0A73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59120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336CA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C1717">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B5F4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06D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9754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055B2">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51E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4884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43F4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9EEFC">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D10C23">
            <w:pPr>
              <w:jc w:val="center"/>
            </w:pPr>
          </w:p>
        </w:tc>
      </w:tr>
      <w:tr w14:paraId="1FBF6E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6EE4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EB73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0435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E7C05">
            <w:pPr>
              <w:jc w:val="center"/>
            </w:pPr>
            <w:r>
              <w:rPr>
                <w:rFonts w:ascii="宋体" w:hAnsi="宋体" w:eastAsia="宋体"/>
                <w:sz w:val="16"/>
              </w:rPr>
              <w:t>项目实施期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B6E11">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E98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D1111">
            <w:pPr>
              <w:jc w:val="center"/>
            </w:pPr>
            <w:r>
              <w:rPr>
                <w:rFonts w:ascii="宋体" w:hAnsi="宋体" w:eastAsia="宋体"/>
                <w:sz w:val="16"/>
              </w:rPr>
              <w:t>2023年12月20日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D77D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AE25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80CB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A0488">
            <w:pPr>
              <w:jc w:val="center"/>
            </w:pPr>
            <w:r>
              <w:rPr>
                <w:rFonts w:ascii="宋体" w:hAnsi="宋体" w:eastAsia="宋体"/>
                <w:sz w:val="16"/>
              </w:rPr>
              <w:t>=2024年12月13日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6A9EE">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4E1A42">
            <w:pPr>
              <w:jc w:val="center"/>
            </w:pPr>
          </w:p>
        </w:tc>
      </w:tr>
      <w:tr w14:paraId="21AA61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8B078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D198A">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4171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04C8B">
            <w:pPr>
              <w:jc w:val="center"/>
            </w:pPr>
            <w:r>
              <w:rPr>
                <w:rFonts w:ascii="宋体" w:hAnsi="宋体" w:eastAsia="宋体"/>
                <w:sz w:val="16"/>
              </w:rPr>
              <w:t>年人均补助标准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B0E11">
            <w:pPr>
              <w:jc w:val="center"/>
            </w:pPr>
            <w:r>
              <w:rPr>
                <w:rFonts w:ascii="宋体" w:hAnsi="宋体" w:eastAsia="宋体"/>
                <w:sz w:val="16"/>
              </w:rPr>
              <w:t>&lt;=18566.66元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FCDE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34E22">
            <w:pPr>
              <w:jc w:val="center"/>
            </w:pPr>
            <w:r>
              <w:rPr>
                <w:rFonts w:ascii="宋体" w:hAnsi="宋体" w:eastAsia="宋体"/>
                <w:sz w:val="16"/>
              </w:rPr>
              <w:t>14466.67元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88AC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2637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883B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8D046">
            <w:pPr>
              <w:jc w:val="center"/>
            </w:pPr>
            <w:r>
              <w:rPr>
                <w:rFonts w:ascii="宋体" w:hAnsi="宋体" w:eastAsia="宋体"/>
                <w:sz w:val="16"/>
              </w:rPr>
              <w:t>=18566.66元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A38E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CF2EA0">
            <w:pPr>
              <w:jc w:val="center"/>
            </w:pPr>
          </w:p>
        </w:tc>
      </w:tr>
      <w:tr w14:paraId="1ECADF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E159C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68D6E3">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55794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88D90">
            <w:pPr>
              <w:jc w:val="center"/>
            </w:pPr>
            <w:r>
              <w:rPr>
                <w:rFonts w:ascii="宋体" w:hAnsi="宋体" w:eastAsia="宋体"/>
                <w:sz w:val="16"/>
              </w:rPr>
              <w:t>受援地农业生产水平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78156">
            <w:pPr>
              <w:jc w:val="center"/>
            </w:pPr>
            <w:r>
              <w:rPr>
                <w:rFonts w:ascii="宋体" w:hAnsi="宋体" w:eastAsia="宋体"/>
                <w:sz w:val="16"/>
              </w:rPr>
              <w:t>稳步提高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1B6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6458B">
            <w:pPr>
              <w:jc w:val="center"/>
            </w:pPr>
            <w:r>
              <w:rPr>
                <w:rFonts w:ascii="宋体" w:hAnsi="宋体" w:eastAsia="宋体"/>
                <w:sz w:val="16"/>
              </w:rPr>
              <w:t>稳步提稳步提高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B0A0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9DDC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4F8F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D6F8D">
            <w:pPr>
              <w:jc w:val="center"/>
            </w:pPr>
            <w:r>
              <w:rPr>
                <w:rFonts w:ascii="宋体" w:hAnsi="宋体" w:eastAsia="宋体"/>
                <w:sz w:val="16"/>
              </w:rPr>
              <w:t>稳步提高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4EF3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A64CA4">
            <w:pPr>
              <w:jc w:val="center"/>
            </w:pPr>
          </w:p>
        </w:tc>
      </w:tr>
      <w:tr w14:paraId="7B8638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AD8E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05AC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2196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0AB2B">
            <w:pPr>
              <w:jc w:val="center"/>
            </w:pPr>
            <w:r>
              <w:rPr>
                <w:rFonts w:ascii="宋体" w:hAnsi="宋体" w:eastAsia="宋体"/>
                <w:sz w:val="16"/>
              </w:rPr>
              <w:t>现代农业技术使用率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3472F">
            <w:pPr>
              <w:jc w:val="center"/>
            </w:pPr>
            <w:r>
              <w:rPr>
                <w:rFonts w:ascii="宋体" w:hAnsi="宋体" w:eastAsia="宋体"/>
                <w:sz w:val="16"/>
              </w:rPr>
              <w:t>逐步提高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B15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08028">
            <w:pPr>
              <w:jc w:val="center"/>
            </w:pPr>
            <w:r>
              <w:rPr>
                <w:rFonts w:ascii="宋体" w:hAnsi="宋体" w:eastAsia="宋体"/>
                <w:sz w:val="16"/>
              </w:rPr>
              <w:t>逐步提高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1E51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04C7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B6F0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B1E60">
            <w:pPr>
              <w:jc w:val="center"/>
            </w:pPr>
            <w:r>
              <w:rPr>
                <w:rFonts w:ascii="宋体" w:hAnsi="宋体" w:eastAsia="宋体"/>
                <w:sz w:val="16"/>
              </w:rPr>
              <w:t>逐步提高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F61E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B1090F">
            <w:pPr>
              <w:jc w:val="center"/>
            </w:pPr>
          </w:p>
        </w:tc>
      </w:tr>
      <w:tr w14:paraId="5493DA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6FE9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AAA9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1DDE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B808D">
            <w:pPr>
              <w:jc w:val="center"/>
            </w:pPr>
            <w:r>
              <w:rPr>
                <w:rFonts w:ascii="宋体" w:hAnsi="宋体" w:eastAsia="宋体"/>
                <w:sz w:val="16"/>
              </w:rPr>
              <w:t>受益专家及农民满意度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5A926">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8DB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E3F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D300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81EA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1401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01D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5C8E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4F184D">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134CEDE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24F10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74FE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A4D6B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04BAA">
            <w:pPr>
              <w:jc w:val="center"/>
            </w:pPr>
            <w:r>
              <w:rPr>
                <w:rFonts w:ascii="宋体" w:hAnsi="宋体" w:eastAsia="宋体"/>
                <w:sz w:val="16"/>
              </w:rPr>
              <w:t>99分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F3F70D7"/>
        </w:tc>
      </w:tr>
    </w:tbl>
    <w:p w14:paraId="5D836D6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24A6FB67">
        <w:tblPrEx>
          <w:tblCellMar>
            <w:top w:w="0" w:type="dxa"/>
            <w:left w:w="108" w:type="dxa"/>
            <w:bottom w:w="0" w:type="dxa"/>
            <w:right w:w="108" w:type="dxa"/>
          </w:tblCellMar>
        </w:tblPrEx>
        <w:tc>
          <w:tcPr>
            <w:tcW w:w="8848" w:type="dxa"/>
            <w:gridSpan w:val="14"/>
            <w:vAlign w:val="center"/>
          </w:tcPr>
          <w:p w14:paraId="7BE48D2A">
            <w:pPr>
              <w:jc w:val="center"/>
            </w:pPr>
            <w:r>
              <w:rPr>
                <w:rFonts w:ascii="宋体" w:hAnsi="宋体" w:eastAsia="宋体"/>
                <w:sz w:val="24"/>
              </w:rPr>
              <w:t>项目支出绩效自评表</w:t>
            </w:r>
          </w:p>
        </w:tc>
      </w:tr>
      <w:tr w14:paraId="21D31F9D">
        <w:tblPrEx>
          <w:tblCellMar>
            <w:top w:w="0" w:type="dxa"/>
            <w:left w:w="108" w:type="dxa"/>
            <w:bottom w:w="0" w:type="dxa"/>
            <w:right w:w="108" w:type="dxa"/>
          </w:tblCellMar>
        </w:tblPrEx>
        <w:tc>
          <w:tcPr>
            <w:tcW w:w="8848" w:type="dxa"/>
            <w:gridSpan w:val="14"/>
            <w:vAlign w:val="center"/>
          </w:tcPr>
          <w:p w14:paraId="224B783C">
            <w:pPr>
              <w:jc w:val="center"/>
            </w:pPr>
            <w:r>
              <w:rPr>
                <w:rFonts w:ascii="宋体" w:hAnsi="宋体" w:eastAsia="宋体"/>
                <w:sz w:val="24"/>
              </w:rPr>
              <w:t>(2024年度)</w:t>
            </w:r>
          </w:p>
        </w:tc>
      </w:tr>
      <w:tr w14:paraId="1428C4F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7959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996256F">
            <w:pPr>
              <w:jc w:val="center"/>
            </w:pPr>
            <w:r>
              <w:rPr>
                <w:rFonts w:ascii="宋体" w:hAnsi="宋体" w:eastAsia="宋体"/>
                <w:sz w:val="16"/>
              </w:rPr>
              <w:t>2024年中央“基层科普行动计划”经费项目</w:t>
            </w:r>
          </w:p>
        </w:tc>
      </w:tr>
      <w:tr w14:paraId="4E606FF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42E5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A99A98">
            <w:pPr>
              <w:jc w:val="center"/>
            </w:pPr>
            <w:r>
              <w:rPr>
                <w:rFonts w:ascii="宋体" w:hAnsi="宋体" w:eastAsia="宋体"/>
                <w:sz w:val="16"/>
              </w:rPr>
              <w:t>岳普湖县科学技术局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ACE3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6942B86">
            <w:pPr>
              <w:jc w:val="center"/>
            </w:pPr>
            <w:r>
              <w:rPr>
                <w:rFonts w:ascii="宋体" w:hAnsi="宋体" w:eastAsia="宋体"/>
                <w:sz w:val="16"/>
              </w:rPr>
              <w:t>岳普湖县科学技术局</w:t>
            </w:r>
          </w:p>
        </w:tc>
      </w:tr>
      <w:tr w14:paraId="17C4439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B39AF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72201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22844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6D6F9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2618E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F047A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53CB4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F8E0F">
            <w:pPr>
              <w:jc w:val="center"/>
            </w:pPr>
            <w:r>
              <w:rPr>
                <w:rFonts w:ascii="宋体" w:hAnsi="宋体" w:eastAsia="宋体"/>
                <w:sz w:val="16"/>
              </w:rPr>
              <w:t>得分</w:t>
            </w:r>
          </w:p>
        </w:tc>
      </w:tr>
      <w:tr w14:paraId="045123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7EAD3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91E64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63C709">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E5F4B0">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144B54">
            <w:pPr>
              <w:jc w:val="center"/>
            </w:pPr>
            <w:r>
              <w:rPr>
                <w:rFonts w:ascii="宋体" w:hAnsi="宋体" w:eastAsia="宋体"/>
                <w:sz w:val="16"/>
              </w:rPr>
              <w:t>0.16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F6A49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9B3009">
            <w:pPr>
              <w:jc w:val="center"/>
            </w:pPr>
            <w:r>
              <w:rPr>
                <w:rFonts w:ascii="宋体" w:hAnsi="宋体" w:eastAsia="宋体"/>
                <w:sz w:val="16"/>
              </w:rPr>
              <w:t>2.29%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3386A">
            <w:pPr>
              <w:jc w:val="center"/>
            </w:pPr>
            <w:r>
              <w:rPr>
                <w:rFonts w:ascii="宋体" w:hAnsi="宋体" w:eastAsia="宋体"/>
                <w:sz w:val="16"/>
              </w:rPr>
              <w:t>0.00分</w:t>
            </w:r>
          </w:p>
        </w:tc>
      </w:tr>
      <w:tr w14:paraId="685BB6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322FB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A8143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588E38">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E8B283">
            <w:pPr>
              <w:jc w:val="center"/>
            </w:pPr>
            <w:r>
              <w:rPr>
                <w:rFonts w:ascii="宋体" w:hAnsi="宋体" w:eastAsia="宋体"/>
                <w:sz w:val="16"/>
              </w:rPr>
              <w:t>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988168">
            <w:pPr>
              <w:jc w:val="center"/>
            </w:pPr>
            <w:r>
              <w:rPr>
                <w:rFonts w:ascii="宋体" w:hAnsi="宋体" w:eastAsia="宋体"/>
                <w:sz w:val="16"/>
              </w:rPr>
              <w:t>0.16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B9E2E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2D44BC">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77A58">
            <w:pPr>
              <w:jc w:val="center"/>
            </w:pPr>
            <w:r>
              <w:rPr>
                <w:rFonts w:ascii="宋体" w:hAnsi="宋体" w:eastAsia="宋体"/>
                <w:sz w:val="16"/>
              </w:rPr>
              <w:t>—</w:t>
            </w:r>
          </w:p>
        </w:tc>
      </w:tr>
      <w:tr w14:paraId="5A3F6D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524FA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DEEA2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B6CA6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88BC9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E2598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209AA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7A65B5">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53ADB">
            <w:pPr>
              <w:jc w:val="center"/>
            </w:pPr>
            <w:r>
              <w:rPr>
                <w:rFonts w:ascii="宋体" w:hAnsi="宋体" w:eastAsia="宋体"/>
                <w:sz w:val="16"/>
              </w:rPr>
              <w:t>—</w:t>
            </w:r>
          </w:p>
        </w:tc>
      </w:tr>
      <w:tr w14:paraId="6F9588B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E1F8C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2DA0E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B7C7C41">
            <w:pPr>
              <w:jc w:val="center"/>
            </w:pPr>
            <w:r>
              <w:rPr>
                <w:rFonts w:ascii="宋体" w:hAnsi="宋体" w:eastAsia="宋体"/>
                <w:sz w:val="16"/>
              </w:rPr>
              <w:t>实际完成情况</w:t>
            </w:r>
          </w:p>
        </w:tc>
      </w:tr>
      <w:tr w14:paraId="3C6504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1923A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5CC901">
            <w:pPr>
              <w:jc w:val="both"/>
            </w:pPr>
            <w:r>
              <w:rPr>
                <w:rFonts w:ascii="宋体" w:hAnsi="宋体" w:eastAsia="宋体"/>
                <w:sz w:val="16"/>
              </w:rPr>
              <w:t>开展各类科普活动10场次，支持1个基层科普场馆改造提升，保障4个企业科协的科技活动经费，保障1个老科协的科技活动经费。项目的实施进一步提高基层各族群众的科学素质。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6D28FF6">
            <w:pPr>
              <w:jc w:val="both"/>
            </w:pPr>
            <w:r>
              <w:rPr>
                <w:rFonts w:ascii="宋体" w:hAnsi="宋体" w:eastAsia="宋体"/>
                <w:sz w:val="16"/>
              </w:rPr>
              <w:t>目前乡镇对接老年科技大学拟建在村、社区授课点。征订科普类杂志与新疆杂志社对接中尚未支付。现阶段只对科普大篷车进行了审验工作以及制作科普宣传活动横幅。预算执行率为2.3%。社会效益未达预期。</w:t>
            </w:r>
          </w:p>
        </w:tc>
      </w:tr>
      <w:tr w14:paraId="166B600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02DD6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7954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2D4A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742A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7A17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5581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7B10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27FD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2ADA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C18D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6D90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6D1F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D8DAC8">
            <w:pPr>
              <w:jc w:val="center"/>
            </w:pPr>
            <w:r>
              <w:rPr>
                <w:rFonts w:ascii="宋体" w:hAnsi="宋体" w:eastAsia="宋体"/>
                <w:sz w:val="16"/>
              </w:rPr>
              <w:t>偏差原因分析及改进措施</w:t>
            </w:r>
          </w:p>
        </w:tc>
      </w:tr>
      <w:tr w14:paraId="10C194F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C224E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4B926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CC30C9">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510C5">
            <w:pPr>
              <w:jc w:val="center"/>
            </w:pPr>
            <w:r>
              <w:rPr>
                <w:rFonts w:ascii="宋体" w:hAnsi="宋体" w:eastAsia="宋体"/>
                <w:sz w:val="16"/>
              </w:rPr>
              <w:t>开展各类科普活动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D5638">
            <w:pPr>
              <w:jc w:val="center"/>
            </w:pPr>
            <w:r>
              <w:rPr>
                <w:rFonts w:ascii="宋体" w:hAnsi="宋体" w:eastAsia="宋体"/>
                <w:sz w:val="16"/>
              </w:rPr>
              <w:t>&gt;=10场次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155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5EB4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BACC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52F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5E4E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DA71C">
            <w:pPr>
              <w:jc w:val="center"/>
            </w:pPr>
            <w:r>
              <w:rPr>
                <w:rFonts w:ascii="宋体" w:hAnsi="宋体" w:eastAsia="宋体"/>
                <w:sz w:val="16"/>
              </w:rPr>
              <w:t>=0场次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2498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230BC2">
            <w:pPr>
              <w:jc w:val="center"/>
            </w:pPr>
            <w:r>
              <w:rPr>
                <w:rFonts w:ascii="宋体" w:hAnsi="宋体" w:eastAsia="宋体"/>
                <w:sz w:val="16"/>
              </w:rPr>
              <w:t>未完成原因：制定了资金分配计划，目前乡镇对接老年科技大学拟建在村、社区授课点。征订科普类杂志与新疆杂志社对接中尚未支付。改进措施：按项目计划及时执行项目，按项目进度支付资金。</w:t>
            </w:r>
          </w:p>
        </w:tc>
      </w:tr>
      <w:tr w14:paraId="59C41B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7445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2099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C9D2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4291B">
            <w:pPr>
              <w:jc w:val="center"/>
            </w:pPr>
            <w:r>
              <w:rPr>
                <w:rFonts w:ascii="宋体" w:hAnsi="宋体" w:eastAsia="宋体"/>
                <w:sz w:val="16"/>
              </w:rPr>
              <w:t>支持基层科普场馆提升改造数量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F2A31">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668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9F8B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AB5B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D3C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DB29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246DB">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77C3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859ACA">
            <w:pPr>
              <w:jc w:val="center"/>
            </w:pPr>
            <w:r>
              <w:rPr>
                <w:rFonts w:ascii="宋体" w:hAnsi="宋体" w:eastAsia="宋体"/>
                <w:sz w:val="16"/>
              </w:rPr>
              <w:t>未完成原因：制定了资金分配计划，目前乡镇对接老年科技大学拟建在村、社区授课点。征订科普类杂志与新疆杂志社对接中尚未支付。改进措施：按项目计划及时执行项目，按项目进度支付资金。</w:t>
            </w:r>
          </w:p>
        </w:tc>
      </w:tr>
      <w:tr w14:paraId="52D65E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6D48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86A3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CA80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B0C60">
            <w:pPr>
              <w:jc w:val="center"/>
            </w:pPr>
            <w:r>
              <w:rPr>
                <w:rFonts w:ascii="宋体" w:hAnsi="宋体" w:eastAsia="宋体"/>
                <w:sz w:val="16"/>
              </w:rPr>
              <w:t>保障企业科协经费数量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E8B7C">
            <w:pPr>
              <w:jc w:val="center"/>
            </w:pPr>
            <w:r>
              <w:rPr>
                <w:rFonts w:ascii="宋体" w:hAnsi="宋体" w:eastAsia="宋体"/>
                <w:sz w:val="16"/>
              </w:rPr>
              <w:t>&gt;=4个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154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23EC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77A3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9F15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83A8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28488">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38F7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536A50">
            <w:pPr>
              <w:jc w:val="center"/>
            </w:pPr>
            <w:r>
              <w:rPr>
                <w:rFonts w:ascii="宋体" w:hAnsi="宋体" w:eastAsia="宋体"/>
                <w:sz w:val="16"/>
              </w:rPr>
              <w:t>未完成原因：制定了资金分配计划，目前乡镇对接老年科技大学拟建在村、社区授课点。征订科普类杂志与新疆杂志社对接中尚未支付。改进措施：按项目计划及时执行项目，按项目进度支付资金。</w:t>
            </w:r>
          </w:p>
        </w:tc>
      </w:tr>
      <w:tr w14:paraId="4269B9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56B3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F326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9AA3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E394C">
            <w:pPr>
              <w:jc w:val="center"/>
            </w:pPr>
            <w:r>
              <w:rPr>
                <w:rFonts w:ascii="宋体" w:hAnsi="宋体" w:eastAsia="宋体"/>
                <w:sz w:val="16"/>
              </w:rPr>
              <w:t>保障老科协经费数量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B462E">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370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1436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CB77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DA6C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05E6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2E37C">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75D95">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4A98EE">
            <w:pPr>
              <w:jc w:val="center"/>
            </w:pPr>
            <w:r>
              <w:rPr>
                <w:rFonts w:ascii="宋体" w:hAnsi="宋体" w:eastAsia="宋体"/>
                <w:sz w:val="16"/>
              </w:rPr>
              <w:t>未完成原因：制定了资金分配计划，目前乡镇对接老年科技大学拟建在村、社区授课点。征订科普类杂志与新疆杂志社对接中尚未支付。改进措施：按项目计划及时执行项目，按项目进度支付资金。</w:t>
            </w:r>
          </w:p>
        </w:tc>
      </w:tr>
      <w:tr w14:paraId="4148D7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41B6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C987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A428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6AA35">
            <w:pPr>
              <w:jc w:val="center"/>
            </w:pPr>
            <w:r>
              <w:rPr>
                <w:rFonts w:ascii="宋体" w:hAnsi="宋体" w:eastAsia="宋体"/>
                <w:sz w:val="16"/>
              </w:rPr>
              <w:t>资金覆盖率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AFA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FC3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8DA7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820E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354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78BB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FE9EC">
            <w:pPr>
              <w:jc w:val="center"/>
            </w:pPr>
            <w:r>
              <w:rPr>
                <w:rFonts w:ascii="宋体" w:hAnsi="宋体" w:eastAsia="宋体"/>
                <w:sz w:val="16"/>
              </w:rPr>
              <w:t>=2.3%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35A6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CD80D3">
            <w:pPr>
              <w:jc w:val="center"/>
            </w:pPr>
            <w:r>
              <w:rPr>
                <w:rFonts w:ascii="宋体" w:hAnsi="宋体" w:eastAsia="宋体"/>
                <w:sz w:val="16"/>
              </w:rPr>
              <w:t>未完成原因：制定了资金分配计划，目前乡镇对接老年科技大学拟建在村、社区授课点。征订科普类杂志与新疆杂志社对接中尚未支付。改进措施：按项目计划及时执行项目，按项目进度支付资金。</w:t>
            </w:r>
          </w:p>
        </w:tc>
      </w:tr>
      <w:tr w14:paraId="6FDF31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80A9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49A0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D503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808F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765D5">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B8C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FAD22">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A3E3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6DC3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BEC97">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5445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2656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E59EB0">
            <w:pPr>
              <w:jc w:val="center"/>
            </w:pPr>
            <w:r>
              <w:rPr>
                <w:rFonts w:ascii="宋体" w:hAnsi="宋体" w:eastAsia="宋体"/>
                <w:sz w:val="16"/>
              </w:rPr>
              <w:t>未完成原因：制定了资金分配计划，目前乡镇对接老年科技大学拟建在村、社区授课点。征订科普类杂志与新疆杂志社对接中尚未支付。改进措施：按项目计划及时执行项目，按项目进度支付资金。</w:t>
            </w:r>
          </w:p>
        </w:tc>
      </w:tr>
      <w:tr w14:paraId="44B12F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79AB0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1BB68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ADDDC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E948F">
            <w:pPr>
              <w:jc w:val="center"/>
            </w:pPr>
            <w:r>
              <w:rPr>
                <w:rFonts w:ascii="宋体" w:hAnsi="宋体" w:eastAsia="宋体"/>
                <w:sz w:val="16"/>
              </w:rPr>
              <w:t>推动科学文化传播经费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43A91">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D07A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2B51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5660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6D0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DAA4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42F01">
            <w:pPr>
              <w:jc w:val="center"/>
            </w:pPr>
            <w:r>
              <w:rPr>
                <w:rFonts w:ascii="宋体" w:hAnsi="宋体" w:eastAsia="宋体"/>
                <w:sz w:val="16"/>
              </w:rPr>
              <w:t>=0.16万元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E1EB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2D22A1">
            <w:pPr>
              <w:jc w:val="center"/>
            </w:pPr>
            <w:r>
              <w:rPr>
                <w:rFonts w:ascii="宋体" w:hAnsi="宋体" w:eastAsia="宋体"/>
                <w:sz w:val="16"/>
              </w:rPr>
              <w:t>未完成原因：制定了资金分配计划，目前乡镇对接老年科技大学拟建在村、社区授课点。征订科普类杂志与新疆杂志社对接中尚未支付。改进措施：按项目计划及时执行项目，按项目进度支付资金。</w:t>
            </w:r>
          </w:p>
        </w:tc>
      </w:tr>
      <w:tr w14:paraId="37C604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E5E3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CE25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31190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2BF1D">
            <w:pPr>
              <w:jc w:val="center"/>
            </w:pPr>
            <w:r>
              <w:rPr>
                <w:rFonts w:ascii="宋体" w:hAnsi="宋体" w:eastAsia="宋体"/>
                <w:sz w:val="16"/>
              </w:rPr>
              <w:t>基层科普组织和人才队伍建设经费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6073E">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6F7C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5337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9D36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A71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EF74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E0ABF">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CD76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38B7FC">
            <w:pPr>
              <w:jc w:val="center"/>
            </w:pPr>
            <w:r>
              <w:rPr>
                <w:rFonts w:ascii="宋体" w:hAnsi="宋体" w:eastAsia="宋体"/>
                <w:sz w:val="16"/>
              </w:rPr>
              <w:t>未完成原因：制定了资金分配计划，目前乡镇对接老年科技大学拟建在村、社区授课点。征订科普类杂志与新疆杂志社对接中尚未支付。改进措施：按项目计划及时执行项目，按项目进度支付资金。</w:t>
            </w:r>
          </w:p>
        </w:tc>
      </w:tr>
      <w:tr w14:paraId="366FB7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143D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8B79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5936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50EF1">
            <w:pPr>
              <w:jc w:val="center"/>
            </w:pPr>
            <w:r>
              <w:rPr>
                <w:rFonts w:ascii="宋体" w:hAnsi="宋体" w:eastAsia="宋体"/>
                <w:sz w:val="16"/>
              </w:rPr>
              <w:t>学会专项经费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20825">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DB3B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64A5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E1E4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3560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FEA3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67E1B">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4AF5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2410D2">
            <w:pPr>
              <w:jc w:val="center"/>
            </w:pPr>
            <w:r>
              <w:rPr>
                <w:rFonts w:ascii="宋体" w:hAnsi="宋体" w:eastAsia="宋体"/>
                <w:sz w:val="16"/>
              </w:rPr>
              <w:t>未完成原因：制定了资金分配计划，目前乡镇对接老年科技大学拟建在村、社区授课点。征订科普类杂志与新疆杂志社对接中尚未支付。改进措施：按项目计划及时执行项目，按项目进度支付资金。</w:t>
            </w:r>
          </w:p>
        </w:tc>
      </w:tr>
      <w:tr w14:paraId="57C14B8F">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B486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6653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812C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FA523">
            <w:pPr>
              <w:jc w:val="center"/>
            </w:pPr>
            <w:r>
              <w:rPr>
                <w:rFonts w:ascii="宋体" w:hAnsi="宋体" w:eastAsia="宋体"/>
                <w:sz w:val="16"/>
              </w:rPr>
              <w:t>提高基层各族群众的科学素质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CFE16">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686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D4E95">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86996">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3EAA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E7DD5">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AEA81">
            <w:pPr>
              <w:jc w:val="center"/>
            </w:pPr>
            <w:r>
              <w:rPr>
                <w:rFonts w:ascii="宋体" w:hAnsi="宋体" w:eastAsia="宋体"/>
                <w:sz w:val="16"/>
              </w:rPr>
              <w:t>未达成年度指标且效果较差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558B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4FDA96">
            <w:pPr>
              <w:jc w:val="center"/>
            </w:pPr>
            <w:r>
              <w:rPr>
                <w:rFonts w:ascii="宋体" w:hAnsi="宋体" w:eastAsia="宋体"/>
                <w:sz w:val="16"/>
              </w:rPr>
              <w:t>未完成原因：制定了资金分配计划，目前乡镇对接老年科技大学拟建在村、社区授课点。征订科普类杂志与新疆杂志社对接中尚未支付。改进措施：按项目计划及时执行项目，按项目进度支付资金。</w:t>
            </w:r>
          </w:p>
        </w:tc>
      </w:tr>
      <w:tr w14:paraId="014AC86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2E1D4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8BE6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EAD35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066A3">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6F8669E"/>
        </w:tc>
      </w:tr>
    </w:tbl>
    <w:p w14:paraId="08EC3B90">
      <w:r>
        <w:br w:type="page"/>
      </w:r>
    </w:p>
    <w:tbl>
      <w:tblPr>
        <w:tblStyle w:val="9"/>
        <w:tblW w:w="0" w:type="auto"/>
        <w:tblInd w:w="0" w:type="dxa"/>
        <w:tblLayout w:type="autofit"/>
        <w:tblCellMar>
          <w:top w:w="0" w:type="dxa"/>
          <w:left w:w="108" w:type="dxa"/>
          <w:bottom w:w="0" w:type="dxa"/>
          <w:right w:w="108" w:type="dxa"/>
        </w:tblCellMar>
      </w:tblPr>
      <w:tblGrid>
        <w:gridCol w:w="613"/>
        <w:gridCol w:w="581"/>
        <w:gridCol w:w="581"/>
        <w:gridCol w:w="613"/>
        <w:gridCol w:w="936"/>
        <w:gridCol w:w="581"/>
        <w:gridCol w:w="776"/>
        <w:gridCol w:w="597"/>
        <w:gridCol w:w="581"/>
        <w:gridCol w:w="581"/>
        <w:gridCol w:w="856"/>
        <w:gridCol w:w="632"/>
        <w:gridCol w:w="519"/>
        <w:gridCol w:w="613"/>
      </w:tblGrid>
      <w:tr w14:paraId="75E5951C">
        <w:tblPrEx>
          <w:tblCellMar>
            <w:top w:w="0" w:type="dxa"/>
            <w:left w:w="108" w:type="dxa"/>
            <w:bottom w:w="0" w:type="dxa"/>
            <w:right w:w="108" w:type="dxa"/>
          </w:tblCellMar>
        </w:tblPrEx>
        <w:tc>
          <w:tcPr>
            <w:tcW w:w="8848" w:type="dxa"/>
            <w:gridSpan w:val="14"/>
            <w:vAlign w:val="center"/>
          </w:tcPr>
          <w:p w14:paraId="5B9F3B3B">
            <w:pPr>
              <w:jc w:val="center"/>
            </w:pPr>
            <w:r>
              <w:rPr>
                <w:rFonts w:ascii="宋体" w:hAnsi="宋体" w:eastAsia="宋体"/>
                <w:sz w:val="24"/>
              </w:rPr>
              <w:t>项目支出绩效自评表</w:t>
            </w:r>
          </w:p>
        </w:tc>
      </w:tr>
      <w:tr w14:paraId="7DD92C09">
        <w:tblPrEx>
          <w:tblCellMar>
            <w:top w:w="0" w:type="dxa"/>
            <w:left w:w="108" w:type="dxa"/>
            <w:bottom w:w="0" w:type="dxa"/>
            <w:right w:w="108" w:type="dxa"/>
          </w:tblCellMar>
        </w:tblPrEx>
        <w:tc>
          <w:tcPr>
            <w:tcW w:w="8848" w:type="dxa"/>
            <w:gridSpan w:val="14"/>
            <w:vAlign w:val="center"/>
          </w:tcPr>
          <w:p w14:paraId="4EF1F66F">
            <w:pPr>
              <w:jc w:val="center"/>
            </w:pPr>
            <w:r>
              <w:rPr>
                <w:rFonts w:ascii="宋体" w:hAnsi="宋体" w:eastAsia="宋体"/>
                <w:sz w:val="24"/>
              </w:rPr>
              <w:t>(2024年度)</w:t>
            </w:r>
          </w:p>
        </w:tc>
      </w:tr>
      <w:tr w14:paraId="49BFB88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5FB9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A088AF0">
            <w:pPr>
              <w:jc w:val="center"/>
            </w:pPr>
            <w:r>
              <w:rPr>
                <w:rFonts w:ascii="宋体" w:hAnsi="宋体" w:eastAsia="宋体"/>
                <w:sz w:val="16"/>
              </w:rPr>
              <w:t>2024年中央科技馆免费开放补助资金项目</w:t>
            </w:r>
          </w:p>
        </w:tc>
      </w:tr>
      <w:tr w14:paraId="212036A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A357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413D06">
            <w:pPr>
              <w:jc w:val="center"/>
            </w:pPr>
            <w:r>
              <w:rPr>
                <w:rFonts w:ascii="宋体" w:hAnsi="宋体" w:eastAsia="宋体"/>
                <w:sz w:val="16"/>
              </w:rPr>
              <w:t>岳普湖县科学技术局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62F7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5751676">
            <w:pPr>
              <w:jc w:val="center"/>
            </w:pPr>
            <w:r>
              <w:rPr>
                <w:rFonts w:ascii="宋体" w:hAnsi="宋体" w:eastAsia="宋体"/>
                <w:sz w:val="16"/>
              </w:rPr>
              <w:t>岳普湖县科学技术局</w:t>
            </w:r>
          </w:p>
        </w:tc>
      </w:tr>
      <w:tr w14:paraId="35FD3FD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54DE1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843BB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1EF6B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BBF5B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8E546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2C889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486D9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14ABB">
            <w:pPr>
              <w:jc w:val="center"/>
            </w:pPr>
            <w:r>
              <w:rPr>
                <w:rFonts w:ascii="宋体" w:hAnsi="宋体" w:eastAsia="宋体"/>
                <w:sz w:val="16"/>
              </w:rPr>
              <w:t>得分</w:t>
            </w:r>
          </w:p>
        </w:tc>
      </w:tr>
      <w:tr w14:paraId="1BFE0A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D7050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40859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4BA17B">
            <w:pPr>
              <w:jc w:val="center"/>
            </w:pPr>
            <w:r>
              <w:rPr>
                <w:rFonts w:ascii="宋体" w:hAnsi="宋体" w:eastAsia="宋体"/>
                <w:sz w:val="16"/>
              </w:rPr>
              <w:t>48.00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E2654D">
            <w:pPr>
              <w:jc w:val="center"/>
            </w:pPr>
            <w:r>
              <w:rPr>
                <w:rFonts w:ascii="宋体" w:hAnsi="宋体" w:eastAsia="宋体"/>
                <w:sz w:val="16"/>
              </w:rPr>
              <w:t>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EF6FF1">
            <w:pPr>
              <w:jc w:val="center"/>
            </w:pPr>
            <w:r>
              <w:rPr>
                <w:rFonts w:ascii="宋体" w:hAnsi="宋体" w:eastAsia="宋体"/>
                <w:sz w:val="16"/>
              </w:rPr>
              <w:t>21.69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C6D6B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21761A">
            <w:pPr>
              <w:jc w:val="center"/>
            </w:pPr>
            <w:r>
              <w:rPr>
                <w:rFonts w:ascii="宋体" w:hAnsi="宋体" w:eastAsia="宋体"/>
                <w:sz w:val="16"/>
              </w:rPr>
              <w:t>61.97%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502DC">
            <w:pPr>
              <w:jc w:val="center"/>
            </w:pPr>
            <w:r>
              <w:rPr>
                <w:rFonts w:ascii="宋体" w:hAnsi="宋体" w:eastAsia="宋体"/>
                <w:sz w:val="16"/>
              </w:rPr>
              <w:t>0.49分</w:t>
            </w:r>
          </w:p>
        </w:tc>
      </w:tr>
      <w:tr w14:paraId="4E1DD0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AB701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4CEAB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3F10A6">
            <w:pPr>
              <w:jc w:val="center"/>
            </w:pPr>
            <w:r>
              <w:rPr>
                <w:rFonts w:ascii="宋体" w:hAnsi="宋体" w:eastAsia="宋体"/>
                <w:sz w:val="16"/>
              </w:rPr>
              <w:t>48.00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4AF726">
            <w:pPr>
              <w:jc w:val="center"/>
            </w:pPr>
            <w:r>
              <w:rPr>
                <w:rFonts w:ascii="宋体" w:hAnsi="宋体" w:eastAsia="宋体"/>
                <w:sz w:val="16"/>
              </w:rPr>
              <w:t>35.00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2AEE09">
            <w:pPr>
              <w:jc w:val="center"/>
            </w:pPr>
            <w:r>
              <w:rPr>
                <w:rFonts w:ascii="宋体" w:hAnsi="宋体" w:eastAsia="宋体"/>
                <w:sz w:val="16"/>
              </w:rPr>
              <w:t>21.69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49965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40FE38">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557D5">
            <w:pPr>
              <w:jc w:val="center"/>
            </w:pPr>
            <w:r>
              <w:rPr>
                <w:rFonts w:ascii="宋体" w:hAnsi="宋体" w:eastAsia="宋体"/>
                <w:sz w:val="16"/>
              </w:rPr>
              <w:t>—</w:t>
            </w:r>
          </w:p>
        </w:tc>
      </w:tr>
      <w:tr w14:paraId="351FD6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BF4CD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FE51B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4D465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9F02D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ED3C4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B9346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C0C2BE">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A9245">
            <w:pPr>
              <w:jc w:val="center"/>
            </w:pPr>
            <w:r>
              <w:rPr>
                <w:rFonts w:ascii="宋体" w:hAnsi="宋体" w:eastAsia="宋体"/>
                <w:sz w:val="16"/>
              </w:rPr>
              <w:t>—</w:t>
            </w:r>
          </w:p>
        </w:tc>
      </w:tr>
      <w:tr w14:paraId="4292D91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FF3E3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CD332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B8051C3">
            <w:pPr>
              <w:jc w:val="center"/>
            </w:pPr>
            <w:r>
              <w:rPr>
                <w:rFonts w:ascii="宋体" w:hAnsi="宋体" w:eastAsia="宋体"/>
                <w:sz w:val="16"/>
              </w:rPr>
              <w:t>实际完成情况</w:t>
            </w:r>
          </w:p>
        </w:tc>
      </w:tr>
      <w:tr w14:paraId="6F0703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5C626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24A7E4">
            <w:pPr>
              <w:jc w:val="both"/>
            </w:pPr>
            <w:r>
              <w:rPr>
                <w:rFonts w:ascii="宋体" w:hAnsi="宋体" w:eastAsia="宋体"/>
                <w:sz w:val="16"/>
              </w:rPr>
              <w:t>科技馆场馆面积2061.15平方米，科技馆免费开放225天，开展各类教育活动4场次，年度展品更新1项，展品展项维修20个，科技辅导员年培训10人次。年服务观众8100人次。项目实施提升参加科普活动、群众科普知识的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9DEAE38">
            <w:pPr>
              <w:jc w:val="both"/>
            </w:pPr>
            <w:r>
              <w:rPr>
                <w:rFonts w:ascii="宋体" w:hAnsi="宋体" w:eastAsia="宋体"/>
                <w:sz w:val="16"/>
              </w:rPr>
              <w:t>科技馆场馆面积2061.15平方米，现阶段科技馆免费开放250天，开展各类教育活动13场次，年度展品更新1项，展品展项维修0个，科技辅导员年培训1人次。年服务观众20000人次。预算执行率为62%。项目实施提升参加科普活动、群众科普知识的水平。</w:t>
            </w:r>
          </w:p>
        </w:tc>
      </w:tr>
      <w:tr w14:paraId="3C537F6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1DBEB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C69C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5241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578D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52D3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FACB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A42B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4073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70CF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86FA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E604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3601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0F7F81">
            <w:pPr>
              <w:jc w:val="center"/>
            </w:pPr>
            <w:r>
              <w:rPr>
                <w:rFonts w:ascii="宋体" w:hAnsi="宋体" w:eastAsia="宋体"/>
                <w:sz w:val="16"/>
              </w:rPr>
              <w:t>偏差原因分析及改进措施</w:t>
            </w:r>
          </w:p>
        </w:tc>
      </w:tr>
      <w:tr w14:paraId="7C3C7E3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89EEA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77CBE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AA452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97665">
            <w:pPr>
              <w:jc w:val="center"/>
            </w:pPr>
            <w:r>
              <w:rPr>
                <w:rFonts w:ascii="宋体" w:hAnsi="宋体" w:eastAsia="宋体"/>
                <w:sz w:val="16"/>
              </w:rPr>
              <w:t>科技馆展览教育面积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F2144">
            <w:pPr>
              <w:jc w:val="center"/>
            </w:pPr>
            <w:r>
              <w:rPr>
                <w:rFonts w:ascii="宋体" w:hAnsi="宋体" w:eastAsia="宋体"/>
                <w:sz w:val="16"/>
              </w:rPr>
              <w:t>&gt;=2061.15平方米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BAA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23586">
            <w:pPr>
              <w:jc w:val="center"/>
            </w:pPr>
            <w:r>
              <w:rPr>
                <w:rFonts w:ascii="宋体" w:hAnsi="宋体" w:eastAsia="宋体"/>
                <w:sz w:val="16"/>
              </w:rPr>
              <w:t>2061.15平方米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FF35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DB8A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C17D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64917">
            <w:pPr>
              <w:jc w:val="center"/>
            </w:pPr>
            <w:r>
              <w:rPr>
                <w:rFonts w:ascii="宋体" w:hAnsi="宋体" w:eastAsia="宋体"/>
                <w:sz w:val="16"/>
              </w:rPr>
              <w:t>=2061.15平方米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E57CF">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EC857F">
            <w:pPr>
              <w:jc w:val="center"/>
            </w:pPr>
          </w:p>
        </w:tc>
      </w:tr>
      <w:tr w14:paraId="6EC6BF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1BCD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5A9BA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FE92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9551B">
            <w:pPr>
              <w:jc w:val="center"/>
            </w:pPr>
            <w:r>
              <w:rPr>
                <w:rFonts w:ascii="宋体" w:hAnsi="宋体" w:eastAsia="宋体"/>
                <w:sz w:val="16"/>
              </w:rPr>
              <w:t>科技馆年度正常开馆天数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832E3">
            <w:pPr>
              <w:jc w:val="center"/>
            </w:pPr>
            <w:r>
              <w:rPr>
                <w:rFonts w:ascii="宋体" w:hAnsi="宋体" w:eastAsia="宋体"/>
                <w:sz w:val="16"/>
              </w:rPr>
              <w:t>&gt;=225天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1B8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E8F5B">
            <w:pPr>
              <w:jc w:val="center"/>
            </w:pPr>
            <w:r>
              <w:rPr>
                <w:rFonts w:ascii="宋体" w:hAnsi="宋体" w:eastAsia="宋体"/>
                <w:sz w:val="16"/>
              </w:rPr>
              <w:t>125天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527B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DB31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5910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8F3D7">
            <w:pPr>
              <w:jc w:val="center"/>
            </w:pPr>
            <w:r>
              <w:rPr>
                <w:rFonts w:ascii="宋体" w:hAnsi="宋体" w:eastAsia="宋体"/>
                <w:sz w:val="16"/>
              </w:rPr>
              <w:t>=250天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B07B8">
            <w:pPr>
              <w:jc w:val="center"/>
            </w:pPr>
            <w:r>
              <w:rPr>
                <w:rFonts w:ascii="宋体" w:hAnsi="宋体" w:eastAsia="宋体"/>
                <w:sz w:val="16"/>
              </w:rPr>
              <w:t>3.56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C7F4F2">
            <w:pPr>
              <w:jc w:val="center"/>
            </w:pPr>
            <w:r>
              <w:rPr>
                <w:rFonts w:ascii="宋体" w:hAnsi="宋体" w:eastAsia="宋体"/>
                <w:sz w:val="16"/>
              </w:rPr>
              <w:t>偏差原因：指标实际已完成。偏离主要是年初预期值设置偏低。项目在实际执行过程中超额完成项目预期目标。改进措施：对偏差进行深入分析，充分了解项目的实际需求变化，明确造成实际完成值高于预期的具体原因，以便在未来的项目中更好地把握和预测。</w:t>
            </w:r>
          </w:p>
        </w:tc>
      </w:tr>
      <w:tr w14:paraId="289EEF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0DA1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0F94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CC68C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1731E">
            <w:pPr>
              <w:jc w:val="center"/>
            </w:pPr>
            <w:r>
              <w:rPr>
                <w:rFonts w:ascii="宋体" w:hAnsi="宋体" w:eastAsia="宋体"/>
                <w:sz w:val="16"/>
              </w:rPr>
              <w:t>开展各类教育活动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584D1">
            <w:pPr>
              <w:jc w:val="center"/>
            </w:pPr>
            <w:r>
              <w:rPr>
                <w:rFonts w:ascii="宋体" w:hAnsi="宋体" w:eastAsia="宋体"/>
                <w:sz w:val="16"/>
              </w:rPr>
              <w:t>&gt;=4场次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136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6A9B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7DAF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6E75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59CE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DFC99">
            <w:pPr>
              <w:jc w:val="center"/>
            </w:pPr>
            <w:r>
              <w:rPr>
                <w:rFonts w:ascii="宋体" w:hAnsi="宋体" w:eastAsia="宋体"/>
                <w:sz w:val="16"/>
              </w:rPr>
              <w:t>=13场次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939B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941157">
            <w:pPr>
              <w:jc w:val="center"/>
            </w:pPr>
            <w:r>
              <w:rPr>
                <w:rFonts w:ascii="宋体" w:hAnsi="宋体" w:eastAsia="宋体"/>
                <w:sz w:val="16"/>
              </w:rPr>
              <w:t>偏差原因：指标实际已完成。偏离主要是年初预期值设置偏低。项目在实际执行过程中超额完成项目预期目标。改进措施：对偏差进行深入分析，充分了解项目的实际需求变化，明确造成实际完成值高于预期的具体原因，以便在未来的项目中更好地把握和预测。</w:t>
            </w:r>
          </w:p>
        </w:tc>
      </w:tr>
      <w:tr w14:paraId="5CC4FE12">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65A1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E347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D36C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CE89C">
            <w:pPr>
              <w:jc w:val="center"/>
            </w:pPr>
            <w:r>
              <w:rPr>
                <w:rFonts w:ascii="宋体" w:hAnsi="宋体" w:eastAsia="宋体"/>
                <w:sz w:val="16"/>
              </w:rPr>
              <w:t>年度展品更新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898D6">
            <w:pPr>
              <w:jc w:val="center"/>
            </w:pPr>
            <w:r>
              <w:rPr>
                <w:rFonts w:ascii="宋体" w:hAnsi="宋体" w:eastAsia="宋体"/>
                <w:sz w:val="16"/>
              </w:rPr>
              <w:t>&gt;=1项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940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B5C9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6D8D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5072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076E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E51D2">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64A53">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644542">
            <w:pPr>
              <w:jc w:val="center"/>
            </w:pPr>
          </w:p>
        </w:tc>
      </w:tr>
      <w:tr w14:paraId="547151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8A25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1D89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B1B0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09B06">
            <w:pPr>
              <w:jc w:val="center"/>
            </w:pPr>
            <w:r>
              <w:rPr>
                <w:rFonts w:ascii="宋体" w:hAnsi="宋体" w:eastAsia="宋体"/>
                <w:sz w:val="16"/>
              </w:rPr>
              <w:t>展品展项维修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1FE05">
            <w:pPr>
              <w:jc w:val="center"/>
            </w:pPr>
            <w:r>
              <w:rPr>
                <w:rFonts w:ascii="宋体" w:hAnsi="宋体" w:eastAsia="宋体"/>
                <w:sz w:val="16"/>
              </w:rPr>
              <w:t>&gt;=20个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3C8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A0E1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392B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5195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6B21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981D1">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47FF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B006C0">
            <w:pPr>
              <w:jc w:val="center"/>
            </w:pPr>
            <w:r>
              <w:rPr>
                <w:rFonts w:ascii="宋体" w:hAnsi="宋体" w:eastAsia="宋体"/>
                <w:sz w:val="16"/>
              </w:rPr>
              <w:t>未完成原因：展品展项并未出现毁损情况，实际未发生维修。改进措施：对偏差进行深入分析，充分了解项目的实际需求变化。</w:t>
            </w:r>
          </w:p>
        </w:tc>
      </w:tr>
      <w:tr w14:paraId="7A4552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1619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51D1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01B0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F1F0E">
            <w:pPr>
              <w:jc w:val="center"/>
            </w:pPr>
            <w:r>
              <w:rPr>
                <w:rFonts w:ascii="宋体" w:hAnsi="宋体" w:eastAsia="宋体"/>
                <w:sz w:val="16"/>
              </w:rPr>
              <w:t>科技辅导员年培训</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E946A">
            <w:pPr>
              <w:jc w:val="center"/>
            </w:pPr>
            <w:r>
              <w:rPr>
                <w:rFonts w:ascii="宋体" w:hAnsi="宋体" w:eastAsia="宋体"/>
                <w:sz w:val="16"/>
              </w:rPr>
              <w:t>&gt;=10人次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B21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859E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C0DE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3AD0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9612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F6581">
            <w:pPr>
              <w:jc w:val="center"/>
            </w:pPr>
            <w:r>
              <w:rPr>
                <w:rFonts w:ascii="宋体" w:hAnsi="宋体" w:eastAsia="宋体"/>
                <w:sz w:val="16"/>
              </w:rPr>
              <w:t>=1人次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45CE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E791F8">
            <w:pPr>
              <w:jc w:val="center"/>
            </w:pPr>
            <w:r>
              <w:rPr>
                <w:rFonts w:ascii="宋体" w:hAnsi="宋体" w:eastAsia="宋体"/>
                <w:sz w:val="16"/>
              </w:rPr>
              <w:t>未完成原因：指标实际已完成。未完成主要是年初预期值设置偏高。项目在实际执行过程中未达到项目预期目标。改进措施：对偏差进行深入分析，充分了解项目的实际需求变化，明确造成实际完成值低于预期的具体原因，以便在未来的项目中更好地把握和预测。</w:t>
            </w:r>
          </w:p>
        </w:tc>
      </w:tr>
      <w:tr w14:paraId="31E16D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0A1D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5F267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85439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6CE89">
            <w:pPr>
              <w:jc w:val="center"/>
            </w:pPr>
            <w:r>
              <w:rPr>
                <w:rFonts w:ascii="宋体" w:hAnsi="宋体" w:eastAsia="宋体"/>
                <w:sz w:val="16"/>
              </w:rPr>
              <w:t>开展教育活动按计划完成率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5AB4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253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88C4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61A1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6857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4922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7D5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7E956">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77FC5A">
            <w:pPr>
              <w:jc w:val="center"/>
            </w:pPr>
          </w:p>
        </w:tc>
      </w:tr>
      <w:tr w14:paraId="36E8AA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BDCE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D8C0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2D2F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636A7">
            <w:pPr>
              <w:jc w:val="center"/>
            </w:pPr>
            <w:r>
              <w:rPr>
                <w:rFonts w:ascii="宋体" w:hAnsi="宋体" w:eastAsia="宋体"/>
                <w:sz w:val="16"/>
              </w:rPr>
              <w:t>科技辅导员培训按计划完成率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EEB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8EF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4257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B6595">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4C6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8206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B6E1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DCA1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047949">
            <w:pPr>
              <w:jc w:val="center"/>
            </w:pPr>
            <w:r>
              <w:rPr>
                <w:rFonts w:ascii="宋体" w:hAnsi="宋体" w:eastAsia="宋体"/>
                <w:sz w:val="16"/>
              </w:rPr>
              <w:t>未完成原因：指标实际已完成。未完成主要是年初预期值设置偏高。项目在实际执行过程中未达到项目预期目标。改进措施：对偏差进行深入分析，充分了解项目的实际需求变化，明确造成实际完成值低于预期的具体原因，以便在未来的项目中更好地把握和预测。</w:t>
            </w:r>
          </w:p>
        </w:tc>
      </w:tr>
      <w:tr w14:paraId="6F19D2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E493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E1807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FF80A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F4968">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483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976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46C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0DCA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9DFB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1ADE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46440">
            <w:pPr>
              <w:jc w:val="center"/>
            </w:pPr>
            <w:r>
              <w:rPr>
                <w:rFonts w:ascii="宋体" w:hAnsi="宋体" w:eastAsia="宋体"/>
                <w:sz w:val="16"/>
              </w:rPr>
              <w:t>=62%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C30F0">
            <w:pPr>
              <w:jc w:val="center"/>
            </w:pPr>
            <w:r>
              <w:rPr>
                <w:rFonts w:ascii="宋体" w:hAnsi="宋体" w:eastAsia="宋体"/>
                <w:sz w:val="16"/>
              </w:rPr>
              <w:t>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0C6909">
            <w:pPr>
              <w:jc w:val="center"/>
            </w:pPr>
            <w:r>
              <w:rPr>
                <w:rFonts w:ascii="宋体" w:hAnsi="宋体" w:eastAsia="宋体"/>
                <w:sz w:val="16"/>
              </w:rPr>
              <w:t>未完成原因：现阶段项目已实施，资金尚未支出。改进措施：</w:t>
            </w:r>
            <w:r>
              <w:rPr>
                <w:rFonts w:hint="eastAsia" w:ascii="宋体" w:hAnsi="宋体"/>
                <w:sz w:val="16"/>
                <w:lang w:eastAsia="zh-CN"/>
              </w:rPr>
              <w:t>按照</w:t>
            </w:r>
            <w:r>
              <w:rPr>
                <w:rFonts w:ascii="宋体" w:hAnsi="宋体" w:eastAsia="宋体"/>
                <w:sz w:val="16"/>
              </w:rPr>
              <w:t>项目具体实施情况，及时按期支付项目资金。</w:t>
            </w:r>
          </w:p>
        </w:tc>
      </w:tr>
      <w:tr w14:paraId="69EFA1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DCEB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C9CF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B0D6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57235">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4DA3A">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E8C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8328F">
            <w:pPr>
              <w:jc w:val="center"/>
            </w:pPr>
            <w:r>
              <w:rPr>
                <w:rFonts w:ascii="宋体" w:hAnsi="宋体" w:eastAsia="宋体"/>
                <w:sz w:val="16"/>
              </w:rPr>
              <w:t>2023年12月20日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8E9C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4AFC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E56F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ED92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BB79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AA2750">
            <w:pPr>
              <w:jc w:val="center"/>
            </w:pPr>
            <w:r>
              <w:rPr>
                <w:rFonts w:ascii="宋体" w:hAnsi="宋体" w:eastAsia="宋体"/>
                <w:sz w:val="16"/>
              </w:rPr>
              <w:t>未完成原因：现阶段项目已实施，资金尚未支出。改进措施：</w:t>
            </w:r>
            <w:r>
              <w:rPr>
                <w:rFonts w:hint="eastAsia" w:ascii="宋体" w:hAnsi="宋体"/>
                <w:sz w:val="16"/>
                <w:lang w:eastAsia="zh-CN"/>
              </w:rPr>
              <w:t>按照</w:t>
            </w:r>
            <w:r>
              <w:rPr>
                <w:rFonts w:ascii="宋体" w:hAnsi="宋体" w:eastAsia="宋体"/>
                <w:sz w:val="16"/>
              </w:rPr>
              <w:t>项目具体实施情况，及时按期支付项目资金。</w:t>
            </w:r>
          </w:p>
        </w:tc>
      </w:tr>
      <w:tr w14:paraId="477E9C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52317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45A64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CAF6D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6A646">
            <w:pPr>
              <w:jc w:val="center"/>
            </w:pPr>
            <w:r>
              <w:rPr>
                <w:rFonts w:ascii="宋体" w:hAnsi="宋体" w:eastAsia="宋体"/>
                <w:sz w:val="16"/>
              </w:rPr>
              <w:t>展品更新经费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09CE3">
            <w:pPr>
              <w:jc w:val="center"/>
            </w:pPr>
            <w:r>
              <w:rPr>
                <w:rFonts w:ascii="宋体" w:hAnsi="宋体" w:eastAsia="宋体"/>
                <w:sz w:val="16"/>
              </w:rPr>
              <w:t>&lt;=15万元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BEE9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C7B23">
            <w:pPr>
              <w:jc w:val="center"/>
            </w:pPr>
            <w:r>
              <w:rPr>
                <w:rFonts w:ascii="宋体" w:hAnsi="宋体" w:eastAsia="宋体"/>
                <w:sz w:val="16"/>
              </w:rPr>
              <w:t>11.50万元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65F2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4041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4A00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126CD">
            <w:pPr>
              <w:jc w:val="center"/>
            </w:pPr>
            <w:r>
              <w:rPr>
                <w:rFonts w:ascii="宋体" w:hAnsi="宋体" w:eastAsia="宋体"/>
                <w:sz w:val="16"/>
              </w:rPr>
              <w:t>=9.7万元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FE2EA">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565CA5">
            <w:pPr>
              <w:jc w:val="center"/>
            </w:pPr>
          </w:p>
        </w:tc>
      </w:tr>
      <w:tr w14:paraId="73C5D9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32F1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AD72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84E72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15D3A">
            <w:pPr>
              <w:jc w:val="center"/>
            </w:pPr>
            <w:r>
              <w:rPr>
                <w:rFonts w:ascii="宋体" w:hAnsi="宋体" w:eastAsia="宋体"/>
                <w:sz w:val="16"/>
              </w:rPr>
              <w:t>日常运维经费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B321D">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177B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C1CC7">
            <w:pPr>
              <w:jc w:val="center"/>
            </w:pPr>
            <w:r>
              <w:rPr>
                <w:rFonts w:ascii="宋体" w:hAnsi="宋体" w:eastAsia="宋体"/>
                <w:sz w:val="16"/>
              </w:rPr>
              <w:t>4.45万元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B15D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DEE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0C5E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63A4B">
            <w:pPr>
              <w:jc w:val="center"/>
            </w:pPr>
            <w:r>
              <w:rPr>
                <w:rFonts w:ascii="宋体" w:hAnsi="宋体" w:eastAsia="宋体"/>
                <w:sz w:val="16"/>
              </w:rPr>
              <w:t>=2.12万元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96B28">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3D8900">
            <w:pPr>
              <w:jc w:val="center"/>
            </w:pPr>
          </w:p>
        </w:tc>
      </w:tr>
      <w:tr w14:paraId="009899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715B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3C4B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D51F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B4F23">
            <w:pPr>
              <w:jc w:val="center"/>
            </w:pPr>
            <w:r>
              <w:rPr>
                <w:rFonts w:ascii="宋体" w:hAnsi="宋体" w:eastAsia="宋体"/>
                <w:sz w:val="16"/>
              </w:rPr>
              <w:t>科普活动经费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3CDE4">
            <w:pPr>
              <w:jc w:val="center"/>
            </w:pPr>
            <w:r>
              <w:rPr>
                <w:rFonts w:ascii="宋体" w:hAnsi="宋体" w:eastAsia="宋体"/>
                <w:sz w:val="16"/>
              </w:rPr>
              <w:t>&lt;=17万元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C548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C7517">
            <w:pPr>
              <w:jc w:val="center"/>
            </w:pPr>
            <w:r>
              <w:rPr>
                <w:rFonts w:ascii="宋体" w:hAnsi="宋体" w:eastAsia="宋体"/>
                <w:sz w:val="16"/>
              </w:rPr>
              <w:t>5.54万元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9574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654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292A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1ACF8">
            <w:pPr>
              <w:jc w:val="center"/>
            </w:pPr>
            <w:r>
              <w:rPr>
                <w:rFonts w:ascii="宋体" w:hAnsi="宋体" w:eastAsia="宋体"/>
                <w:sz w:val="16"/>
              </w:rPr>
              <w:t>=9.87万元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6FCF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79A04D">
            <w:pPr>
              <w:jc w:val="center"/>
            </w:pPr>
            <w:r>
              <w:rPr>
                <w:rFonts w:ascii="宋体" w:hAnsi="宋体" w:eastAsia="宋体"/>
                <w:sz w:val="16"/>
              </w:rPr>
              <w:t>未完成原因：现阶段项目已实施，资金尚未支出。改进措施：</w:t>
            </w:r>
            <w:r>
              <w:rPr>
                <w:rFonts w:hint="eastAsia" w:ascii="宋体" w:hAnsi="宋体"/>
                <w:sz w:val="16"/>
                <w:lang w:eastAsia="zh-CN"/>
              </w:rPr>
              <w:t>按照</w:t>
            </w:r>
            <w:r>
              <w:rPr>
                <w:rFonts w:ascii="宋体" w:hAnsi="宋体" w:eastAsia="宋体"/>
                <w:sz w:val="16"/>
              </w:rPr>
              <w:t>项目具体实施情况，及时按期支付项目资金。</w:t>
            </w:r>
          </w:p>
        </w:tc>
      </w:tr>
      <w:tr w14:paraId="3231DB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58942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3F437F">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4D33E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4A63C">
            <w:pPr>
              <w:jc w:val="center"/>
            </w:pPr>
            <w:r>
              <w:rPr>
                <w:rFonts w:ascii="宋体" w:hAnsi="宋体" w:eastAsia="宋体"/>
                <w:sz w:val="16"/>
              </w:rPr>
              <w:t>参加科普活动、群众科普知识水平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0523E">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2C8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10308">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F1CB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AAE1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97C7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FEAB8">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4B0E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D258A7">
            <w:pPr>
              <w:jc w:val="center"/>
            </w:pPr>
          </w:p>
        </w:tc>
      </w:tr>
      <w:tr w14:paraId="273910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83E3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D756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A48F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1FE9A">
            <w:pPr>
              <w:jc w:val="center"/>
            </w:pPr>
            <w:r>
              <w:rPr>
                <w:rFonts w:ascii="宋体" w:hAnsi="宋体" w:eastAsia="宋体"/>
                <w:sz w:val="16"/>
              </w:rPr>
              <w:t>年服务观众人次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79065">
            <w:pPr>
              <w:jc w:val="center"/>
            </w:pPr>
            <w:r>
              <w:rPr>
                <w:rFonts w:ascii="宋体" w:hAnsi="宋体" w:eastAsia="宋体"/>
                <w:sz w:val="16"/>
              </w:rPr>
              <w:t>&gt;=8100人次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5BD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3DC56">
            <w:pPr>
              <w:jc w:val="center"/>
            </w:pPr>
            <w:r>
              <w:rPr>
                <w:rFonts w:ascii="宋体" w:hAnsi="宋体" w:eastAsia="宋体"/>
                <w:sz w:val="16"/>
              </w:rPr>
              <w:t>5700人次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C2B2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7916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738D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75736">
            <w:pPr>
              <w:jc w:val="center"/>
            </w:pPr>
            <w:r>
              <w:rPr>
                <w:rFonts w:ascii="宋体" w:hAnsi="宋体" w:eastAsia="宋体"/>
                <w:sz w:val="16"/>
              </w:rPr>
              <w:t>=20000人次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64B1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21B0A8">
            <w:pPr>
              <w:jc w:val="center"/>
            </w:pPr>
            <w:r>
              <w:rPr>
                <w:rFonts w:ascii="宋体" w:hAnsi="宋体" w:eastAsia="宋体"/>
                <w:sz w:val="16"/>
              </w:rPr>
              <w:t>偏差原因：指标实际已完成。偏离主要是年初预期值设置偏低。项目在实际执行过程中超额完成项目预期目标。改进措施：对偏差进行深入分析，充分了解项目的实际需求变化，明确造成实际完成值高于预期的具体原因，以便在未来的项目中更好地把握和预测。</w:t>
            </w:r>
          </w:p>
        </w:tc>
      </w:tr>
      <w:tr w14:paraId="1AD9A6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4D87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7013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91CB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83B9E">
            <w:pPr>
              <w:jc w:val="center"/>
            </w:pPr>
            <w:r>
              <w:rPr>
                <w:rFonts w:ascii="宋体" w:hAnsi="宋体" w:eastAsia="宋体"/>
                <w:sz w:val="16"/>
              </w:rPr>
              <w:t>科普活动受益居民满意度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44776">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A67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F7C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C509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1714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B2ED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EEA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071E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1E85E5">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7A95EA7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59EBD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B827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10BAB1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674E3">
            <w:pPr>
              <w:jc w:val="center"/>
            </w:pPr>
            <w:r>
              <w:rPr>
                <w:rFonts w:ascii="宋体" w:hAnsi="宋体" w:eastAsia="宋体"/>
                <w:sz w:val="16"/>
              </w:rPr>
              <w:t>50.25分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BF99A03"/>
        </w:tc>
      </w:tr>
    </w:tbl>
    <w:p w14:paraId="503AD82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706A0907">
        <w:tblPrEx>
          <w:tblCellMar>
            <w:top w:w="0" w:type="dxa"/>
            <w:left w:w="108" w:type="dxa"/>
            <w:bottom w:w="0" w:type="dxa"/>
            <w:right w:w="108" w:type="dxa"/>
          </w:tblCellMar>
        </w:tblPrEx>
        <w:tc>
          <w:tcPr>
            <w:tcW w:w="8848" w:type="dxa"/>
            <w:gridSpan w:val="14"/>
            <w:vAlign w:val="center"/>
          </w:tcPr>
          <w:p w14:paraId="1A9E54DB">
            <w:pPr>
              <w:jc w:val="center"/>
            </w:pPr>
            <w:r>
              <w:rPr>
                <w:rFonts w:ascii="宋体" w:hAnsi="宋体" w:eastAsia="宋体"/>
                <w:sz w:val="24"/>
              </w:rPr>
              <w:t>项目支出绩效自评表</w:t>
            </w:r>
          </w:p>
        </w:tc>
      </w:tr>
      <w:tr w14:paraId="037A7417">
        <w:tblPrEx>
          <w:tblCellMar>
            <w:top w:w="0" w:type="dxa"/>
            <w:left w:w="108" w:type="dxa"/>
            <w:bottom w:w="0" w:type="dxa"/>
            <w:right w:w="108" w:type="dxa"/>
          </w:tblCellMar>
        </w:tblPrEx>
        <w:tc>
          <w:tcPr>
            <w:tcW w:w="8848" w:type="dxa"/>
            <w:gridSpan w:val="14"/>
            <w:vAlign w:val="center"/>
          </w:tcPr>
          <w:p w14:paraId="6590C774">
            <w:pPr>
              <w:jc w:val="center"/>
            </w:pPr>
            <w:r>
              <w:rPr>
                <w:rFonts w:ascii="宋体" w:hAnsi="宋体" w:eastAsia="宋体"/>
                <w:sz w:val="24"/>
              </w:rPr>
              <w:t>(2024年度)</w:t>
            </w:r>
          </w:p>
        </w:tc>
      </w:tr>
      <w:tr w14:paraId="386B30C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D1F1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D0097B9">
            <w:pPr>
              <w:jc w:val="center"/>
            </w:pPr>
            <w:r>
              <w:rPr>
                <w:rFonts w:ascii="宋体" w:hAnsi="宋体" w:eastAsia="宋体"/>
                <w:sz w:val="16"/>
              </w:rPr>
              <w:t>工作经费项目</w:t>
            </w:r>
          </w:p>
        </w:tc>
      </w:tr>
      <w:tr w14:paraId="2A6C0D9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EBAD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82A8A8">
            <w:pPr>
              <w:jc w:val="center"/>
            </w:pPr>
            <w:r>
              <w:rPr>
                <w:rFonts w:ascii="宋体" w:hAnsi="宋体" w:eastAsia="宋体"/>
                <w:sz w:val="16"/>
              </w:rPr>
              <w:t>岳普湖县科学技术局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9D4E3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58BE9A6">
            <w:pPr>
              <w:jc w:val="center"/>
            </w:pPr>
            <w:r>
              <w:rPr>
                <w:rFonts w:ascii="宋体" w:hAnsi="宋体" w:eastAsia="宋体"/>
                <w:sz w:val="16"/>
              </w:rPr>
              <w:t>岳普湖县科学技术局</w:t>
            </w:r>
          </w:p>
        </w:tc>
      </w:tr>
      <w:tr w14:paraId="0FB2D06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6E3C4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752F9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B7867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6B1E8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EFA3A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9D98B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27C80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9AD98">
            <w:pPr>
              <w:jc w:val="center"/>
            </w:pPr>
            <w:r>
              <w:rPr>
                <w:rFonts w:ascii="宋体" w:hAnsi="宋体" w:eastAsia="宋体"/>
                <w:sz w:val="16"/>
              </w:rPr>
              <w:t>得分</w:t>
            </w:r>
          </w:p>
        </w:tc>
      </w:tr>
      <w:tr w14:paraId="434FBE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18DD3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F2E48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F188A4">
            <w:pPr>
              <w:jc w:val="center"/>
            </w:pPr>
            <w:r>
              <w:rPr>
                <w:rFonts w:ascii="宋体" w:hAnsi="宋体" w:eastAsia="宋体"/>
                <w:sz w:val="16"/>
              </w:rPr>
              <w:t>4.71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E43677">
            <w:pPr>
              <w:jc w:val="center"/>
            </w:pPr>
            <w:r>
              <w:rPr>
                <w:rFonts w:ascii="宋体" w:hAnsi="宋体" w:eastAsia="宋体"/>
                <w:sz w:val="16"/>
              </w:rPr>
              <w:t>4.71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5E06A5">
            <w:pPr>
              <w:jc w:val="center"/>
            </w:pPr>
            <w:r>
              <w:rPr>
                <w:rFonts w:ascii="宋体" w:hAnsi="宋体" w:eastAsia="宋体"/>
                <w:sz w:val="16"/>
              </w:rPr>
              <w:t>4.71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9E12E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E045B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90C07">
            <w:pPr>
              <w:jc w:val="center"/>
            </w:pPr>
            <w:r>
              <w:rPr>
                <w:rFonts w:ascii="宋体" w:hAnsi="宋体" w:eastAsia="宋体"/>
                <w:sz w:val="16"/>
              </w:rPr>
              <w:t>10.00分</w:t>
            </w:r>
          </w:p>
        </w:tc>
      </w:tr>
      <w:tr w14:paraId="598A8F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D31BE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CAF87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B16B8E">
            <w:pPr>
              <w:jc w:val="center"/>
            </w:pPr>
            <w:r>
              <w:rPr>
                <w:rFonts w:ascii="宋体" w:hAnsi="宋体" w:eastAsia="宋体"/>
                <w:sz w:val="16"/>
              </w:rPr>
              <w:t>4.71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5C68B4">
            <w:pPr>
              <w:jc w:val="center"/>
            </w:pPr>
            <w:r>
              <w:rPr>
                <w:rFonts w:ascii="宋体" w:hAnsi="宋体" w:eastAsia="宋体"/>
                <w:sz w:val="16"/>
              </w:rPr>
              <w:t>4.71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612A45">
            <w:pPr>
              <w:jc w:val="center"/>
            </w:pPr>
            <w:r>
              <w:rPr>
                <w:rFonts w:ascii="宋体" w:hAnsi="宋体" w:eastAsia="宋体"/>
                <w:sz w:val="16"/>
              </w:rPr>
              <w:t>4.71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4C0D4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6F9A22">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D22E0">
            <w:pPr>
              <w:jc w:val="center"/>
            </w:pPr>
            <w:r>
              <w:rPr>
                <w:rFonts w:ascii="宋体" w:hAnsi="宋体" w:eastAsia="宋体"/>
                <w:sz w:val="16"/>
              </w:rPr>
              <w:t>—</w:t>
            </w:r>
          </w:p>
        </w:tc>
      </w:tr>
      <w:tr w14:paraId="43264B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45453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B6485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29C51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24964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410C3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1F418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A56080">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ECDEA">
            <w:pPr>
              <w:jc w:val="center"/>
            </w:pPr>
            <w:r>
              <w:rPr>
                <w:rFonts w:ascii="宋体" w:hAnsi="宋体" w:eastAsia="宋体"/>
                <w:sz w:val="16"/>
              </w:rPr>
              <w:t>—</w:t>
            </w:r>
          </w:p>
        </w:tc>
      </w:tr>
      <w:tr w14:paraId="4655171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0750A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A8E4E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9F702AB">
            <w:pPr>
              <w:jc w:val="center"/>
            </w:pPr>
            <w:r>
              <w:rPr>
                <w:rFonts w:ascii="宋体" w:hAnsi="宋体" w:eastAsia="宋体"/>
                <w:sz w:val="16"/>
              </w:rPr>
              <w:t>实际完成情况</w:t>
            </w:r>
          </w:p>
        </w:tc>
      </w:tr>
      <w:tr w14:paraId="362F58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61377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726A69">
            <w:pPr>
              <w:jc w:val="both"/>
            </w:pPr>
            <w:r>
              <w:rPr>
                <w:rFonts w:ascii="宋体" w:hAnsi="宋体" w:eastAsia="宋体"/>
                <w:sz w:val="16"/>
              </w:rPr>
              <w:t>为单位的1个工作经费提供保障，通过项目的实施保障单位日常工作正常开展。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1EA1803">
            <w:pPr>
              <w:jc w:val="both"/>
            </w:pPr>
            <w:r>
              <w:rPr>
                <w:rFonts w:ascii="宋体" w:hAnsi="宋体" w:eastAsia="宋体"/>
                <w:sz w:val="16"/>
              </w:rPr>
              <w:t>现阶段为1个单位的工作经费提供保障，预算执行率为100%。通过项目的实施保障单位日常工作正常开展。</w:t>
            </w:r>
          </w:p>
        </w:tc>
      </w:tr>
      <w:tr w14:paraId="0F5AC19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285F7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17FF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B22B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87F6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9F56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F3E4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9B2E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1F88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95D8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CE3D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4833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97BA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2197AF">
            <w:pPr>
              <w:jc w:val="center"/>
            </w:pPr>
            <w:r>
              <w:rPr>
                <w:rFonts w:ascii="宋体" w:hAnsi="宋体" w:eastAsia="宋体"/>
                <w:sz w:val="16"/>
              </w:rPr>
              <w:t>偏差原因分析及改进措施</w:t>
            </w:r>
          </w:p>
        </w:tc>
      </w:tr>
      <w:tr w14:paraId="660D708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63F78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A8316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615D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6E051">
            <w:pPr>
              <w:jc w:val="center"/>
            </w:pPr>
            <w:r>
              <w:rPr>
                <w:rFonts w:ascii="宋体" w:hAnsi="宋体" w:eastAsia="宋体"/>
                <w:sz w:val="16"/>
              </w:rPr>
              <w:t>经费保障单位数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020BA">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3CCA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C6A6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BE54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10C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6E65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5E6B9">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C675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37A1E0">
            <w:pPr>
              <w:jc w:val="center"/>
            </w:pPr>
          </w:p>
        </w:tc>
      </w:tr>
      <w:tr w14:paraId="27B131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FAC8A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57243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87506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B4FDB">
            <w:pPr>
              <w:jc w:val="center"/>
            </w:pPr>
            <w:r>
              <w:rPr>
                <w:rFonts w:ascii="宋体" w:hAnsi="宋体" w:eastAsia="宋体"/>
                <w:sz w:val="16"/>
              </w:rPr>
              <w:t>经费保障率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A43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483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3723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531E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02B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EF93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37D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7F78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063D90">
            <w:pPr>
              <w:jc w:val="center"/>
            </w:pPr>
          </w:p>
        </w:tc>
      </w:tr>
      <w:tr w14:paraId="712493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9413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6EFE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165F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53748">
            <w:pPr>
              <w:jc w:val="center"/>
            </w:pPr>
            <w:r>
              <w:rPr>
                <w:rFonts w:ascii="宋体" w:hAnsi="宋体" w:eastAsia="宋体"/>
                <w:sz w:val="16"/>
              </w:rPr>
              <w:t>经费使用合规率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46E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41E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7B36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3190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0EF6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1734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98F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F85F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F1A827">
            <w:pPr>
              <w:jc w:val="center"/>
            </w:pPr>
          </w:p>
        </w:tc>
      </w:tr>
      <w:tr w14:paraId="28068C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37A3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E10E1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0A946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12830">
            <w:pPr>
              <w:jc w:val="center"/>
            </w:pPr>
            <w:r>
              <w:rPr>
                <w:rFonts w:ascii="宋体" w:hAnsi="宋体" w:eastAsia="宋体"/>
                <w:sz w:val="16"/>
              </w:rPr>
              <w:t>经费支付及时率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A3A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135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7CD4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1FA6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046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D2DA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28A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CF77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C737B4">
            <w:pPr>
              <w:jc w:val="center"/>
            </w:pPr>
          </w:p>
        </w:tc>
      </w:tr>
      <w:tr w14:paraId="7860D5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6CE3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6B0B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380F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A6EBA">
            <w:pPr>
              <w:jc w:val="center"/>
            </w:pPr>
            <w:r>
              <w:rPr>
                <w:rFonts w:ascii="宋体" w:hAnsi="宋体" w:eastAsia="宋体"/>
                <w:sz w:val="16"/>
              </w:rPr>
              <w:t>经费支付完成时间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BCEEF">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3974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F589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DA20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6CDE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9851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D1292">
            <w:pPr>
              <w:jc w:val="center"/>
            </w:pPr>
            <w:r>
              <w:rPr>
                <w:rFonts w:ascii="宋体" w:hAnsi="宋体" w:eastAsia="宋体"/>
                <w:sz w:val="16"/>
              </w:rPr>
              <w:t>=2024年11月28日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007A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AA3743">
            <w:pPr>
              <w:jc w:val="center"/>
            </w:pPr>
          </w:p>
        </w:tc>
      </w:tr>
      <w:tr w14:paraId="205BA8D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4303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52D1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CBA5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20D20">
            <w:pPr>
              <w:jc w:val="center"/>
            </w:pPr>
            <w:r>
              <w:rPr>
                <w:rFonts w:ascii="宋体" w:hAnsi="宋体" w:eastAsia="宋体"/>
                <w:sz w:val="16"/>
              </w:rPr>
              <w:t>经费保障预算控制数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D1141">
            <w:pPr>
              <w:jc w:val="center"/>
            </w:pPr>
            <w:r>
              <w:rPr>
                <w:rFonts w:ascii="宋体" w:hAnsi="宋体" w:eastAsia="宋体"/>
                <w:sz w:val="16"/>
              </w:rPr>
              <w:t>&lt;=4.71万元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262F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CE3D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0311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F36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2F5D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ABEE1">
            <w:pPr>
              <w:jc w:val="center"/>
            </w:pPr>
            <w:r>
              <w:rPr>
                <w:rFonts w:ascii="宋体" w:hAnsi="宋体" w:eastAsia="宋体"/>
                <w:sz w:val="16"/>
              </w:rPr>
              <w:t>=4.71万元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335D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49FBE7">
            <w:pPr>
              <w:jc w:val="center"/>
            </w:pPr>
          </w:p>
        </w:tc>
      </w:tr>
      <w:tr w14:paraId="6DA307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2511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D4E7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3E9C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F0385">
            <w:pPr>
              <w:jc w:val="center"/>
            </w:pPr>
            <w:r>
              <w:rPr>
                <w:rFonts w:ascii="宋体" w:hAnsi="宋体" w:eastAsia="宋体"/>
                <w:sz w:val="16"/>
              </w:rPr>
              <w:t>保障单位日常工作正常开展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CB3A3">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29B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AA9C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E43F0">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D0CF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4A0C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ADC8A">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E2B12">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4E5EB7">
            <w:pPr>
              <w:jc w:val="center"/>
            </w:pPr>
          </w:p>
        </w:tc>
      </w:tr>
      <w:tr w14:paraId="2B9BE62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F120F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4BED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5A5DA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B52F5">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2CBC7B9"/>
        </w:tc>
      </w:tr>
    </w:tbl>
    <w:p w14:paraId="28E71CB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6A428B13">
        <w:tblPrEx>
          <w:tblCellMar>
            <w:top w:w="0" w:type="dxa"/>
            <w:left w:w="108" w:type="dxa"/>
            <w:bottom w:w="0" w:type="dxa"/>
            <w:right w:w="108" w:type="dxa"/>
          </w:tblCellMar>
        </w:tblPrEx>
        <w:tc>
          <w:tcPr>
            <w:tcW w:w="8848" w:type="dxa"/>
            <w:gridSpan w:val="14"/>
            <w:vAlign w:val="center"/>
          </w:tcPr>
          <w:p w14:paraId="72D3C870">
            <w:pPr>
              <w:jc w:val="center"/>
            </w:pPr>
            <w:r>
              <w:rPr>
                <w:rFonts w:ascii="宋体" w:hAnsi="宋体" w:eastAsia="宋体"/>
                <w:sz w:val="24"/>
              </w:rPr>
              <w:t>项目支出绩效自评表</w:t>
            </w:r>
          </w:p>
        </w:tc>
      </w:tr>
      <w:tr w14:paraId="39A35DD2">
        <w:tblPrEx>
          <w:tblCellMar>
            <w:top w:w="0" w:type="dxa"/>
            <w:left w:w="108" w:type="dxa"/>
            <w:bottom w:w="0" w:type="dxa"/>
            <w:right w:w="108" w:type="dxa"/>
          </w:tblCellMar>
        </w:tblPrEx>
        <w:tc>
          <w:tcPr>
            <w:tcW w:w="8848" w:type="dxa"/>
            <w:gridSpan w:val="14"/>
            <w:vAlign w:val="center"/>
          </w:tcPr>
          <w:p w14:paraId="098081B6">
            <w:pPr>
              <w:jc w:val="center"/>
            </w:pPr>
            <w:r>
              <w:rPr>
                <w:rFonts w:ascii="宋体" w:hAnsi="宋体" w:eastAsia="宋体"/>
                <w:sz w:val="24"/>
              </w:rPr>
              <w:t>(2024年度)</w:t>
            </w:r>
          </w:p>
        </w:tc>
      </w:tr>
      <w:tr w14:paraId="43F8B4D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3407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014CFD1">
            <w:pPr>
              <w:jc w:val="center"/>
            </w:pPr>
            <w:r>
              <w:rPr>
                <w:rFonts w:ascii="宋体" w:hAnsi="宋体" w:eastAsia="宋体"/>
                <w:sz w:val="16"/>
              </w:rPr>
              <w:t>清偿尾款项目</w:t>
            </w:r>
          </w:p>
        </w:tc>
      </w:tr>
      <w:tr w14:paraId="295571B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F731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98E975">
            <w:pPr>
              <w:jc w:val="center"/>
            </w:pPr>
            <w:r>
              <w:rPr>
                <w:rFonts w:ascii="宋体" w:hAnsi="宋体" w:eastAsia="宋体"/>
                <w:sz w:val="16"/>
              </w:rPr>
              <w:t>岳普湖县科学技术局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69FA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747726D">
            <w:pPr>
              <w:jc w:val="center"/>
            </w:pPr>
            <w:r>
              <w:rPr>
                <w:rFonts w:ascii="宋体" w:hAnsi="宋体" w:eastAsia="宋体"/>
                <w:sz w:val="16"/>
              </w:rPr>
              <w:t>岳普湖县科学技术局</w:t>
            </w:r>
          </w:p>
        </w:tc>
      </w:tr>
      <w:tr w14:paraId="440FC74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7231D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84AAD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8F178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8EC63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92004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36AAF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7BA65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38FA9">
            <w:pPr>
              <w:jc w:val="center"/>
            </w:pPr>
            <w:r>
              <w:rPr>
                <w:rFonts w:ascii="宋体" w:hAnsi="宋体" w:eastAsia="宋体"/>
                <w:sz w:val="16"/>
              </w:rPr>
              <w:t>得分</w:t>
            </w:r>
          </w:p>
        </w:tc>
      </w:tr>
      <w:tr w14:paraId="343B4C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72DE8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B968B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00277F">
            <w:pPr>
              <w:jc w:val="center"/>
            </w:pPr>
            <w:r>
              <w:rPr>
                <w:rFonts w:ascii="宋体" w:hAnsi="宋体" w:eastAsia="宋体"/>
                <w:sz w:val="16"/>
              </w:rPr>
              <w:t>3.38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64C33D">
            <w:pPr>
              <w:jc w:val="center"/>
            </w:pPr>
            <w:r>
              <w:rPr>
                <w:rFonts w:ascii="宋体" w:hAnsi="宋体" w:eastAsia="宋体"/>
                <w:sz w:val="16"/>
              </w:rPr>
              <w:t>3.38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68DABD">
            <w:pPr>
              <w:jc w:val="center"/>
            </w:pPr>
            <w:r>
              <w:rPr>
                <w:rFonts w:ascii="宋体" w:hAnsi="宋体" w:eastAsia="宋体"/>
                <w:sz w:val="16"/>
              </w:rPr>
              <w:t>3.38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B27CB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AF01E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49624">
            <w:pPr>
              <w:jc w:val="center"/>
            </w:pPr>
            <w:r>
              <w:rPr>
                <w:rFonts w:ascii="宋体" w:hAnsi="宋体" w:eastAsia="宋体"/>
                <w:sz w:val="16"/>
              </w:rPr>
              <w:t>10.00分</w:t>
            </w:r>
          </w:p>
        </w:tc>
      </w:tr>
      <w:tr w14:paraId="2FDDCD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E0BED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8ED91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CCB07C">
            <w:pPr>
              <w:jc w:val="center"/>
            </w:pPr>
            <w:r>
              <w:rPr>
                <w:rFonts w:ascii="宋体" w:hAnsi="宋体" w:eastAsia="宋体"/>
                <w:sz w:val="16"/>
              </w:rPr>
              <w:t>3.38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F3F7E3">
            <w:pPr>
              <w:jc w:val="center"/>
            </w:pPr>
            <w:r>
              <w:rPr>
                <w:rFonts w:ascii="宋体" w:hAnsi="宋体" w:eastAsia="宋体"/>
                <w:sz w:val="16"/>
              </w:rPr>
              <w:t>3.38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FFC0BF">
            <w:pPr>
              <w:jc w:val="center"/>
            </w:pPr>
            <w:r>
              <w:rPr>
                <w:rFonts w:ascii="宋体" w:hAnsi="宋体" w:eastAsia="宋体"/>
                <w:sz w:val="16"/>
              </w:rPr>
              <w:t>3.38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52CBB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DCB6EA">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E3670">
            <w:pPr>
              <w:jc w:val="center"/>
            </w:pPr>
            <w:r>
              <w:rPr>
                <w:rFonts w:ascii="宋体" w:hAnsi="宋体" w:eastAsia="宋体"/>
                <w:sz w:val="16"/>
              </w:rPr>
              <w:t>—</w:t>
            </w:r>
          </w:p>
        </w:tc>
      </w:tr>
      <w:tr w14:paraId="5DF6A2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F8E3A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D3CCF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058B8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A0C55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17C50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B8047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6AF8FA">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BD48A">
            <w:pPr>
              <w:jc w:val="center"/>
            </w:pPr>
            <w:r>
              <w:rPr>
                <w:rFonts w:ascii="宋体" w:hAnsi="宋体" w:eastAsia="宋体"/>
                <w:sz w:val="16"/>
              </w:rPr>
              <w:t>—</w:t>
            </w:r>
          </w:p>
        </w:tc>
      </w:tr>
      <w:tr w14:paraId="43BE798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79793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541E5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82ED720">
            <w:pPr>
              <w:jc w:val="center"/>
            </w:pPr>
            <w:r>
              <w:rPr>
                <w:rFonts w:ascii="宋体" w:hAnsi="宋体" w:eastAsia="宋体"/>
                <w:sz w:val="16"/>
              </w:rPr>
              <w:t>实际完成情况</w:t>
            </w:r>
          </w:p>
        </w:tc>
      </w:tr>
      <w:tr w14:paraId="40815D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4ACDD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0ABFF6">
            <w:pPr>
              <w:jc w:val="both"/>
            </w:pPr>
            <w:r>
              <w:rPr>
                <w:rFonts w:ascii="宋体" w:hAnsi="宋体" w:eastAsia="宋体"/>
                <w:sz w:val="16"/>
              </w:rPr>
              <w:t>项目主要用于清偿1个项目的尾款，确保项目款项按期及时支付，提高政府部门的履约和服务能力，增强政府公信力。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5E06616">
            <w:pPr>
              <w:jc w:val="both"/>
            </w:pPr>
            <w:r>
              <w:rPr>
                <w:rFonts w:ascii="宋体" w:hAnsi="宋体" w:eastAsia="宋体"/>
                <w:sz w:val="16"/>
              </w:rPr>
              <w:t>现阶段已清偿1个项目的尾款，确保项目款项按期及时支付，预算执行率为100%。项目的实施提高政府部门的履约和服务能力，增强政府公信力。</w:t>
            </w:r>
          </w:p>
        </w:tc>
      </w:tr>
      <w:tr w14:paraId="6DD77B5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1467F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DCEB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88BB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6565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564C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1C31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AFE4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D947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1A9D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EA41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CE4C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EA9D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D55670">
            <w:pPr>
              <w:jc w:val="center"/>
            </w:pPr>
            <w:r>
              <w:rPr>
                <w:rFonts w:ascii="宋体" w:hAnsi="宋体" w:eastAsia="宋体"/>
                <w:sz w:val="16"/>
              </w:rPr>
              <w:t>偏差原因分析及改进措施</w:t>
            </w:r>
          </w:p>
        </w:tc>
      </w:tr>
      <w:tr w14:paraId="2EA8CCF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4ED5A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8326C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2DE0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E099B">
            <w:pPr>
              <w:jc w:val="center"/>
            </w:pPr>
            <w:r>
              <w:rPr>
                <w:rFonts w:ascii="宋体" w:hAnsi="宋体" w:eastAsia="宋体"/>
                <w:sz w:val="16"/>
              </w:rPr>
              <w:t>清偿尾款项目数量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18CEF">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F10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2F54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0491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AD54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951D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C544F">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FA96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87738F">
            <w:pPr>
              <w:jc w:val="center"/>
            </w:pPr>
          </w:p>
        </w:tc>
      </w:tr>
      <w:tr w14:paraId="000197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4684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C5913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6C2B3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FD54F">
            <w:pPr>
              <w:jc w:val="center"/>
            </w:pPr>
            <w:r>
              <w:rPr>
                <w:rFonts w:ascii="宋体" w:hAnsi="宋体" w:eastAsia="宋体"/>
                <w:sz w:val="16"/>
              </w:rPr>
              <w:t>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5EC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F4C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6412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72A7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C6C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3CE0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A28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27E9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604202">
            <w:pPr>
              <w:jc w:val="center"/>
            </w:pPr>
          </w:p>
        </w:tc>
      </w:tr>
      <w:tr w14:paraId="35C072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29BF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F772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5C95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956FB">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A23E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C1C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07BA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9DB3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A0AA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EA66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48C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812B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EA7AED">
            <w:pPr>
              <w:jc w:val="center"/>
            </w:pPr>
          </w:p>
        </w:tc>
      </w:tr>
      <w:tr w14:paraId="5BCD1E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9FB5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90177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6035D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52A2E">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F51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4AB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085B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01D1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FBD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EA49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36B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34BA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651DDE">
            <w:pPr>
              <w:jc w:val="center"/>
            </w:pPr>
          </w:p>
        </w:tc>
      </w:tr>
      <w:tr w14:paraId="5F6CC8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515E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42E8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D3C3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364B3">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106AD">
            <w:pPr>
              <w:jc w:val="center"/>
            </w:pPr>
            <w:r>
              <w:rPr>
                <w:rFonts w:ascii="宋体" w:hAnsi="宋体" w:eastAsia="宋体"/>
                <w:sz w:val="16"/>
              </w:rPr>
              <w:t>=2024年5月25日前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C77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9588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6EFE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3A9E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EE77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F4D79">
            <w:pPr>
              <w:jc w:val="center"/>
            </w:pPr>
            <w:r>
              <w:rPr>
                <w:rFonts w:ascii="宋体" w:hAnsi="宋体" w:eastAsia="宋体"/>
                <w:sz w:val="16"/>
              </w:rPr>
              <w:t>=2024年4月19日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D95F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83273D">
            <w:pPr>
              <w:jc w:val="center"/>
            </w:pPr>
          </w:p>
        </w:tc>
      </w:tr>
      <w:tr w14:paraId="6A9C49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6F62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E932E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0BD0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BF144">
            <w:pPr>
              <w:jc w:val="center"/>
            </w:pPr>
            <w:r>
              <w:rPr>
                <w:rFonts w:ascii="宋体" w:hAnsi="宋体" w:eastAsia="宋体"/>
                <w:sz w:val="16"/>
              </w:rPr>
              <w:t>资金支出预算控制数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A8665">
            <w:pPr>
              <w:jc w:val="center"/>
            </w:pPr>
            <w:r>
              <w:rPr>
                <w:rFonts w:ascii="宋体" w:hAnsi="宋体" w:eastAsia="宋体"/>
                <w:sz w:val="16"/>
              </w:rPr>
              <w:t>&lt;=3.38万元/个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D029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B99A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F469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42A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5022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DF2F6">
            <w:pPr>
              <w:jc w:val="center"/>
            </w:pPr>
            <w:r>
              <w:rPr>
                <w:rFonts w:ascii="宋体" w:hAnsi="宋体" w:eastAsia="宋体"/>
                <w:sz w:val="16"/>
              </w:rPr>
              <w:t>=3.38万元/个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82A5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14F637">
            <w:pPr>
              <w:jc w:val="center"/>
            </w:pPr>
          </w:p>
        </w:tc>
      </w:tr>
      <w:tr w14:paraId="611E0C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88F5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A3BB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5993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97D71">
            <w:pPr>
              <w:jc w:val="center"/>
            </w:pPr>
            <w:r>
              <w:rPr>
                <w:rFonts w:ascii="宋体" w:hAnsi="宋体" w:eastAsia="宋体"/>
                <w:sz w:val="16"/>
              </w:rPr>
              <w:t>提高政府部门的履约和服务能力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0C6AE">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D56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545E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258CC">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105E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7BDC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E62C2">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50C70">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62800C">
            <w:pPr>
              <w:jc w:val="center"/>
            </w:pPr>
          </w:p>
        </w:tc>
      </w:tr>
      <w:tr w14:paraId="21DF264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669AE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1467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9ACBD9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E8A18">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5FC6FD2"/>
        </w:tc>
      </w:tr>
    </w:tbl>
    <w:p w14:paraId="3857C4BE">
      <w:r>
        <w:br w:type="page"/>
      </w:r>
    </w:p>
    <w:p w14:paraId="152B25BC">
      <w:pPr>
        <w:spacing w:line="640" w:lineRule="exact"/>
        <w:ind w:firstLine="640"/>
        <w:jc w:val="both"/>
        <w:outlineLvl w:val="2"/>
      </w:pPr>
      <w:r>
        <w:rPr>
          <w:rFonts w:ascii="黑体" w:hAnsi="黑体" w:eastAsia="黑体"/>
          <w:sz w:val="32"/>
        </w:rPr>
        <w:t>十二、其他需说明的事项</w:t>
      </w:r>
    </w:p>
    <w:p w14:paraId="292D59E1">
      <w:pPr>
        <w:spacing w:line="580" w:lineRule="exact"/>
        <w:ind w:firstLine="640"/>
        <w:jc w:val="both"/>
      </w:pPr>
      <w:r>
        <w:rPr>
          <w:rFonts w:ascii="仿宋_GB2312" w:hAnsi="仿宋_GB2312" w:eastAsia="仿宋_GB2312"/>
          <w:b w:val="0"/>
          <w:sz w:val="32"/>
        </w:rPr>
        <w:t>本单位无其他需说明的事项。</w:t>
      </w:r>
    </w:p>
    <w:p w14:paraId="67E03337">
      <w:r>
        <w:br w:type="page"/>
      </w:r>
    </w:p>
    <w:p w14:paraId="7DD8B979">
      <w:pPr>
        <w:spacing w:line="240" w:lineRule="auto"/>
        <w:jc w:val="center"/>
        <w:outlineLvl w:val="1"/>
      </w:pPr>
      <w:r>
        <w:rPr>
          <w:rFonts w:ascii="黑体" w:hAnsi="黑体" w:eastAsia="黑体"/>
          <w:sz w:val="32"/>
        </w:rPr>
        <w:t>第三部分 专业名词解释</w:t>
      </w:r>
    </w:p>
    <w:p w14:paraId="147821B7">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C448F4D">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08CF9DE">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70CE8F1E">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DE579D4">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3A74D16">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D89C1C8">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8DC37B5">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4714F0B">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3AC8308">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1802973">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BB80D79">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0B4BE8E">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6F9BC7C">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C75D1BC">
      <w:r>
        <w:br w:type="page"/>
      </w:r>
    </w:p>
    <w:p w14:paraId="1C29F9CF">
      <w:pPr>
        <w:spacing w:line="240" w:lineRule="auto"/>
        <w:jc w:val="center"/>
        <w:outlineLvl w:val="1"/>
      </w:pPr>
      <w:r>
        <w:rPr>
          <w:rFonts w:ascii="黑体" w:hAnsi="黑体" w:eastAsia="黑体"/>
          <w:sz w:val="32"/>
        </w:rPr>
        <w:t>第四部分 部门决算报表（见附表）</w:t>
      </w:r>
    </w:p>
    <w:p w14:paraId="780CAAD9">
      <w:pPr>
        <w:spacing w:line="240" w:lineRule="auto"/>
        <w:ind w:firstLine="640"/>
        <w:jc w:val="both"/>
      </w:pPr>
      <w:r>
        <w:rPr>
          <w:rFonts w:ascii="仿宋_GB2312" w:hAnsi="仿宋_GB2312" w:eastAsia="仿宋_GB2312"/>
          <w:b w:val="0"/>
          <w:sz w:val="32"/>
        </w:rPr>
        <w:t>一、《收入支出决算总表》</w:t>
      </w:r>
    </w:p>
    <w:p w14:paraId="0F5783F8">
      <w:pPr>
        <w:spacing w:line="240" w:lineRule="auto"/>
        <w:ind w:firstLine="640"/>
        <w:jc w:val="both"/>
      </w:pPr>
      <w:r>
        <w:rPr>
          <w:rFonts w:ascii="仿宋_GB2312" w:hAnsi="仿宋_GB2312" w:eastAsia="仿宋_GB2312"/>
          <w:b w:val="0"/>
          <w:sz w:val="32"/>
        </w:rPr>
        <w:t>二、《收入决算表》</w:t>
      </w:r>
    </w:p>
    <w:p w14:paraId="4E1AD753">
      <w:pPr>
        <w:spacing w:line="240" w:lineRule="auto"/>
        <w:ind w:firstLine="640"/>
        <w:jc w:val="both"/>
      </w:pPr>
      <w:r>
        <w:rPr>
          <w:rFonts w:ascii="仿宋_GB2312" w:hAnsi="仿宋_GB2312" w:eastAsia="仿宋_GB2312"/>
          <w:b w:val="0"/>
          <w:sz w:val="32"/>
        </w:rPr>
        <w:t>三、《支出决算表》</w:t>
      </w:r>
    </w:p>
    <w:p w14:paraId="41F2D0FE">
      <w:pPr>
        <w:spacing w:line="240" w:lineRule="auto"/>
        <w:ind w:firstLine="640"/>
        <w:jc w:val="both"/>
      </w:pPr>
      <w:r>
        <w:rPr>
          <w:rFonts w:ascii="仿宋_GB2312" w:hAnsi="仿宋_GB2312" w:eastAsia="仿宋_GB2312"/>
          <w:b w:val="0"/>
          <w:sz w:val="32"/>
        </w:rPr>
        <w:t>四、《财政拨款收入支出决算总表》</w:t>
      </w:r>
    </w:p>
    <w:p w14:paraId="424AEE68">
      <w:pPr>
        <w:spacing w:line="240" w:lineRule="auto"/>
        <w:ind w:firstLine="640"/>
        <w:jc w:val="both"/>
      </w:pPr>
      <w:r>
        <w:rPr>
          <w:rFonts w:ascii="仿宋_GB2312" w:hAnsi="仿宋_GB2312" w:eastAsia="仿宋_GB2312"/>
          <w:b w:val="0"/>
          <w:sz w:val="32"/>
        </w:rPr>
        <w:t>五、《一般公共预算财政拨款支出决算表》</w:t>
      </w:r>
    </w:p>
    <w:p w14:paraId="54FA94CE">
      <w:pPr>
        <w:spacing w:line="240" w:lineRule="auto"/>
        <w:ind w:firstLine="640"/>
        <w:jc w:val="both"/>
      </w:pPr>
      <w:r>
        <w:rPr>
          <w:rFonts w:ascii="仿宋_GB2312" w:hAnsi="仿宋_GB2312" w:eastAsia="仿宋_GB2312"/>
          <w:b w:val="0"/>
          <w:sz w:val="32"/>
        </w:rPr>
        <w:t>六、《一般公共预算财政拨款基本支出决算表》</w:t>
      </w:r>
    </w:p>
    <w:p w14:paraId="6AA22208">
      <w:pPr>
        <w:spacing w:line="240" w:lineRule="auto"/>
        <w:ind w:firstLine="640"/>
        <w:jc w:val="both"/>
      </w:pPr>
      <w:r>
        <w:rPr>
          <w:rFonts w:ascii="仿宋_GB2312" w:hAnsi="仿宋_GB2312" w:eastAsia="仿宋_GB2312"/>
          <w:b w:val="0"/>
          <w:sz w:val="32"/>
        </w:rPr>
        <w:t>七、《政府性基金预算财政拨款收入支出决算表》</w:t>
      </w:r>
    </w:p>
    <w:p w14:paraId="6A203645">
      <w:pPr>
        <w:spacing w:line="240" w:lineRule="auto"/>
        <w:ind w:firstLine="640"/>
        <w:jc w:val="both"/>
      </w:pPr>
      <w:r>
        <w:rPr>
          <w:rFonts w:ascii="仿宋_GB2312" w:hAnsi="仿宋_GB2312" w:eastAsia="仿宋_GB2312"/>
          <w:b w:val="0"/>
          <w:sz w:val="32"/>
        </w:rPr>
        <w:t>八、《国有资本经营预算财政拨款收入支出决算表》</w:t>
      </w:r>
    </w:p>
    <w:p w14:paraId="545CB061">
      <w:pPr>
        <w:spacing w:line="240" w:lineRule="auto"/>
        <w:ind w:firstLine="640"/>
        <w:jc w:val="both"/>
      </w:pPr>
      <w:r>
        <w:rPr>
          <w:rFonts w:ascii="仿宋_GB2312" w:hAnsi="仿宋_GB2312" w:eastAsia="仿宋_GB2312"/>
          <w:b w:val="0"/>
          <w:sz w:val="32"/>
        </w:rPr>
        <w:t>九、《财政拨款“三公”经费支出决算表》</w:t>
      </w:r>
    </w:p>
    <w:p w14:paraId="6DA0B159">
      <w:pPr>
        <w:spacing w:line="240" w:lineRule="auto"/>
        <w:ind w:firstLine="640"/>
        <w:jc w:val="both"/>
      </w:pPr>
    </w:p>
    <w:p w14:paraId="3AA15315">
      <w:pPr>
        <w:spacing w:line="240" w:lineRule="auto"/>
        <w:ind w:firstLine="640"/>
        <w:jc w:val="both"/>
      </w:pPr>
    </w:p>
    <w:p w14:paraId="5BE4EB42">
      <w:pPr>
        <w:spacing w:line="240" w:lineRule="auto"/>
        <w:ind w:firstLine="640"/>
        <w:jc w:val="both"/>
      </w:pPr>
    </w:p>
    <w:p w14:paraId="00355C41">
      <w:pPr>
        <w:spacing w:line="240" w:lineRule="auto"/>
        <w:ind w:firstLine="640"/>
        <w:jc w:val="both"/>
      </w:pPr>
    </w:p>
    <w:p w14:paraId="55CD4C1E">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015C1E"/>
    <w:rsid w:val="0C3613A3"/>
    <w:rsid w:val="0C7227A7"/>
    <w:rsid w:val="0DCA6EF7"/>
    <w:rsid w:val="0E4B1576"/>
    <w:rsid w:val="0EA04331"/>
    <w:rsid w:val="0F9811B3"/>
    <w:rsid w:val="11E15093"/>
    <w:rsid w:val="120E0809"/>
    <w:rsid w:val="13306C4A"/>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3FBA5A36"/>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43</Pages>
  <Words>4399</Words>
  <Characters>4972</Characters>
  <Lines>0</Lines>
  <Paragraphs>0</Paragraphs>
  <TotalTime>18</TotalTime>
  <ScaleCrop>false</ScaleCrop>
  <LinksUpToDate>false</LinksUpToDate>
  <CharactersWithSpaces>4980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2025-09-15T02:22:26Z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