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岳普湖县第三中学2024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B686B8C">
      <w:r>
        <w:br w:type="page"/>
      </w:r>
    </w:p>
    <w:p w14:paraId="18C0460E">
      <w:pPr>
        <w:spacing w:line="640" w:lineRule="exact"/>
        <w:jc w:val="center"/>
        <w:outlineLvl w:val="1"/>
      </w:pPr>
      <w:r>
        <w:rPr>
          <w:rFonts w:ascii="黑体" w:hAnsi="黑体" w:eastAsia="黑体"/>
          <w:sz w:val="32"/>
        </w:rPr>
        <w:t>第一部分 单位概况</w:t>
      </w:r>
    </w:p>
    <w:p w14:paraId="59AE0F0D">
      <w:pPr>
        <w:spacing w:line="640" w:lineRule="exact"/>
        <w:ind w:firstLine="640"/>
        <w:jc w:val="both"/>
        <w:outlineLvl w:val="2"/>
      </w:pPr>
      <w:r>
        <w:rPr>
          <w:rFonts w:ascii="黑体" w:hAnsi="黑体" w:eastAsia="黑体"/>
          <w:sz w:val="32"/>
        </w:rPr>
        <w:t>一、主要职能</w:t>
      </w:r>
    </w:p>
    <w:p w14:paraId="4D5722C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根据党的路线、方针、政策和县委的指示、决议，结合本县实际，牢固树立为经济建设中心服务的指导思想，制定政协年度工作要点，经县委审批后，认真贯彻预算。</w:t>
      </w:r>
    </w:p>
    <w:p w14:paraId="302D260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根据新疆维吾尔自治区喀什地区岳普湖县第三</w:t>
      </w:r>
      <w:r>
        <w:rPr>
          <w:rFonts w:hint="eastAsia" w:ascii="仿宋_GB2312" w:hAnsi="仿宋_GB2312" w:eastAsia="仿宋_GB2312"/>
          <w:sz w:val="32"/>
          <w:lang w:eastAsia="zh-CN"/>
        </w:rPr>
        <w:t>中学</w:t>
      </w:r>
      <w:r>
        <w:rPr>
          <w:rFonts w:ascii="仿宋_GB2312" w:hAnsi="仿宋_GB2312" w:eastAsia="仿宋_GB2312"/>
          <w:sz w:val="32"/>
        </w:rPr>
        <w:t>社会发展战略，拟订县教育发展战略，中长期学校规划和改革方案并组织实施；分析预测教育形势，参与制定</w:t>
      </w:r>
      <w:r>
        <w:rPr>
          <w:rFonts w:hint="eastAsia" w:ascii="仿宋_GB2312" w:hAnsi="仿宋_GB2312" w:eastAsia="仿宋_GB2312"/>
          <w:sz w:val="32"/>
          <w:lang w:eastAsia="zh-CN"/>
        </w:rPr>
        <w:t>教育</w:t>
      </w:r>
      <w:r>
        <w:rPr>
          <w:rFonts w:ascii="仿宋_GB2312" w:hAnsi="仿宋_GB2312" w:eastAsia="仿宋_GB2312"/>
          <w:sz w:val="32"/>
        </w:rPr>
        <w:t>教学政策，提出运用校税政策实施学校教育的调控和综合平衡教学能力的建议；拟订学校的分配政策，制定调节收入分配的校税政策，完善促进社会事业发展的校税政策。</w:t>
      </w:r>
    </w:p>
    <w:p w14:paraId="798CF7F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做好学校的财政工作。</w:t>
      </w:r>
    </w:p>
    <w:p w14:paraId="455B0E29">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保证委员队伍的先进性和纯洁性，做好工作人员联系工作，</w:t>
      </w:r>
      <w:r>
        <w:rPr>
          <w:rFonts w:hint="eastAsia" w:ascii="仿宋_GB2312" w:hAnsi="仿宋_GB2312" w:eastAsia="仿宋_GB2312"/>
          <w:sz w:val="32"/>
          <w:lang w:eastAsia="zh-CN"/>
        </w:rPr>
        <w:t>充分利用</w:t>
      </w:r>
      <w:r>
        <w:rPr>
          <w:rFonts w:ascii="仿宋_GB2312" w:hAnsi="仿宋_GB2312" w:eastAsia="仿宋_GB2312"/>
          <w:sz w:val="32"/>
        </w:rPr>
        <w:t>视察、会议、调研等方式调动委员参政议政的积极性。</w:t>
      </w:r>
    </w:p>
    <w:p w14:paraId="6766329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做好代表的来信来访工作，及时处理来信来访问题，积极化解社会难点热点问题。</w:t>
      </w:r>
    </w:p>
    <w:p w14:paraId="16F4B99C">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加强财政机关自身建设，努力建设一支高素质的政协委员干部队伍。</w:t>
      </w:r>
    </w:p>
    <w:p w14:paraId="5D3789AF">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担学校的各项财政收支管理责任；负责编制县本级预决算并组织预算；受政府委托向岳普湖人大常委会报告预算及预算情况，向岳普湖人大常委会报告决算；组织实施财政资金绩效考核工作；组织制定经费开支标准，定额，负责财政预决算工作。</w:t>
      </w:r>
    </w:p>
    <w:p w14:paraId="2D97094A">
      <w:pPr>
        <w:spacing w:line="640" w:lineRule="exact"/>
        <w:ind w:firstLine="640"/>
        <w:jc w:val="both"/>
        <w:outlineLvl w:val="2"/>
      </w:pPr>
      <w:r>
        <w:rPr>
          <w:rFonts w:ascii="黑体" w:hAnsi="黑体" w:eastAsia="黑体"/>
          <w:sz w:val="32"/>
        </w:rPr>
        <w:t>二、机构设置及人员情况</w:t>
      </w:r>
    </w:p>
    <w:p w14:paraId="3706C656">
      <w:pPr>
        <w:spacing w:line="580" w:lineRule="exact"/>
        <w:ind w:firstLine="640"/>
        <w:jc w:val="both"/>
      </w:pPr>
      <w:r>
        <w:rPr>
          <w:rFonts w:ascii="仿宋_GB2312" w:hAnsi="仿宋_GB2312" w:eastAsia="仿宋_GB2312"/>
          <w:sz w:val="32"/>
        </w:rPr>
        <w:t>岳普湖县第三中学2024年度，实有人数129人，其中：在职人员94人，减少4人；离休人员0人，增加0人；退休人员35人,增加1人。</w:t>
      </w:r>
    </w:p>
    <w:p w14:paraId="6C7B9ABB">
      <w:pPr>
        <w:spacing w:line="580" w:lineRule="exact"/>
        <w:ind w:firstLine="640"/>
        <w:jc w:val="both"/>
      </w:pPr>
      <w:r>
        <w:rPr>
          <w:rFonts w:ascii="仿宋_GB2312" w:hAnsi="仿宋_GB2312" w:eastAsia="仿宋_GB2312"/>
          <w:sz w:val="32"/>
        </w:rPr>
        <w:t>岳普湖县第三中学无下属预算单位，下设5个科室，分别是：校办、教务处、德育处、总务处、财务室。</w:t>
      </w:r>
    </w:p>
    <w:p w14:paraId="4FB18B70">
      <w:r>
        <w:br w:type="page"/>
      </w:r>
    </w:p>
    <w:p w14:paraId="2106B459">
      <w:pPr>
        <w:spacing w:line="240" w:lineRule="auto"/>
        <w:jc w:val="center"/>
        <w:outlineLvl w:val="1"/>
      </w:pPr>
      <w:r>
        <w:rPr>
          <w:rFonts w:ascii="黑体" w:hAnsi="黑体" w:eastAsia="黑体"/>
          <w:sz w:val="32"/>
        </w:rPr>
        <w:t>第二部分 部门决算情况说明</w:t>
      </w:r>
    </w:p>
    <w:p w14:paraId="0D49EA47">
      <w:pPr>
        <w:spacing w:line="640" w:lineRule="exact"/>
        <w:ind w:firstLine="640"/>
        <w:jc w:val="both"/>
        <w:outlineLvl w:val="2"/>
      </w:pPr>
      <w:r>
        <w:rPr>
          <w:rFonts w:ascii="黑体" w:hAnsi="黑体" w:eastAsia="黑体"/>
          <w:sz w:val="32"/>
        </w:rPr>
        <w:t>一、收入支出决算总体情况说明</w:t>
      </w:r>
    </w:p>
    <w:p w14:paraId="1B589DE8">
      <w:pPr>
        <w:spacing w:line="580" w:lineRule="exact"/>
        <w:ind w:firstLine="640"/>
        <w:jc w:val="both"/>
      </w:pPr>
      <w:r>
        <w:rPr>
          <w:rFonts w:ascii="仿宋_GB2312" w:hAnsi="仿宋_GB2312" w:eastAsia="仿宋_GB2312"/>
          <w:b/>
          <w:sz w:val="32"/>
        </w:rPr>
        <w:t>2024年度收入总计2,300.32万元，</w:t>
      </w:r>
      <w:r>
        <w:rPr>
          <w:rFonts w:ascii="仿宋_GB2312" w:hAnsi="仿宋_GB2312" w:eastAsia="仿宋_GB2312"/>
          <w:b w:val="0"/>
          <w:sz w:val="32"/>
        </w:rPr>
        <w:t>其中：本年收入合计2,300.32万元，使用非财政拨款结余（含专用结余）0.00万元，年初结转和结余0.00万元。</w:t>
      </w:r>
    </w:p>
    <w:p w14:paraId="13FEF216">
      <w:pPr>
        <w:spacing w:line="580" w:lineRule="exact"/>
        <w:ind w:firstLine="640"/>
        <w:jc w:val="both"/>
      </w:pPr>
      <w:r>
        <w:rPr>
          <w:rFonts w:ascii="仿宋_GB2312" w:hAnsi="仿宋_GB2312" w:eastAsia="仿宋_GB2312"/>
          <w:b/>
          <w:sz w:val="32"/>
        </w:rPr>
        <w:t>2024年度支出总计2,300.32万元，</w:t>
      </w:r>
      <w:r>
        <w:rPr>
          <w:rFonts w:ascii="仿宋_GB2312" w:hAnsi="仿宋_GB2312" w:eastAsia="仿宋_GB2312"/>
          <w:b w:val="0"/>
          <w:sz w:val="32"/>
        </w:rPr>
        <w:t>其中：本年支出合计2,300.32万元，结余分配0.00万元，年末结转和结余0.00万元。</w:t>
      </w:r>
    </w:p>
    <w:p w14:paraId="4FFAF0D9">
      <w:pPr>
        <w:spacing w:line="580" w:lineRule="exact"/>
        <w:ind w:firstLine="640"/>
        <w:jc w:val="both"/>
      </w:pPr>
      <w:r>
        <w:rPr>
          <w:rFonts w:ascii="仿宋_GB2312" w:hAnsi="仿宋_GB2312" w:eastAsia="仿宋_GB2312"/>
          <w:b w:val="0"/>
          <w:sz w:val="32"/>
        </w:rPr>
        <w:t>收入支出总体与上年相比，减少211.64万元，下降8.43%，主要原因是：学生人数减少，相应公用经费减少；营养改善补助、伙食补助、非寄宿生补助减少。</w:t>
      </w:r>
    </w:p>
    <w:p w14:paraId="42348855">
      <w:pPr>
        <w:spacing w:line="640" w:lineRule="exact"/>
        <w:ind w:firstLine="640"/>
        <w:jc w:val="both"/>
        <w:outlineLvl w:val="2"/>
      </w:pPr>
      <w:r>
        <w:rPr>
          <w:rFonts w:ascii="黑体" w:hAnsi="黑体" w:eastAsia="黑体"/>
          <w:sz w:val="32"/>
        </w:rPr>
        <w:t>二、收入决算情况说明</w:t>
      </w:r>
    </w:p>
    <w:p w14:paraId="26434C09">
      <w:pPr>
        <w:spacing w:line="580" w:lineRule="exact"/>
        <w:ind w:firstLine="640"/>
        <w:jc w:val="both"/>
      </w:pPr>
      <w:r>
        <w:rPr>
          <w:rFonts w:ascii="仿宋_GB2312" w:hAnsi="仿宋_GB2312" w:eastAsia="仿宋_GB2312"/>
          <w:b/>
          <w:sz w:val="32"/>
        </w:rPr>
        <w:t>本年收入2,300.32万元，</w:t>
      </w:r>
      <w:r>
        <w:rPr>
          <w:rFonts w:ascii="仿宋_GB2312" w:hAnsi="仿宋_GB2312" w:eastAsia="仿宋_GB2312"/>
          <w:b w:val="0"/>
          <w:sz w:val="32"/>
        </w:rPr>
        <w:t>其中：财政拨款收入2,291.10万元，占99.60%；上级补助收入0.00万元，占0.00%；事业收入0.00万元，占0.00%；经营收入0.00万元，占0.00%；附属单位上缴收入0.00万元，占0.00%；其他收入9.23万元，占0.40%。</w:t>
      </w:r>
    </w:p>
    <w:p w14:paraId="7733BD68">
      <w:pPr>
        <w:spacing w:line="640" w:lineRule="exact"/>
        <w:ind w:firstLine="640"/>
        <w:jc w:val="both"/>
        <w:outlineLvl w:val="2"/>
      </w:pPr>
      <w:r>
        <w:rPr>
          <w:rFonts w:ascii="黑体" w:hAnsi="黑体" w:eastAsia="黑体"/>
          <w:sz w:val="32"/>
        </w:rPr>
        <w:t>三、支出决算情况说明</w:t>
      </w:r>
    </w:p>
    <w:p w14:paraId="32A8F4D7">
      <w:pPr>
        <w:spacing w:line="580" w:lineRule="exact"/>
        <w:ind w:firstLine="640"/>
        <w:jc w:val="both"/>
      </w:pPr>
      <w:r>
        <w:rPr>
          <w:rFonts w:ascii="仿宋_GB2312" w:hAnsi="仿宋_GB2312" w:eastAsia="仿宋_GB2312"/>
          <w:b/>
          <w:sz w:val="32"/>
        </w:rPr>
        <w:t>本年支出2,300.32万元，</w:t>
      </w:r>
      <w:r>
        <w:rPr>
          <w:rFonts w:ascii="仿宋_GB2312" w:hAnsi="仿宋_GB2312" w:eastAsia="仿宋_GB2312"/>
          <w:b w:val="0"/>
          <w:sz w:val="32"/>
        </w:rPr>
        <w:t>其中：基本支出1,850.99万元，占80.47%；项目支出449.34万元，占19.53%；上缴上级支出0.00万元，占0.00%；经营支出0.00万元，占0.00%；对附属单位补助支出0.00万元，占0.00%。</w:t>
      </w:r>
    </w:p>
    <w:p w14:paraId="7C50F622">
      <w:pPr>
        <w:spacing w:line="640" w:lineRule="exact"/>
        <w:ind w:firstLine="640"/>
        <w:jc w:val="both"/>
        <w:outlineLvl w:val="2"/>
      </w:pPr>
      <w:r>
        <w:rPr>
          <w:rFonts w:ascii="黑体" w:hAnsi="黑体" w:eastAsia="黑体"/>
          <w:sz w:val="32"/>
        </w:rPr>
        <w:t>四、财政拨款收入支出决算总体情况说明</w:t>
      </w:r>
    </w:p>
    <w:p w14:paraId="6F388594">
      <w:pPr>
        <w:spacing w:line="580" w:lineRule="exact"/>
        <w:ind w:firstLine="640"/>
        <w:jc w:val="both"/>
      </w:pPr>
      <w:r>
        <w:rPr>
          <w:rFonts w:ascii="仿宋_GB2312" w:hAnsi="仿宋_GB2312" w:eastAsia="仿宋_GB2312"/>
          <w:b/>
          <w:sz w:val="32"/>
        </w:rPr>
        <w:t>2024年度财政拨款收入总计2,291.10万元，</w:t>
      </w:r>
      <w:r>
        <w:rPr>
          <w:rFonts w:ascii="仿宋_GB2312" w:hAnsi="仿宋_GB2312" w:eastAsia="仿宋_GB2312"/>
          <w:b w:val="0"/>
          <w:sz w:val="32"/>
        </w:rPr>
        <w:t>其中：年初财政拨款结转和结余0.00万元，本年财政拨款收入2,291.10万元。</w:t>
      </w:r>
      <w:r>
        <w:rPr>
          <w:rFonts w:ascii="仿宋_GB2312" w:hAnsi="仿宋_GB2312" w:eastAsia="仿宋_GB2312"/>
          <w:b/>
          <w:sz w:val="32"/>
        </w:rPr>
        <w:t>财政拨款支出总计2,291.10万元，</w:t>
      </w:r>
      <w:r>
        <w:rPr>
          <w:rFonts w:ascii="仿宋_GB2312" w:hAnsi="仿宋_GB2312" w:eastAsia="仿宋_GB2312"/>
          <w:b w:val="0"/>
          <w:sz w:val="32"/>
        </w:rPr>
        <w:t>其中：年末财政拨款结转和结余0.00万元，本年财政拨款支出2,291.10万元。</w:t>
      </w:r>
    </w:p>
    <w:p w14:paraId="066FE8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减少155.57万元，下降6.36%，主要原因是：学生人数减少，相应公用经费减少；营养改善补助、伙食补助、非寄宿生补助减少。</w:t>
      </w:r>
      <w:r>
        <w:rPr>
          <w:rFonts w:ascii="仿宋_GB2312" w:hAnsi="仿宋_GB2312" w:eastAsia="仿宋_GB2312"/>
          <w:b/>
          <w:sz w:val="32"/>
        </w:rPr>
        <w:t>与年初预算相比，</w:t>
      </w:r>
      <w:r>
        <w:rPr>
          <w:rFonts w:ascii="仿宋_GB2312" w:hAnsi="仿宋_GB2312" w:eastAsia="仿宋_GB2312"/>
          <w:b w:val="0"/>
          <w:sz w:val="32"/>
        </w:rPr>
        <w:t>年初预算数2,124.96万元，决算数2,291.10万元，预决算差异率7.82%，主要原因是：年中追加人员工资、社保、公积金基数调增部分资金，</w:t>
      </w:r>
      <w:r>
        <w:rPr>
          <w:rFonts w:hint="eastAsia" w:ascii="仿宋_GB2312" w:hAnsi="仿宋_GB2312" w:eastAsia="仿宋_GB2312"/>
          <w:b w:val="0"/>
          <w:sz w:val="32"/>
          <w:lang w:val="en-US" w:eastAsia="zh-CN"/>
        </w:rPr>
        <w:t>年中追加家庭经济困难学生生活补助项目，</w:t>
      </w:r>
      <w:r>
        <w:rPr>
          <w:rFonts w:ascii="仿宋_GB2312" w:hAnsi="仿宋_GB2312" w:eastAsia="仿宋_GB2312"/>
          <w:b w:val="0"/>
          <w:sz w:val="32"/>
        </w:rPr>
        <w:t>导致预决算存在差异</w:t>
      </w:r>
      <w:bookmarkStart w:id="0" w:name="_GoBack"/>
      <w:bookmarkEnd w:id="0"/>
      <w:r>
        <w:rPr>
          <w:rFonts w:ascii="仿宋_GB2312" w:hAnsi="仿宋_GB2312" w:eastAsia="仿宋_GB2312"/>
          <w:b w:val="0"/>
          <w:sz w:val="32"/>
        </w:rPr>
        <w:t>。</w:t>
      </w:r>
    </w:p>
    <w:p w14:paraId="0A8DB855">
      <w:pPr>
        <w:spacing w:line="640" w:lineRule="exact"/>
        <w:ind w:firstLine="640"/>
        <w:jc w:val="both"/>
        <w:outlineLvl w:val="2"/>
      </w:pPr>
      <w:r>
        <w:rPr>
          <w:rFonts w:ascii="黑体" w:hAnsi="黑体" w:eastAsia="黑体"/>
          <w:sz w:val="32"/>
        </w:rPr>
        <w:t>五、一般公共预算财政拨款支出决算情况说明</w:t>
      </w:r>
    </w:p>
    <w:p w14:paraId="70F1B379">
      <w:pPr>
        <w:spacing w:line="640" w:lineRule="exact"/>
        <w:ind w:firstLine="640"/>
        <w:jc w:val="both"/>
        <w:outlineLvl w:val="3"/>
      </w:pPr>
      <w:r>
        <w:rPr>
          <w:rFonts w:ascii="楷体_GB2312" w:hAnsi="楷体_GB2312" w:eastAsia="楷体_GB2312"/>
          <w:b/>
          <w:sz w:val="32"/>
        </w:rPr>
        <w:t>（一）一般公共预算财政拨款支出决算总体情况</w:t>
      </w:r>
    </w:p>
    <w:p w14:paraId="776E9722">
      <w:pPr>
        <w:spacing w:line="580" w:lineRule="exact"/>
        <w:ind w:firstLine="640"/>
        <w:jc w:val="both"/>
      </w:pPr>
      <w:r>
        <w:rPr>
          <w:rFonts w:ascii="仿宋_GB2312" w:hAnsi="仿宋_GB2312" w:eastAsia="仿宋_GB2312"/>
          <w:b/>
          <w:sz w:val="32"/>
        </w:rPr>
        <w:t>2024年度一般公共预算财政拨款支出2,291.10万元，</w:t>
      </w:r>
      <w:r>
        <w:rPr>
          <w:rFonts w:ascii="仿宋_GB2312" w:hAnsi="仿宋_GB2312" w:eastAsia="仿宋_GB2312"/>
          <w:b w:val="0"/>
          <w:sz w:val="32"/>
        </w:rPr>
        <w:t>占本年支出合计的99.60%。</w:t>
      </w:r>
      <w:r>
        <w:rPr>
          <w:rFonts w:ascii="仿宋_GB2312" w:hAnsi="仿宋_GB2312" w:eastAsia="仿宋_GB2312"/>
          <w:b/>
          <w:sz w:val="32"/>
        </w:rPr>
        <w:t>与上年相比，</w:t>
      </w:r>
      <w:r>
        <w:rPr>
          <w:rFonts w:ascii="仿宋_GB2312" w:hAnsi="仿宋_GB2312" w:eastAsia="仿宋_GB2312"/>
          <w:b w:val="0"/>
          <w:sz w:val="32"/>
        </w:rPr>
        <w:t>减少155.57万元，下降6.36%，主要原因是：学生人数减少，相应公用经费减少；营养改善补助、伙食补助、非寄宿生补助减少。</w:t>
      </w:r>
      <w:r>
        <w:rPr>
          <w:rFonts w:ascii="仿宋_GB2312" w:hAnsi="仿宋_GB2312" w:eastAsia="仿宋_GB2312"/>
          <w:b/>
          <w:sz w:val="32"/>
        </w:rPr>
        <w:t>与年初预算相比,</w:t>
      </w:r>
      <w:r>
        <w:rPr>
          <w:rFonts w:ascii="仿宋_GB2312" w:hAnsi="仿宋_GB2312" w:eastAsia="仿宋_GB2312"/>
          <w:b w:val="0"/>
          <w:sz w:val="32"/>
        </w:rPr>
        <w:t>年初预算数2,124.96万元，决算数2,291.10万元，预决算差异率7.82%，主要原因是：年中追加人员工资、社保、公积金基数调增部分资金，</w:t>
      </w:r>
      <w:r>
        <w:rPr>
          <w:rFonts w:hint="eastAsia" w:ascii="仿宋_GB2312" w:hAnsi="仿宋_GB2312" w:eastAsia="仿宋_GB2312"/>
          <w:b w:val="0"/>
          <w:sz w:val="32"/>
          <w:lang w:val="en-US" w:eastAsia="zh-CN"/>
        </w:rPr>
        <w:t>年中追加家庭经济困难学生生活补助项目，</w:t>
      </w:r>
      <w:r>
        <w:rPr>
          <w:rFonts w:ascii="仿宋_GB2312" w:hAnsi="仿宋_GB2312" w:eastAsia="仿宋_GB2312"/>
          <w:b w:val="0"/>
          <w:sz w:val="32"/>
        </w:rPr>
        <w:t>导致预决算存在差异。</w:t>
      </w:r>
    </w:p>
    <w:p w14:paraId="4001E14F">
      <w:pPr>
        <w:spacing w:line="640" w:lineRule="exact"/>
        <w:ind w:firstLine="640"/>
        <w:jc w:val="both"/>
        <w:outlineLvl w:val="3"/>
      </w:pPr>
      <w:r>
        <w:rPr>
          <w:rFonts w:ascii="楷体_GB2312" w:hAnsi="楷体_GB2312" w:eastAsia="楷体_GB2312"/>
          <w:b/>
          <w:sz w:val="32"/>
        </w:rPr>
        <w:t>（二）一般公共预算财政拨款支出决算结构情况</w:t>
      </w:r>
    </w:p>
    <w:p w14:paraId="5D97ED8A">
      <w:pPr>
        <w:spacing w:line="580" w:lineRule="exact"/>
        <w:ind w:firstLine="640"/>
        <w:jc w:val="both"/>
      </w:pPr>
      <w:r>
        <w:rPr>
          <w:rFonts w:ascii="仿宋_GB2312" w:hAnsi="仿宋_GB2312" w:eastAsia="仿宋_GB2312"/>
          <w:b w:val="0"/>
          <w:sz w:val="32"/>
        </w:rPr>
        <w:t>1.教育支出(类)2,291.10万元,占100.00%。</w:t>
      </w:r>
    </w:p>
    <w:p w14:paraId="6C7A642D">
      <w:pPr>
        <w:spacing w:line="640" w:lineRule="exact"/>
        <w:ind w:firstLine="640"/>
        <w:jc w:val="both"/>
        <w:outlineLvl w:val="3"/>
      </w:pPr>
      <w:r>
        <w:rPr>
          <w:rFonts w:ascii="楷体_GB2312" w:hAnsi="楷体_GB2312" w:eastAsia="楷体_GB2312"/>
          <w:b/>
          <w:sz w:val="32"/>
        </w:rPr>
        <w:t>（三）一般公共预算财政拨款支出决算具体情况</w:t>
      </w:r>
    </w:p>
    <w:p w14:paraId="369D119E">
      <w:pPr>
        <w:spacing w:line="580" w:lineRule="exact"/>
        <w:ind w:firstLine="640"/>
        <w:jc w:val="both"/>
      </w:pPr>
      <w:r>
        <w:rPr>
          <w:rFonts w:ascii="仿宋_GB2312" w:hAnsi="仿宋_GB2312" w:eastAsia="仿宋_GB2312"/>
          <w:b w:val="0"/>
          <w:sz w:val="32"/>
        </w:rPr>
        <w:t>1.教育支出(类)普通教育(款)初中教育(项):支出决算数为2,291.10万元，比上年决算增加36.87万元，增长1.64%,主要原因是：本年在职人员工资调薪，工资等相关人员经费增加；本年功能科目调整，养老保险缴费、机关事业单位职业年金缴费上年度单独列支，本年调整至主科目列支，导致经费较上年增加。</w:t>
      </w:r>
    </w:p>
    <w:p w14:paraId="68C4682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178.06万元，下降100.00%,主要原因是：本年功能科目调整，养老保险缴费上年度单独列支，本年调整至主科目列支，导致经费较上年减少。</w:t>
      </w:r>
    </w:p>
    <w:p w14:paraId="7DB3756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14.39万元，下降100.00%,主要原因是：本年功能科目调整，机关事业单位职业年金缴费上年度单独列支，本年调整至主科目列支，导致经费较上年减少。</w:t>
      </w:r>
    </w:p>
    <w:p w14:paraId="6DF7EE5D">
      <w:pPr>
        <w:spacing w:line="640" w:lineRule="exact"/>
        <w:ind w:firstLine="640"/>
        <w:jc w:val="both"/>
        <w:outlineLvl w:val="2"/>
      </w:pPr>
      <w:r>
        <w:rPr>
          <w:rFonts w:ascii="黑体" w:hAnsi="黑体" w:eastAsia="黑体"/>
          <w:sz w:val="32"/>
        </w:rPr>
        <w:t>六、一般公共预算财政拨款基本支出决算情况说明</w:t>
      </w:r>
    </w:p>
    <w:p w14:paraId="721D0D54">
      <w:pPr>
        <w:spacing w:line="580" w:lineRule="exact"/>
        <w:ind w:firstLine="640"/>
        <w:jc w:val="both"/>
      </w:pPr>
      <w:r>
        <w:rPr>
          <w:rFonts w:ascii="仿宋_GB2312" w:hAnsi="仿宋_GB2312" w:eastAsia="仿宋_GB2312"/>
          <w:b w:val="0"/>
          <w:sz w:val="32"/>
        </w:rPr>
        <w:t>2024年度一般公共预算财政拨款基本支出1,850.99万元，其中：</w:t>
      </w:r>
      <w:r>
        <w:rPr>
          <w:rFonts w:ascii="仿宋_GB2312" w:hAnsi="仿宋_GB2312" w:eastAsia="仿宋_GB2312"/>
          <w:b/>
          <w:sz w:val="32"/>
        </w:rPr>
        <w:t>人员经费1,850.99万元，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05C7157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A37B089">
      <w:pPr>
        <w:spacing w:line="640" w:lineRule="exact"/>
        <w:ind w:firstLine="640"/>
        <w:jc w:val="both"/>
        <w:outlineLvl w:val="2"/>
      </w:pPr>
      <w:r>
        <w:rPr>
          <w:rFonts w:ascii="黑体" w:hAnsi="黑体" w:eastAsia="黑体"/>
          <w:sz w:val="32"/>
        </w:rPr>
        <w:t>七、政府性基金预算财政拨款收入支出决算情况说明</w:t>
      </w:r>
    </w:p>
    <w:p w14:paraId="2BB0201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7FC00D">
      <w:pPr>
        <w:spacing w:line="640" w:lineRule="exact"/>
        <w:ind w:firstLine="640"/>
        <w:jc w:val="both"/>
        <w:outlineLvl w:val="2"/>
      </w:pPr>
      <w:r>
        <w:rPr>
          <w:rFonts w:ascii="黑体" w:hAnsi="黑体" w:eastAsia="黑体"/>
          <w:sz w:val="32"/>
        </w:rPr>
        <w:t>八、国有资本经营预算财政拨款收入支出决算情况说明</w:t>
      </w:r>
    </w:p>
    <w:p w14:paraId="2BFC00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62E4136">
      <w:pPr>
        <w:spacing w:line="640" w:lineRule="exact"/>
        <w:ind w:firstLine="640"/>
        <w:jc w:val="both"/>
        <w:outlineLvl w:val="2"/>
      </w:pPr>
      <w:r>
        <w:rPr>
          <w:rFonts w:ascii="黑体" w:hAnsi="黑体" w:eastAsia="黑体"/>
          <w:sz w:val="32"/>
        </w:rPr>
        <w:t>九、财政拨款“三公”经费支出决算情况说明</w:t>
      </w:r>
    </w:p>
    <w:p w14:paraId="6C6CF2B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0559B7C">
      <w:pPr>
        <w:spacing w:line="580" w:lineRule="exact"/>
        <w:ind w:firstLine="640"/>
        <w:jc w:val="both"/>
      </w:pPr>
      <w:r>
        <w:rPr>
          <w:rFonts w:ascii="仿宋_GB2312" w:hAnsi="仿宋_GB2312" w:eastAsia="仿宋_GB2312"/>
          <w:b/>
          <w:sz w:val="32"/>
        </w:rPr>
        <w:t>具体情况如下：</w:t>
      </w:r>
    </w:p>
    <w:p w14:paraId="2372A34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3479C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08C1B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302B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C52D10">
      <w:pPr>
        <w:spacing w:line="640" w:lineRule="exact"/>
        <w:ind w:firstLine="640"/>
        <w:jc w:val="both"/>
        <w:outlineLvl w:val="2"/>
      </w:pPr>
      <w:r>
        <w:rPr>
          <w:rFonts w:ascii="黑体" w:hAnsi="黑体" w:eastAsia="黑体"/>
          <w:sz w:val="32"/>
        </w:rPr>
        <w:t>十、其他重要事项的情况说明</w:t>
      </w:r>
    </w:p>
    <w:p w14:paraId="4F79FC6E">
      <w:pPr>
        <w:spacing w:line="640" w:lineRule="exact"/>
        <w:ind w:firstLine="640"/>
        <w:jc w:val="both"/>
        <w:outlineLvl w:val="3"/>
      </w:pPr>
      <w:r>
        <w:rPr>
          <w:rFonts w:ascii="楷体_GB2312" w:hAnsi="楷体_GB2312" w:eastAsia="楷体_GB2312"/>
          <w:b/>
          <w:sz w:val="32"/>
        </w:rPr>
        <w:t>（一）机关运行经费及公用经费支出情况</w:t>
      </w:r>
    </w:p>
    <w:p w14:paraId="566DB074">
      <w:pPr>
        <w:spacing w:line="580" w:lineRule="exact"/>
        <w:ind w:firstLine="640"/>
        <w:jc w:val="both"/>
      </w:pPr>
      <w:r>
        <w:rPr>
          <w:rFonts w:ascii="仿宋_GB2312" w:hAnsi="仿宋_GB2312" w:eastAsia="仿宋_GB2312"/>
          <w:b w:val="0"/>
          <w:sz w:val="32"/>
        </w:rPr>
        <w:t>2024年度岳普湖县第三中学（事业单位）公用经费支出0.00万元，比上年增加0.00万元，增长0.00%，主要原因是：2023年与2024年均未安排公用经费支出。</w:t>
      </w:r>
    </w:p>
    <w:p w14:paraId="0DC737AE">
      <w:pPr>
        <w:spacing w:line="640" w:lineRule="exact"/>
        <w:ind w:firstLine="640"/>
        <w:jc w:val="both"/>
        <w:outlineLvl w:val="3"/>
      </w:pPr>
      <w:r>
        <w:rPr>
          <w:rFonts w:ascii="楷体_GB2312" w:hAnsi="楷体_GB2312" w:eastAsia="楷体_GB2312"/>
          <w:b/>
          <w:sz w:val="32"/>
        </w:rPr>
        <w:t>（二）政府采购情况</w:t>
      </w:r>
    </w:p>
    <w:p w14:paraId="24279C71">
      <w:pPr>
        <w:spacing w:line="580" w:lineRule="exact"/>
        <w:ind w:firstLine="640"/>
        <w:jc w:val="both"/>
      </w:pPr>
      <w:r>
        <w:rPr>
          <w:rFonts w:ascii="仿宋_GB2312" w:hAnsi="仿宋_GB2312" w:eastAsia="仿宋_GB2312"/>
          <w:b w:val="0"/>
          <w:sz w:val="32"/>
        </w:rPr>
        <w:t>2024年度政府采购支出总额4.29万元，其中：政府采购货物支出2.95万元、政府采购工程支出0.00万元、政府采购服务支出1.34万元。</w:t>
      </w:r>
    </w:p>
    <w:p w14:paraId="393049EC">
      <w:pPr>
        <w:spacing w:line="580" w:lineRule="exact"/>
        <w:ind w:firstLine="640"/>
        <w:jc w:val="both"/>
      </w:pPr>
      <w:r>
        <w:rPr>
          <w:rFonts w:ascii="仿宋_GB2312" w:hAnsi="仿宋_GB2312" w:eastAsia="仿宋_GB2312"/>
          <w:b w:val="0"/>
          <w:sz w:val="32"/>
        </w:rPr>
        <w:t>授予中小企业合同金额4.29万元，占政府采购支出总额的100.00%，其中：授予小微企业合同金额4.29万元，占政府采购支出总额的100.00%。</w:t>
      </w:r>
    </w:p>
    <w:p w14:paraId="678E363F">
      <w:pPr>
        <w:spacing w:line="640" w:lineRule="exact"/>
        <w:ind w:firstLine="640"/>
        <w:jc w:val="both"/>
        <w:outlineLvl w:val="3"/>
      </w:pPr>
      <w:r>
        <w:rPr>
          <w:rFonts w:ascii="楷体_GB2312" w:hAnsi="楷体_GB2312" w:eastAsia="楷体_GB2312"/>
          <w:b/>
          <w:sz w:val="32"/>
        </w:rPr>
        <w:t>（三）国有资产占用情况说明</w:t>
      </w:r>
    </w:p>
    <w:p w14:paraId="1A50C05B">
      <w:pPr>
        <w:spacing w:line="580" w:lineRule="exact"/>
        <w:ind w:firstLine="640"/>
        <w:jc w:val="both"/>
      </w:pPr>
      <w:r>
        <w:rPr>
          <w:rFonts w:ascii="仿宋_GB2312" w:hAnsi="仿宋_GB2312" w:eastAsia="仿宋_GB2312"/>
          <w:b w:val="0"/>
          <w:sz w:val="32"/>
        </w:rPr>
        <w:t>截至2024年12月31日，房屋48,607.02平方米，价值5,587.51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91F8416">
      <w:pPr>
        <w:spacing w:line="640" w:lineRule="exact"/>
        <w:ind w:firstLine="640"/>
        <w:jc w:val="both"/>
        <w:outlineLvl w:val="2"/>
      </w:pPr>
      <w:r>
        <w:rPr>
          <w:rFonts w:ascii="黑体" w:hAnsi="黑体" w:eastAsia="黑体"/>
          <w:sz w:val="32"/>
        </w:rPr>
        <w:t>十一、预算绩效的情况说明</w:t>
      </w:r>
    </w:p>
    <w:p w14:paraId="268CCE7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4BDAE54D">
      <w:r>
        <w:br w:type="page"/>
      </w:r>
    </w:p>
    <w:p w14:paraId="59EE298D">
      <w:pPr>
        <w:spacing w:line="640" w:lineRule="exact"/>
        <w:ind w:firstLine="640"/>
        <w:jc w:val="both"/>
        <w:outlineLvl w:val="2"/>
      </w:pPr>
      <w:r>
        <w:rPr>
          <w:rFonts w:ascii="黑体" w:hAnsi="黑体" w:eastAsia="黑体"/>
          <w:sz w:val="32"/>
        </w:rPr>
        <w:t>十二、其他需说明的事项</w:t>
      </w:r>
    </w:p>
    <w:p w14:paraId="0E0EBD49">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613B6BD9">
      <w:r>
        <w:br w:type="page"/>
      </w:r>
    </w:p>
    <w:p w14:paraId="35B28DDC">
      <w:pPr>
        <w:spacing w:line="240" w:lineRule="auto"/>
        <w:jc w:val="center"/>
        <w:outlineLvl w:val="1"/>
      </w:pPr>
      <w:r>
        <w:rPr>
          <w:rFonts w:ascii="黑体" w:hAnsi="黑体" w:eastAsia="黑体"/>
          <w:sz w:val="32"/>
        </w:rPr>
        <w:t>第三部分 专业名词解释</w:t>
      </w:r>
    </w:p>
    <w:p w14:paraId="298CCFE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9E68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2E194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41AA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D4F00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AEF29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CD3E0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6894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8CA37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F1E5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0EB4D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22468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8D85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152C1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607E18">
      <w:r>
        <w:br w:type="page"/>
      </w:r>
    </w:p>
    <w:p w14:paraId="2D3EBCA2">
      <w:pPr>
        <w:spacing w:line="240" w:lineRule="auto"/>
        <w:jc w:val="center"/>
        <w:outlineLvl w:val="1"/>
      </w:pPr>
      <w:r>
        <w:rPr>
          <w:rFonts w:ascii="黑体" w:hAnsi="黑体" w:eastAsia="黑体"/>
          <w:sz w:val="32"/>
        </w:rPr>
        <w:t>第四部分 部门决算报表（见附表）</w:t>
      </w:r>
    </w:p>
    <w:p w14:paraId="56E65E2C">
      <w:pPr>
        <w:spacing w:line="240" w:lineRule="auto"/>
        <w:ind w:firstLine="640"/>
        <w:jc w:val="both"/>
      </w:pPr>
      <w:r>
        <w:rPr>
          <w:rFonts w:ascii="仿宋_GB2312" w:hAnsi="仿宋_GB2312" w:eastAsia="仿宋_GB2312"/>
          <w:b w:val="0"/>
          <w:sz w:val="32"/>
        </w:rPr>
        <w:t>一、《收入支出决算总表》</w:t>
      </w:r>
    </w:p>
    <w:p w14:paraId="696803E6">
      <w:pPr>
        <w:spacing w:line="240" w:lineRule="auto"/>
        <w:ind w:firstLine="640"/>
        <w:jc w:val="both"/>
      </w:pPr>
      <w:r>
        <w:rPr>
          <w:rFonts w:ascii="仿宋_GB2312" w:hAnsi="仿宋_GB2312" w:eastAsia="仿宋_GB2312"/>
          <w:b w:val="0"/>
          <w:sz w:val="32"/>
        </w:rPr>
        <w:t>二、《收入决算表》</w:t>
      </w:r>
    </w:p>
    <w:p w14:paraId="784D182E">
      <w:pPr>
        <w:spacing w:line="240" w:lineRule="auto"/>
        <w:ind w:firstLine="640"/>
        <w:jc w:val="both"/>
      </w:pPr>
      <w:r>
        <w:rPr>
          <w:rFonts w:ascii="仿宋_GB2312" w:hAnsi="仿宋_GB2312" w:eastAsia="仿宋_GB2312"/>
          <w:b w:val="0"/>
          <w:sz w:val="32"/>
        </w:rPr>
        <w:t>三、《支出决算表》</w:t>
      </w:r>
    </w:p>
    <w:p w14:paraId="241DEBA0">
      <w:pPr>
        <w:spacing w:line="240" w:lineRule="auto"/>
        <w:ind w:firstLine="640"/>
        <w:jc w:val="both"/>
      </w:pPr>
      <w:r>
        <w:rPr>
          <w:rFonts w:ascii="仿宋_GB2312" w:hAnsi="仿宋_GB2312" w:eastAsia="仿宋_GB2312"/>
          <w:b w:val="0"/>
          <w:sz w:val="32"/>
        </w:rPr>
        <w:t>四、《财政拨款收入支出决算总表》</w:t>
      </w:r>
    </w:p>
    <w:p w14:paraId="5714CE2B">
      <w:pPr>
        <w:spacing w:line="240" w:lineRule="auto"/>
        <w:ind w:firstLine="640"/>
        <w:jc w:val="both"/>
      </w:pPr>
      <w:r>
        <w:rPr>
          <w:rFonts w:ascii="仿宋_GB2312" w:hAnsi="仿宋_GB2312" w:eastAsia="仿宋_GB2312"/>
          <w:b w:val="0"/>
          <w:sz w:val="32"/>
        </w:rPr>
        <w:t>五、《一般公共预算财政拨款支出决算表》</w:t>
      </w:r>
    </w:p>
    <w:p w14:paraId="13A6A39E">
      <w:pPr>
        <w:spacing w:line="240" w:lineRule="auto"/>
        <w:ind w:firstLine="640"/>
        <w:jc w:val="both"/>
      </w:pPr>
      <w:r>
        <w:rPr>
          <w:rFonts w:ascii="仿宋_GB2312" w:hAnsi="仿宋_GB2312" w:eastAsia="仿宋_GB2312"/>
          <w:b w:val="0"/>
          <w:sz w:val="32"/>
        </w:rPr>
        <w:t>六、《一般公共预算财政拨款基本支出决算表》</w:t>
      </w:r>
    </w:p>
    <w:p w14:paraId="494D5EAA">
      <w:pPr>
        <w:spacing w:line="240" w:lineRule="auto"/>
        <w:ind w:firstLine="640"/>
        <w:jc w:val="both"/>
      </w:pPr>
      <w:r>
        <w:rPr>
          <w:rFonts w:ascii="仿宋_GB2312" w:hAnsi="仿宋_GB2312" w:eastAsia="仿宋_GB2312"/>
          <w:b w:val="0"/>
          <w:sz w:val="32"/>
        </w:rPr>
        <w:t>七、《政府性基金预算财政拨款收入支出决算表》</w:t>
      </w:r>
    </w:p>
    <w:p w14:paraId="1A9DDD84">
      <w:pPr>
        <w:spacing w:line="240" w:lineRule="auto"/>
        <w:ind w:firstLine="640"/>
        <w:jc w:val="both"/>
      </w:pPr>
      <w:r>
        <w:rPr>
          <w:rFonts w:ascii="仿宋_GB2312" w:hAnsi="仿宋_GB2312" w:eastAsia="仿宋_GB2312"/>
          <w:b w:val="0"/>
          <w:sz w:val="32"/>
        </w:rPr>
        <w:t>八、《国有资本经营预算财政拨款收入支出决算表》</w:t>
      </w:r>
    </w:p>
    <w:p w14:paraId="2B41F899">
      <w:pPr>
        <w:spacing w:line="240" w:lineRule="auto"/>
        <w:ind w:firstLine="640"/>
        <w:jc w:val="both"/>
      </w:pPr>
      <w:r>
        <w:rPr>
          <w:rFonts w:ascii="仿宋_GB2312" w:hAnsi="仿宋_GB2312" w:eastAsia="仿宋_GB2312"/>
          <w:b w:val="0"/>
          <w:sz w:val="32"/>
        </w:rPr>
        <w:t>九、《财政拨款“三公”经费支出决算表》</w:t>
      </w:r>
    </w:p>
    <w:p w14:paraId="47B4EBE7">
      <w:pPr>
        <w:spacing w:line="240" w:lineRule="auto"/>
        <w:ind w:firstLine="640"/>
        <w:jc w:val="both"/>
      </w:pPr>
    </w:p>
    <w:p w14:paraId="4FF28FD3">
      <w:pPr>
        <w:spacing w:line="240" w:lineRule="auto"/>
        <w:ind w:firstLine="640"/>
        <w:jc w:val="both"/>
      </w:pPr>
    </w:p>
    <w:p w14:paraId="5569BA6C">
      <w:pPr>
        <w:spacing w:line="240" w:lineRule="auto"/>
        <w:ind w:firstLine="640"/>
        <w:jc w:val="both"/>
      </w:pPr>
    </w:p>
    <w:p w14:paraId="70B8D5A5">
      <w:pPr>
        <w:spacing w:line="240" w:lineRule="auto"/>
        <w:ind w:firstLine="640"/>
        <w:jc w:val="both"/>
      </w:pPr>
    </w:p>
    <w:p w14:paraId="3AB3F6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D6E8C9-8EB4-4D31-9D75-70DD9E6D41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4CD7254-9C0F-4656-A7B6-C38A89A41445}"/>
  </w:font>
  <w:font w:name="仿宋_GB2312">
    <w:panose1 w:val="02010609030101010101"/>
    <w:charset w:val="86"/>
    <w:family w:val="modern"/>
    <w:pitch w:val="default"/>
    <w:sig w:usb0="00000001" w:usb1="080E0000" w:usb2="00000000" w:usb3="00000000" w:csb0="00040000" w:csb1="00000000"/>
    <w:embedRegular r:id="rId3" w:fontKey="{B09F627F-31ED-43DA-B93C-CD25E714A926}"/>
  </w:font>
  <w:font w:name="楷体_GB2312">
    <w:panose1 w:val="02010609030101010101"/>
    <w:charset w:val="86"/>
    <w:family w:val="auto"/>
    <w:pitch w:val="default"/>
    <w:sig w:usb0="00000001" w:usb1="080E0000" w:usb2="00000000" w:usb3="00000000" w:csb0="00040000" w:csb1="00000000"/>
    <w:embedRegular r:id="rId4" w:fontKey="{C3316F49-3AFE-46FC-9BFA-BC874883DEB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C443A2"/>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1F5CE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6933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5018</Words>
  <Characters>5613</Characters>
  <Lines>0</Lines>
  <Paragraphs>0</Paragraphs>
  <TotalTime>2</TotalTime>
  <ScaleCrop>false</ScaleCrop>
  <LinksUpToDate>false</LinksUpToDate>
  <CharactersWithSpaces>5623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