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岳普湖县融媒体中心2024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3A8412">
      <w:r>
        <w:br w:type="page"/>
      </w:r>
    </w:p>
    <w:p w14:paraId="17002C62">
      <w:pPr>
        <w:spacing w:line="640" w:lineRule="exact"/>
        <w:jc w:val="center"/>
        <w:outlineLvl w:val="1"/>
      </w:pPr>
      <w:r>
        <w:rPr>
          <w:rFonts w:ascii="黑体" w:hAnsi="黑体" w:eastAsia="黑体"/>
          <w:sz w:val="32"/>
        </w:rPr>
        <w:t>第一部分 单位概况</w:t>
      </w:r>
    </w:p>
    <w:p w14:paraId="1E14D8ED">
      <w:pPr>
        <w:spacing w:line="640" w:lineRule="exact"/>
        <w:ind w:firstLine="640"/>
        <w:jc w:val="both"/>
        <w:outlineLvl w:val="2"/>
      </w:pPr>
      <w:r>
        <w:rPr>
          <w:rFonts w:ascii="黑体" w:hAnsi="黑体" w:eastAsia="黑体"/>
          <w:sz w:val="32"/>
        </w:rPr>
        <w:t>一、主要职能</w:t>
      </w:r>
    </w:p>
    <w:p w14:paraId="638C59E5">
      <w:pPr>
        <w:spacing w:line="580" w:lineRule="exact"/>
        <w:ind w:firstLine="640"/>
        <w:jc w:val="both"/>
      </w:pPr>
      <w:r>
        <w:rPr>
          <w:rFonts w:ascii="仿宋_GB2312" w:hAnsi="仿宋_GB2312" w:eastAsia="仿宋_GB2312"/>
          <w:sz w:val="32"/>
        </w:rPr>
        <w:t>岳普湖县融媒体中心围绕主责主业，稳步推进媒体融合发展，在内容生产与传播领域取得阶段性成果。在节目制作方面，已完成8档广播电视自制、译制节目创作，涵盖民生服务、文化传承、政策解读等多个领域，通过创新节目形式、深挖本土特色，提升了节目传播力；直播业务有序开展，聚焦乡村振兴、文化节庆等主题，开展58场直播活动，借助“云上直播间”实现跨区域传播，有效扩大了地方影响力。新媒体报道成果显著，围绕社会热点、群众关切，累计发布1633条网络报道，综合运用短视频、图文等形式，构建起多元传播矩阵；同时，精心打造的1部作品在媒体评选中获奖，彰显了内容创作实力。政务信息发布方面，严格落实信息发布制度</w:t>
      </w:r>
      <w:r>
        <w:rPr>
          <w:rFonts w:hint="eastAsia" w:ascii="仿宋_GB2312" w:hAnsi="仿宋_GB2312" w:eastAsia="仿宋_GB2312"/>
          <w:sz w:val="32"/>
          <w:lang w:eastAsia="zh-CN"/>
        </w:rPr>
        <w:t>，</w:t>
      </w:r>
      <w:r>
        <w:rPr>
          <w:rFonts w:ascii="仿宋_GB2312" w:hAnsi="仿宋_GB2312" w:eastAsia="仿宋_GB2312"/>
          <w:sz w:val="32"/>
        </w:rPr>
        <w:t>政务信息发布及时准确，通过开设专栏、专题报道等方式，确保政策信息高效传递，为服务群众、引导舆论奠定坚实基础。</w:t>
      </w:r>
    </w:p>
    <w:p w14:paraId="65DB0463">
      <w:pPr>
        <w:spacing w:line="640" w:lineRule="exact"/>
        <w:ind w:firstLine="640"/>
        <w:jc w:val="both"/>
        <w:outlineLvl w:val="2"/>
      </w:pPr>
      <w:r>
        <w:rPr>
          <w:rFonts w:ascii="黑体" w:hAnsi="黑体" w:eastAsia="黑体"/>
          <w:sz w:val="32"/>
        </w:rPr>
        <w:t>二、机构设置及人员情况</w:t>
      </w:r>
    </w:p>
    <w:p w14:paraId="128E3ABB">
      <w:pPr>
        <w:spacing w:line="580" w:lineRule="exact"/>
        <w:ind w:firstLine="640"/>
        <w:jc w:val="both"/>
      </w:pPr>
      <w:r>
        <w:rPr>
          <w:rFonts w:ascii="仿宋_GB2312" w:hAnsi="仿宋_GB2312" w:eastAsia="仿宋_GB2312"/>
          <w:sz w:val="32"/>
        </w:rPr>
        <w:t>岳普湖县融媒体中心2024年度，实有人数53人，其中：在职人员35人，增加0人；离休人员0人，增加0人；退休人员18人,增加2人。</w:t>
      </w:r>
    </w:p>
    <w:p w14:paraId="273DF9B2">
      <w:pPr>
        <w:spacing w:line="580" w:lineRule="exact"/>
        <w:ind w:firstLine="640"/>
        <w:jc w:val="both"/>
      </w:pPr>
      <w:r>
        <w:rPr>
          <w:rFonts w:ascii="仿宋_GB2312" w:hAnsi="仿宋_GB2312" w:eastAsia="仿宋_GB2312"/>
          <w:sz w:val="32"/>
        </w:rPr>
        <w:t>岳普湖县融媒体中心无下属预算单位，下设7个科室，分别是：新闻采集部、编辑制作部、技术保障部、总编室、新媒体、办公室、财务室。</w:t>
      </w:r>
    </w:p>
    <w:p w14:paraId="4E87F3BE">
      <w:r>
        <w:br w:type="page"/>
      </w:r>
    </w:p>
    <w:p w14:paraId="7898ADC2">
      <w:pPr>
        <w:spacing w:line="240" w:lineRule="auto"/>
        <w:jc w:val="center"/>
        <w:outlineLvl w:val="1"/>
      </w:pPr>
      <w:r>
        <w:rPr>
          <w:rFonts w:ascii="黑体" w:hAnsi="黑体" w:eastAsia="黑体"/>
          <w:sz w:val="32"/>
        </w:rPr>
        <w:t>第二部分 部门决算情况说明</w:t>
      </w:r>
    </w:p>
    <w:p w14:paraId="4907401F">
      <w:pPr>
        <w:spacing w:line="640" w:lineRule="exact"/>
        <w:ind w:firstLine="640"/>
        <w:jc w:val="both"/>
        <w:outlineLvl w:val="2"/>
      </w:pPr>
      <w:r>
        <w:rPr>
          <w:rFonts w:ascii="黑体" w:hAnsi="黑体" w:eastAsia="黑体"/>
          <w:sz w:val="32"/>
        </w:rPr>
        <w:t>一、收入支出决算总体情况说明</w:t>
      </w:r>
    </w:p>
    <w:p w14:paraId="6B775015">
      <w:pPr>
        <w:spacing w:line="580" w:lineRule="exact"/>
        <w:ind w:firstLine="640"/>
        <w:jc w:val="both"/>
      </w:pPr>
      <w:r>
        <w:rPr>
          <w:rFonts w:ascii="仿宋_GB2312" w:hAnsi="仿宋_GB2312" w:eastAsia="仿宋_GB2312"/>
          <w:b/>
          <w:sz w:val="32"/>
        </w:rPr>
        <w:t>2024年度收入总计1,036.34万元，</w:t>
      </w:r>
      <w:r>
        <w:rPr>
          <w:rFonts w:ascii="仿宋_GB2312" w:hAnsi="仿宋_GB2312" w:eastAsia="仿宋_GB2312"/>
          <w:b w:val="0"/>
          <w:sz w:val="32"/>
        </w:rPr>
        <w:t>其中：本年收入合计1,036.34万元，使用非财政拨款结余（含专用结余）0.00万元，年初结转和结余0.00万元。</w:t>
      </w:r>
    </w:p>
    <w:p w14:paraId="3D2076FB">
      <w:pPr>
        <w:spacing w:line="580" w:lineRule="exact"/>
        <w:ind w:firstLine="640"/>
        <w:jc w:val="both"/>
      </w:pPr>
      <w:r>
        <w:rPr>
          <w:rFonts w:ascii="仿宋_GB2312" w:hAnsi="仿宋_GB2312" w:eastAsia="仿宋_GB2312"/>
          <w:b/>
          <w:sz w:val="32"/>
        </w:rPr>
        <w:t>2024年度支出总计1,036.34万元，</w:t>
      </w:r>
      <w:r>
        <w:rPr>
          <w:rFonts w:ascii="仿宋_GB2312" w:hAnsi="仿宋_GB2312" w:eastAsia="仿宋_GB2312"/>
          <w:b w:val="0"/>
          <w:sz w:val="32"/>
        </w:rPr>
        <w:t>其中：本年支出合计1,036.34万元，结余分配0.00万元，年末结转和结余0.00万元。</w:t>
      </w:r>
    </w:p>
    <w:p w14:paraId="52FAC898">
      <w:pPr>
        <w:spacing w:line="580" w:lineRule="exact"/>
        <w:ind w:firstLine="640"/>
        <w:jc w:val="both"/>
      </w:pPr>
      <w:r>
        <w:rPr>
          <w:rFonts w:ascii="仿宋_GB2312" w:hAnsi="仿宋_GB2312" w:eastAsia="仿宋_GB2312"/>
          <w:b w:val="0"/>
          <w:sz w:val="32"/>
        </w:rPr>
        <w:t>收入支出总体与上年相比，增加223.94万元，增长27.57%，主要原因是：本年增加援疆资金岳普湖县旅游特色小镇建设项目，导致经费较上年增加。</w:t>
      </w:r>
    </w:p>
    <w:p w14:paraId="05E18EC3">
      <w:pPr>
        <w:spacing w:line="640" w:lineRule="exact"/>
        <w:ind w:firstLine="640"/>
        <w:jc w:val="both"/>
        <w:outlineLvl w:val="2"/>
      </w:pPr>
      <w:r>
        <w:rPr>
          <w:rFonts w:ascii="黑体" w:hAnsi="黑体" w:eastAsia="黑体"/>
          <w:sz w:val="32"/>
        </w:rPr>
        <w:t>二、收入决算情况说明</w:t>
      </w:r>
    </w:p>
    <w:p w14:paraId="4603F029">
      <w:pPr>
        <w:spacing w:line="580" w:lineRule="exact"/>
        <w:ind w:firstLine="640"/>
        <w:jc w:val="both"/>
      </w:pPr>
      <w:r>
        <w:rPr>
          <w:rFonts w:ascii="仿宋_GB2312" w:hAnsi="仿宋_GB2312" w:eastAsia="仿宋_GB2312"/>
          <w:b/>
          <w:sz w:val="32"/>
        </w:rPr>
        <w:t>本年收入1,036.34万元，</w:t>
      </w:r>
      <w:r>
        <w:rPr>
          <w:rFonts w:ascii="仿宋_GB2312" w:hAnsi="仿宋_GB2312" w:eastAsia="仿宋_GB2312"/>
          <w:b w:val="0"/>
          <w:sz w:val="32"/>
        </w:rPr>
        <w:t>其中：财政拨款收入797.37万元，占76.94%；上级补助收入0.00万元，占0.00%；事业收入0.00万元，占0.00%；经营收入0.00万元，占0.00%；附属单位上缴收入0.00万元，占0.00%；其他收入238.97万元，占23.06%。</w:t>
      </w:r>
    </w:p>
    <w:p w14:paraId="6BCFF331">
      <w:pPr>
        <w:spacing w:line="640" w:lineRule="exact"/>
        <w:ind w:firstLine="640"/>
        <w:jc w:val="both"/>
        <w:outlineLvl w:val="2"/>
      </w:pPr>
      <w:r>
        <w:rPr>
          <w:rFonts w:ascii="黑体" w:hAnsi="黑体" w:eastAsia="黑体"/>
          <w:sz w:val="32"/>
        </w:rPr>
        <w:t>三、支出决算情况说明</w:t>
      </w:r>
    </w:p>
    <w:p w14:paraId="294BDF1B">
      <w:pPr>
        <w:spacing w:line="580" w:lineRule="exact"/>
        <w:ind w:firstLine="640"/>
        <w:jc w:val="both"/>
      </w:pPr>
      <w:r>
        <w:rPr>
          <w:rFonts w:ascii="仿宋_GB2312" w:hAnsi="仿宋_GB2312" w:eastAsia="仿宋_GB2312"/>
          <w:b/>
          <w:sz w:val="32"/>
        </w:rPr>
        <w:t>本年支出1,036.34万元，</w:t>
      </w:r>
      <w:r>
        <w:rPr>
          <w:rFonts w:ascii="仿宋_GB2312" w:hAnsi="仿宋_GB2312" w:eastAsia="仿宋_GB2312"/>
          <w:b w:val="0"/>
          <w:sz w:val="32"/>
        </w:rPr>
        <w:t>其中：基本支出671.90万元，占64.83%；项目支出364.44万元，占35.17%；上缴上级支出0.00万元，占0.00%；经营支出0.00万元，占0.00%；对附属单位补助支出0.00万元，占0.00%。</w:t>
      </w:r>
    </w:p>
    <w:p w14:paraId="100D77A7">
      <w:pPr>
        <w:spacing w:line="640" w:lineRule="exact"/>
        <w:ind w:firstLine="640"/>
        <w:jc w:val="both"/>
        <w:outlineLvl w:val="2"/>
      </w:pPr>
      <w:r>
        <w:rPr>
          <w:rFonts w:ascii="黑体" w:hAnsi="黑体" w:eastAsia="黑体"/>
          <w:sz w:val="32"/>
        </w:rPr>
        <w:t>四、财政拨款收入支出决算总体情况说明</w:t>
      </w:r>
    </w:p>
    <w:p w14:paraId="5033E3B6">
      <w:pPr>
        <w:spacing w:line="580" w:lineRule="exact"/>
        <w:ind w:firstLine="640"/>
        <w:jc w:val="both"/>
      </w:pPr>
      <w:r>
        <w:rPr>
          <w:rFonts w:ascii="仿宋_GB2312" w:hAnsi="仿宋_GB2312" w:eastAsia="仿宋_GB2312"/>
          <w:b/>
          <w:sz w:val="32"/>
        </w:rPr>
        <w:t>2024年度财政拨款收入总计797.37万元，</w:t>
      </w:r>
      <w:r>
        <w:rPr>
          <w:rFonts w:ascii="仿宋_GB2312" w:hAnsi="仿宋_GB2312" w:eastAsia="仿宋_GB2312"/>
          <w:b w:val="0"/>
          <w:sz w:val="32"/>
        </w:rPr>
        <w:t>其中：年初财政拨款结转和结余0.00万元，本年财政拨款收入797.37万元。</w:t>
      </w:r>
      <w:r>
        <w:rPr>
          <w:rFonts w:ascii="仿宋_GB2312" w:hAnsi="仿宋_GB2312" w:eastAsia="仿宋_GB2312"/>
          <w:b/>
          <w:sz w:val="32"/>
        </w:rPr>
        <w:t>财政拨款支出总计797.37万元，</w:t>
      </w:r>
      <w:r>
        <w:rPr>
          <w:rFonts w:ascii="仿宋_GB2312" w:hAnsi="仿宋_GB2312" w:eastAsia="仿宋_GB2312"/>
          <w:b w:val="0"/>
          <w:sz w:val="32"/>
        </w:rPr>
        <w:t>其中：年末财政拨款结转和结余0.00万元，本年财政拨款支出797.37万元。</w:t>
      </w:r>
    </w:p>
    <w:p w14:paraId="105127D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增加14.97万元，增长1.91%，主要原因是：本年度增加广播电视“村村通”运行维护聘用人员经费。</w:t>
      </w:r>
      <w:r>
        <w:rPr>
          <w:rFonts w:ascii="仿宋_GB2312" w:hAnsi="仿宋_GB2312" w:eastAsia="仿宋_GB2312"/>
          <w:b/>
          <w:sz w:val="32"/>
        </w:rPr>
        <w:t>与年初预算相比，</w:t>
      </w:r>
      <w:r>
        <w:rPr>
          <w:rFonts w:ascii="仿宋_GB2312" w:hAnsi="仿宋_GB2312" w:eastAsia="仿宋_GB2312"/>
          <w:b w:val="0"/>
          <w:sz w:val="32"/>
        </w:rPr>
        <w:t>年初预算数781.92万元，决算数797.37万元，预决算差异率1.98%，主要原因是：年中追加广播电视“村村通”运行维护聘用人员经费，导致预决算存在差异。</w:t>
      </w:r>
    </w:p>
    <w:p w14:paraId="1BED4F0D">
      <w:pPr>
        <w:spacing w:line="640" w:lineRule="exact"/>
        <w:ind w:firstLine="640"/>
        <w:jc w:val="both"/>
        <w:outlineLvl w:val="2"/>
      </w:pPr>
      <w:r>
        <w:rPr>
          <w:rFonts w:ascii="黑体" w:hAnsi="黑体" w:eastAsia="黑体"/>
          <w:sz w:val="32"/>
        </w:rPr>
        <w:t>五、一般公共预算财政拨款支出决算情况说明</w:t>
      </w:r>
    </w:p>
    <w:p w14:paraId="2FF727A6">
      <w:pPr>
        <w:spacing w:line="640" w:lineRule="exact"/>
        <w:ind w:firstLine="640"/>
        <w:jc w:val="both"/>
        <w:outlineLvl w:val="3"/>
      </w:pPr>
      <w:r>
        <w:rPr>
          <w:rFonts w:ascii="楷体_GB2312" w:hAnsi="楷体_GB2312" w:eastAsia="楷体_GB2312"/>
          <w:b/>
          <w:sz w:val="32"/>
        </w:rPr>
        <w:t>（一）一般公共预算财政拨款支出决算总体情况</w:t>
      </w:r>
    </w:p>
    <w:p w14:paraId="4183AD44">
      <w:pPr>
        <w:spacing w:line="580" w:lineRule="exact"/>
        <w:ind w:firstLine="640"/>
        <w:jc w:val="both"/>
      </w:pPr>
      <w:r>
        <w:rPr>
          <w:rFonts w:ascii="仿宋_GB2312" w:hAnsi="仿宋_GB2312" w:eastAsia="仿宋_GB2312"/>
          <w:b/>
          <w:sz w:val="32"/>
        </w:rPr>
        <w:t>2024年度一般公共预算财政拨款支出797.37万元，</w:t>
      </w:r>
      <w:r>
        <w:rPr>
          <w:rFonts w:ascii="仿宋_GB2312" w:hAnsi="仿宋_GB2312" w:eastAsia="仿宋_GB2312"/>
          <w:b w:val="0"/>
          <w:sz w:val="32"/>
        </w:rPr>
        <w:t>占本年支出合计的76.94%。</w:t>
      </w:r>
      <w:r>
        <w:rPr>
          <w:rFonts w:ascii="仿宋_GB2312" w:hAnsi="仿宋_GB2312" w:eastAsia="仿宋_GB2312"/>
          <w:b/>
          <w:sz w:val="32"/>
        </w:rPr>
        <w:t>与上年相比，</w:t>
      </w:r>
      <w:r>
        <w:rPr>
          <w:rFonts w:ascii="仿宋_GB2312" w:hAnsi="仿宋_GB2312" w:eastAsia="仿宋_GB2312"/>
          <w:b w:val="0"/>
          <w:sz w:val="32"/>
        </w:rPr>
        <w:t>增加14.97万元，增长1.91%，主要原因是：本年度增加广播电视“村村通”运行维护聘用人员经费。</w:t>
      </w:r>
      <w:r>
        <w:rPr>
          <w:rFonts w:ascii="仿宋_GB2312" w:hAnsi="仿宋_GB2312" w:eastAsia="仿宋_GB2312"/>
          <w:b/>
          <w:sz w:val="32"/>
        </w:rPr>
        <w:t>与年初预算相比,</w:t>
      </w:r>
      <w:r>
        <w:rPr>
          <w:rFonts w:ascii="仿宋_GB2312" w:hAnsi="仿宋_GB2312" w:eastAsia="仿宋_GB2312"/>
          <w:b w:val="0"/>
          <w:sz w:val="32"/>
        </w:rPr>
        <w:t>年初预算数781.92万元，决算数797.37万元，预决算差异率1.98%，主要原因是：年中追加广播电视“村村通”运行维护聘用人员经费，导致预决算存在差异。</w:t>
      </w:r>
    </w:p>
    <w:p w14:paraId="0992251D">
      <w:pPr>
        <w:spacing w:line="640" w:lineRule="exact"/>
        <w:ind w:firstLine="640"/>
        <w:jc w:val="both"/>
        <w:outlineLvl w:val="3"/>
      </w:pPr>
      <w:r>
        <w:rPr>
          <w:rFonts w:ascii="楷体_GB2312" w:hAnsi="楷体_GB2312" w:eastAsia="楷体_GB2312"/>
          <w:b/>
          <w:sz w:val="32"/>
        </w:rPr>
        <w:t>（二）一般公共预算财政拨款支出决算结构情况</w:t>
      </w:r>
    </w:p>
    <w:p w14:paraId="53E7E683">
      <w:pPr>
        <w:spacing w:line="580" w:lineRule="exact"/>
        <w:ind w:firstLine="640"/>
        <w:jc w:val="both"/>
      </w:pPr>
      <w:r>
        <w:rPr>
          <w:rFonts w:ascii="仿宋_GB2312" w:hAnsi="仿宋_GB2312" w:eastAsia="仿宋_GB2312"/>
          <w:b w:val="0"/>
          <w:sz w:val="32"/>
        </w:rPr>
        <w:t>1.文化旅游体育与传媒支出(类)634.95万元,占79.63%。</w:t>
      </w:r>
    </w:p>
    <w:p w14:paraId="73B90C28">
      <w:pPr>
        <w:spacing w:line="580" w:lineRule="exact"/>
        <w:ind w:firstLine="640"/>
        <w:jc w:val="both"/>
      </w:pPr>
      <w:r>
        <w:rPr>
          <w:rFonts w:ascii="仿宋_GB2312" w:hAnsi="仿宋_GB2312" w:eastAsia="仿宋_GB2312"/>
          <w:b w:val="0"/>
          <w:sz w:val="32"/>
        </w:rPr>
        <w:t>2.社会保障和就业支出(类)89.35万元,占11.21%。</w:t>
      </w:r>
    </w:p>
    <w:p w14:paraId="7081A9A5">
      <w:pPr>
        <w:spacing w:line="580" w:lineRule="exact"/>
        <w:ind w:firstLine="640"/>
        <w:jc w:val="both"/>
      </w:pPr>
      <w:r>
        <w:rPr>
          <w:rFonts w:ascii="仿宋_GB2312" w:hAnsi="仿宋_GB2312" w:eastAsia="仿宋_GB2312"/>
          <w:b w:val="0"/>
          <w:sz w:val="32"/>
        </w:rPr>
        <w:t>3.卫生健康支出(类)25.11万元,占3.15%。</w:t>
      </w:r>
    </w:p>
    <w:p w14:paraId="7AD00F7F">
      <w:pPr>
        <w:spacing w:line="580" w:lineRule="exact"/>
        <w:ind w:firstLine="640"/>
        <w:jc w:val="both"/>
      </w:pPr>
      <w:r>
        <w:rPr>
          <w:rFonts w:ascii="仿宋_GB2312" w:hAnsi="仿宋_GB2312" w:eastAsia="仿宋_GB2312"/>
          <w:b w:val="0"/>
          <w:sz w:val="32"/>
        </w:rPr>
        <w:t>4.住房保障支出(类)47.96万元,占6.01%。</w:t>
      </w:r>
    </w:p>
    <w:p w14:paraId="0D3A1749">
      <w:pPr>
        <w:spacing w:line="640" w:lineRule="exact"/>
        <w:ind w:firstLine="640"/>
        <w:jc w:val="both"/>
        <w:outlineLvl w:val="3"/>
      </w:pPr>
      <w:r>
        <w:rPr>
          <w:rFonts w:ascii="楷体_GB2312" w:hAnsi="楷体_GB2312" w:eastAsia="楷体_GB2312"/>
          <w:b/>
          <w:sz w:val="32"/>
        </w:rPr>
        <w:t>（三）一般公共预算财政拨款支出决算具体情况</w:t>
      </w:r>
    </w:p>
    <w:p w14:paraId="4F114956">
      <w:pPr>
        <w:spacing w:line="580" w:lineRule="exact"/>
        <w:ind w:firstLine="640"/>
        <w:jc w:val="both"/>
      </w:pPr>
      <w:r>
        <w:rPr>
          <w:rFonts w:ascii="仿宋_GB2312" w:hAnsi="仿宋_GB2312" w:eastAsia="仿宋_GB2312"/>
          <w:b w:val="0"/>
          <w:sz w:val="32"/>
        </w:rPr>
        <w:t>1.文化旅游体育与传媒支出(类)广播电视(款)广播电视事务(项):支出决算数为509.48万元，比上年决算减少12.09万元，下降2.32%,主要原因是：本年在职人员转退休，工资等人员经费减少。</w:t>
      </w:r>
    </w:p>
    <w:p w14:paraId="3A1F18FC">
      <w:pPr>
        <w:spacing w:line="580" w:lineRule="exact"/>
        <w:ind w:firstLine="640"/>
        <w:jc w:val="both"/>
      </w:pPr>
      <w:r>
        <w:rPr>
          <w:rFonts w:ascii="仿宋_GB2312" w:hAnsi="仿宋_GB2312" w:eastAsia="仿宋_GB2312"/>
          <w:b w:val="0"/>
          <w:sz w:val="32"/>
        </w:rPr>
        <w:t>2.文化旅游体育与传媒支出(类)广播电视(款)其他广播电视支出(项):支出决算数为118.04万元，比上年决算增加37.48万元，增长46.52%,主要原因是：本年度增加广播电视“村村通”运行维护聘用人员经费。</w:t>
      </w:r>
    </w:p>
    <w:p w14:paraId="2A209A4B">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7.43万元，比上年决算减少33.02万元，下降81.63%,主要原因是：本年减少中央广播电视节目无线覆盖工程[数字]运行维护费项目。</w:t>
      </w:r>
    </w:p>
    <w:p w14:paraId="2D5B50D5">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21.44万元，比上年决算增加3.96万元，增长22.65%,主要原因是：本年新增退休人员，补发退休人员绩效，导致退休费较上年增加。</w:t>
      </w:r>
    </w:p>
    <w:p w14:paraId="10457413">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5.社会保障和就业支出(类)行政事业单位养老支出(款)机关事业单位基本养老保险缴费支出(项):支出决算数为59.08万元，比上年决算增加7.14万元，增长13.75%,主要原因是：本年在职人员调薪，养老保险缴费增加。</w:t>
      </w:r>
    </w:p>
    <w:p w14:paraId="525C5671">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6.社会保障和就业支出(类)行政事业单位养老支出(款)机关事业单位职业年金缴费支出(项):支出决算数为8.83万元，比上年决算增加8.83万元，增长100.00%,主要原因是：本年新增退休人员，职业年金缴费支出增加。</w:t>
      </w:r>
    </w:p>
    <w:p w14:paraId="39E1D308">
      <w:pPr>
        <w:spacing w:line="580" w:lineRule="exact"/>
        <w:ind w:firstLine="640"/>
        <w:jc w:val="both"/>
      </w:pPr>
      <w:r>
        <w:rPr>
          <w:rFonts w:ascii="仿宋_GB2312" w:hAnsi="仿宋_GB2312" w:eastAsia="仿宋_GB2312"/>
          <w:b w:val="0"/>
          <w:sz w:val="32"/>
        </w:rPr>
        <w:t>7.卫生健康支出(类)行政事业单位医疗(款)事业单位医疗(项):支出决算数为25.11万元，比上年决算减少3.28万元，下降11.55%,主要原因是：本年在职人员转退休，事业单位医疗支出减少。</w:t>
      </w:r>
    </w:p>
    <w:p w14:paraId="6CAAB19F">
      <w:pPr>
        <w:spacing w:line="580" w:lineRule="exact"/>
        <w:ind w:firstLine="640"/>
        <w:jc w:val="both"/>
      </w:pPr>
      <w:r>
        <w:rPr>
          <w:rFonts w:ascii="仿宋_GB2312" w:hAnsi="仿宋_GB2312" w:eastAsia="仿宋_GB2312"/>
          <w:b w:val="0"/>
          <w:sz w:val="32"/>
        </w:rPr>
        <w:t>8.卫生健康支出(类)行政事业单位医疗(款)公务员医疗补助(项):支出决算数为0.00万元，比上年决算减少0.48万元，下降100.00%,主要原因是：本年度因政策调整，退休人员医疗补助不由单位缴纳，导致经费减少。</w:t>
      </w:r>
    </w:p>
    <w:p w14:paraId="1F470F9D">
      <w:pPr>
        <w:spacing w:line="580" w:lineRule="exact"/>
        <w:ind w:firstLine="640"/>
        <w:jc w:val="both"/>
      </w:pPr>
      <w:r>
        <w:rPr>
          <w:rFonts w:ascii="仿宋_GB2312" w:hAnsi="仿宋_GB2312" w:eastAsia="仿宋_GB2312"/>
          <w:b w:val="0"/>
          <w:sz w:val="32"/>
        </w:rPr>
        <w:t>9.住房保障支出(类)住房改革支出(款)住房公积金(项):支出决算数为47.96万元，比上年决算增加6.43万元，增长15.48%,主要原因是：本年在职人员调薪，住房公积金缴费增加。</w:t>
      </w:r>
    </w:p>
    <w:p w14:paraId="7B267C3F">
      <w:pPr>
        <w:spacing w:line="640" w:lineRule="exact"/>
        <w:ind w:firstLine="640"/>
        <w:jc w:val="both"/>
        <w:outlineLvl w:val="2"/>
      </w:pPr>
      <w:r>
        <w:rPr>
          <w:rFonts w:ascii="黑体" w:hAnsi="黑体" w:eastAsia="黑体"/>
          <w:sz w:val="32"/>
        </w:rPr>
        <w:t>六、一般公共预算财政拨款基本支出决算情况说明</w:t>
      </w:r>
    </w:p>
    <w:p w14:paraId="4CA9E0BB">
      <w:pPr>
        <w:spacing w:line="580" w:lineRule="exact"/>
        <w:ind w:firstLine="640"/>
        <w:jc w:val="both"/>
      </w:pPr>
      <w:r>
        <w:rPr>
          <w:rFonts w:ascii="仿宋_GB2312" w:hAnsi="仿宋_GB2312" w:eastAsia="仿宋_GB2312"/>
          <w:b w:val="0"/>
          <w:sz w:val="32"/>
        </w:rPr>
        <w:t>2024年度一般公共预算财政拨款基本支出671.90万元，其中：</w:t>
      </w:r>
      <w:r>
        <w:rPr>
          <w:rFonts w:ascii="仿宋_GB2312" w:hAnsi="仿宋_GB2312" w:eastAsia="仿宋_GB2312"/>
          <w:b/>
          <w:sz w:val="32"/>
        </w:rPr>
        <w:t>人员经费645.48万元，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5D182167">
      <w:pPr>
        <w:spacing w:line="580" w:lineRule="exact"/>
        <w:ind w:firstLine="640"/>
        <w:jc w:val="both"/>
      </w:pPr>
      <w:r>
        <w:rPr>
          <w:rFonts w:ascii="仿宋_GB2312" w:hAnsi="仿宋_GB2312" w:eastAsia="仿宋_GB2312"/>
          <w:b/>
          <w:sz w:val="32"/>
        </w:rPr>
        <w:t>公用经费26.42万元，</w:t>
      </w:r>
      <w:r>
        <w:rPr>
          <w:rFonts w:ascii="仿宋_GB2312" w:hAnsi="仿宋_GB2312" w:eastAsia="仿宋_GB2312"/>
          <w:b w:val="0"/>
          <w:sz w:val="32"/>
        </w:rPr>
        <w:t>包括：办公费、水费、电费、邮电费、取暖费、物业管理费、差旅费、维修（护）费、公务用车运行维护费。</w:t>
      </w:r>
    </w:p>
    <w:p w14:paraId="116D82BB">
      <w:pPr>
        <w:spacing w:line="640" w:lineRule="exact"/>
        <w:ind w:firstLine="640"/>
        <w:jc w:val="both"/>
        <w:outlineLvl w:val="2"/>
      </w:pPr>
      <w:r>
        <w:rPr>
          <w:rFonts w:ascii="黑体" w:hAnsi="黑体" w:eastAsia="黑体"/>
          <w:sz w:val="32"/>
        </w:rPr>
        <w:t>七、政府性基金预算财政拨款收入支出决算情况说明</w:t>
      </w:r>
    </w:p>
    <w:p w14:paraId="5789CD1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DEEF716">
      <w:pPr>
        <w:spacing w:line="640" w:lineRule="exact"/>
        <w:ind w:firstLine="640"/>
        <w:jc w:val="both"/>
        <w:outlineLvl w:val="2"/>
      </w:pPr>
      <w:r>
        <w:rPr>
          <w:rFonts w:ascii="黑体" w:hAnsi="黑体" w:eastAsia="黑体"/>
          <w:sz w:val="32"/>
        </w:rPr>
        <w:t>八、国有资本经营预算财政拨款收入支出决算情况说明</w:t>
      </w:r>
    </w:p>
    <w:p w14:paraId="69B1FBE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C7D8BB">
      <w:pPr>
        <w:spacing w:line="640" w:lineRule="exact"/>
        <w:ind w:firstLine="640"/>
        <w:jc w:val="both"/>
        <w:outlineLvl w:val="2"/>
      </w:pPr>
      <w:r>
        <w:rPr>
          <w:rFonts w:ascii="黑体" w:hAnsi="黑体" w:eastAsia="黑体"/>
          <w:sz w:val="32"/>
        </w:rPr>
        <w:t>九、财政拨款“三公”经费支出决算情况说明</w:t>
      </w:r>
    </w:p>
    <w:p w14:paraId="26147A84">
      <w:pPr>
        <w:spacing w:line="580" w:lineRule="exact"/>
        <w:ind w:firstLine="640"/>
        <w:jc w:val="both"/>
      </w:pPr>
      <w:r>
        <w:rPr>
          <w:rFonts w:ascii="仿宋_GB2312" w:hAnsi="仿宋_GB2312" w:eastAsia="仿宋_GB2312"/>
          <w:b/>
          <w:sz w:val="32"/>
        </w:rPr>
        <w:t>2024年度财政拨款“三公”经费支出3.48万元，</w:t>
      </w:r>
      <w:r>
        <w:rPr>
          <w:rFonts w:ascii="仿宋_GB2312" w:hAnsi="仿宋_GB2312" w:eastAsia="仿宋_GB2312"/>
          <w:b w:val="0"/>
          <w:sz w:val="32"/>
        </w:rPr>
        <w:t>比上年增加1.47万元，增长73.13%，主要原因是：本年内采访任务增加，12个乡镇采访，增加加油费和车辆维修费，导致公务用车运行维护费支出增加。其中：因公出国（境）费支出0.00万元，占0.00%，比上年增加0.00万元，增长0.00%，主要原因是：2023年与2024年均未安排因公出国（境）费支出。公务用车购置及运行维护费支出3.48万元，占100.00%，比上年增加1.47万元，增长73.13%，主要原因是：本年内采访任务增加，12个乡镇采访，增加加油费和车辆维修费，导致公务用车运行维护费支出增加。公务接待费支出0.00万元，占0.00%，比上年增加0.00万元，增长0.00%，主要原因是：2023年与2024年均未安排公务接待费支出。</w:t>
      </w:r>
    </w:p>
    <w:p w14:paraId="7E662939">
      <w:pPr>
        <w:spacing w:line="580" w:lineRule="exact"/>
        <w:ind w:firstLine="640"/>
        <w:jc w:val="both"/>
      </w:pPr>
      <w:r>
        <w:rPr>
          <w:rFonts w:ascii="仿宋_GB2312" w:hAnsi="仿宋_GB2312" w:eastAsia="仿宋_GB2312"/>
          <w:b/>
          <w:sz w:val="32"/>
        </w:rPr>
        <w:t>具体情况如下：</w:t>
      </w:r>
    </w:p>
    <w:p w14:paraId="3F82C39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41156B">
      <w:pPr>
        <w:spacing w:line="580" w:lineRule="exact"/>
        <w:ind w:firstLine="640"/>
        <w:jc w:val="both"/>
      </w:pPr>
      <w:r>
        <w:rPr>
          <w:rFonts w:ascii="仿宋_GB2312" w:hAnsi="仿宋_GB2312" w:eastAsia="仿宋_GB2312"/>
          <w:b w:val="0"/>
          <w:sz w:val="32"/>
        </w:rPr>
        <w:t>公务用车购置及运行维护费3.48万元，其中：公务用车购置费0.00万元，公务用车运行维护费3.48万元。公务用车运行维护费开支内容包括车辆加油费、维修费。公务用车购置数0辆，公务用车保有量2辆。国有资产占用情况中固定资产车辆2辆，与公务用车保有量差异原因是：本单位固定资产车辆与公务用车保有量一致无差异。</w:t>
      </w:r>
    </w:p>
    <w:p w14:paraId="68FB4D8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96C3DE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3.48万元，决算数3.48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3.48万元，决算数3.48万元，预决算差异率0.00%，主要原因是：严格按照预算执行，预决算无差异。公务接待费全年预算数0.00万元，决算数0.00万元，预决算差异率0.00%，主要原因是：本单位无公务接待费。</w:t>
      </w:r>
    </w:p>
    <w:p w14:paraId="52BD193E">
      <w:pPr>
        <w:spacing w:line="640" w:lineRule="exact"/>
        <w:ind w:firstLine="640"/>
        <w:jc w:val="both"/>
        <w:outlineLvl w:val="2"/>
      </w:pPr>
      <w:r>
        <w:rPr>
          <w:rFonts w:ascii="黑体" w:hAnsi="黑体" w:eastAsia="黑体"/>
          <w:sz w:val="32"/>
        </w:rPr>
        <w:t>十、其他重要事项的情况说明</w:t>
      </w:r>
    </w:p>
    <w:p w14:paraId="70675F5C">
      <w:pPr>
        <w:spacing w:line="640" w:lineRule="exact"/>
        <w:ind w:firstLine="640"/>
        <w:jc w:val="both"/>
        <w:outlineLvl w:val="3"/>
      </w:pPr>
      <w:r>
        <w:rPr>
          <w:rFonts w:ascii="楷体_GB2312" w:hAnsi="楷体_GB2312" w:eastAsia="楷体_GB2312"/>
          <w:b/>
          <w:sz w:val="32"/>
        </w:rPr>
        <w:t>（一）机关运行经费及公用经费支出情况</w:t>
      </w:r>
    </w:p>
    <w:p w14:paraId="69E3DEFB">
      <w:pPr>
        <w:spacing w:line="580" w:lineRule="exact"/>
        <w:ind w:firstLine="640"/>
        <w:jc w:val="both"/>
      </w:pPr>
      <w:r>
        <w:rPr>
          <w:rFonts w:ascii="仿宋_GB2312" w:hAnsi="仿宋_GB2312" w:eastAsia="仿宋_GB2312"/>
          <w:b w:val="0"/>
          <w:sz w:val="32"/>
        </w:rPr>
        <w:t>2024年度岳普湖县融媒体中心（事业单位）公用经费支出26.42万元，比上年增加0.88万元，增长3.45%，主要原因是：本年内采访任务增加，12个乡镇采访，增加加油费和车辆维修费，导致公务用车运行维护费支出增加。</w:t>
      </w:r>
    </w:p>
    <w:p w14:paraId="323B0610">
      <w:pPr>
        <w:spacing w:line="640" w:lineRule="exact"/>
        <w:ind w:firstLine="640"/>
        <w:jc w:val="both"/>
        <w:outlineLvl w:val="3"/>
      </w:pPr>
      <w:r>
        <w:rPr>
          <w:rFonts w:ascii="楷体_GB2312" w:hAnsi="楷体_GB2312" w:eastAsia="楷体_GB2312"/>
          <w:b/>
          <w:sz w:val="32"/>
        </w:rPr>
        <w:t>（二）政府采购情况</w:t>
      </w:r>
    </w:p>
    <w:p w14:paraId="56A80F90">
      <w:pPr>
        <w:spacing w:line="580" w:lineRule="exact"/>
        <w:ind w:firstLine="640"/>
        <w:jc w:val="both"/>
      </w:pPr>
      <w:r>
        <w:rPr>
          <w:rFonts w:ascii="仿宋_GB2312" w:hAnsi="仿宋_GB2312" w:eastAsia="仿宋_GB2312"/>
          <w:b w:val="0"/>
          <w:sz w:val="32"/>
        </w:rPr>
        <w:t>2024年度政府采购支出总额1.73万元，其中：政府采购货物支出0.00万元、政府采购工程支出0.00万元、政府采购服务支出1.73万元。</w:t>
      </w:r>
    </w:p>
    <w:p w14:paraId="4BA6F1C4">
      <w:pPr>
        <w:spacing w:line="580" w:lineRule="exact"/>
        <w:ind w:firstLine="640"/>
        <w:jc w:val="both"/>
      </w:pPr>
      <w:r>
        <w:rPr>
          <w:rFonts w:ascii="仿宋_GB2312" w:hAnsi="仿宋_GB2312" w:eastAsia="仿宋_GB2312"/>
          <w:b w:val="0"/>
          <w:sz w:val="32"/>
        </w:rPr>
        <w:t>授予中小企业合同金额1.73万元，占政府采购支出总额的100.00%，其中：授予小微企业合同金额1.73万元，占政府采购支出总额的100.00%。</w:t>
      </w:r>
    </w:p>
    <w:p w14:paraId="7214DC3B">
      <w:pPr>
        <w:spacing w:line="640" w:lineRule="exact"/>
        <w:ind w:firstLine="640"/>
        <w:jc w:val="both"/>
        <w:outlineLvl w:val="3"/>
      </w:pPr>
      <w:r>
        <w:rPr>
          <w:rFonts w:ascii="楷体_GB2312" w:hAnsi="楷体_GB2312" w:eastAsia="楷体_GB2312"/>
          <w:b/>
          <w:sz w:val="32"/>
        </w:rPr>
        <w:t>（三）国有资产占用情况说明</w:t>
      </w:r>
    </w:p>
    <w:p w14:paraId="616A4139">
      <w:pPr>
        <w:spacing w:line="580" w:lineRule="exact"/>
        <w:ind w:firstLine="640"/>
        <w:jc w:val="both"/>
      </w:pPr>
      <w:r>
        <w:rPr>
          <w:rFonts w:ascii="仿宋_GB2312" w:hAnsi="仿宋_GB2312" w:eastAsia="仿宋_GB2312"/>
          <w:b w:val="0"/>
          <w:sz w:val="32"/>
        </w:rPr>
        <w:t>截至2024年12月31日，房屋1,155.00平方米，价值271.14万元。车辆2辆，价值21.46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1台（套）。</w:t>
      </w:r>
    </w:p>
    <w:p w14:paraId="4990CA3F">
      <w:pPr>
        <w:spacing w:line="640" w:lineRule="exact"/>
        <w:ind w:firstLine="640"/>
        <w:jc w:val="both"/>
        <w:outlineLvl w:val="2"/>
      </w:pPr>
      <w:r>
        <w:rPr>
          <w:rFonts w:ascii="黑体" w:hAnsi="黑体" w:eastAsia="黑体"/>
          <w:sz w:val="32"/>
        </w:rPr>
        <w:t>十一、预算绩效的情况说明</w:t>
      </w:r>
    </w:p>
    <w:p w14:paraId="551D132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根据预算绩效管理要求，本单位2024年度预算绩效管理形成整体支出绩效自评表1个，全年预算总额1,036.34万元，实际执行总额1,036.34万元；预算绩效评价项目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个，全年预算数2</w:t>
      </w:r>
      <w:r>
        <w:rPr>
          <w:rFonts w:hint="eastAsia" w:ascii="仿宋_GB2312" w:hAnsi="仿宋_GB2312" w:eastAsia="仿宋_GB2312"/>
          <w:b w:val="0"/>
          <w:sz w:val="32"/>
          <w:lang w:val="en-US" w:eastAsia="zh-CN"/>
        </w:rPr>
        <w:t>97.93</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297.70</w:t>
      </w:r>
      <w:r>
        <w:rPr>
          <w:rFonts w:ascii="仿宋_GB2312" w:hAnsi="仿宋_GB2312" w:eastAsia="仿宋_GB2312"/>
          <w:b w:val="0"/>
          <w:sz w:val="32"/>
        </w:rPr>
        <w:t>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村村通工作人员工资发放不及时；二是项目财务人员更换频繁；三是绩效管理专业人员匮乏规范管理有盲点预算绩效管理工作的覆盖面广专业性强预算单位在开展日常管理需要具备一定专业素养和实战经验的</w:t>
      </w:r>
      <w:r>
        <w:rPr>
          <w:rFonts w:hint="eastAsia" w:ascii="仿宋_GB2312" w:hAnsi="仿宋_GB2312" w:eastAsia="仿宋_GB2312"/>
          <w:b w:val="0"/>
          <w:sz w:val="32"/>
          <w:lang w:eastAsia="zh-CN"/>
        </w:rPr>
        <w:t>人员</w:t>
      </w:r>
      <w:r>
        <w:rPr>
          <w:rFonts w:ascii="仿宋_GB2312" w:hAnsi="仿宋_GB2312" w:eastAsia="仿宋_GB2312"/>
          <w:b w:val="0"/>
          <w:sz w:val="32"/>
        </w:rPr>
        <w:t>。下一步改进措施：一是加强项目管理；二是加大宣传工作力度；三是在以后年度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四是加强对以前年度资金使用情况的分析和总结，加强预算编制科学化精细化管理增强预算编制的严肃性和权威性。具体附整体支出绩效自评表，</w:t>
      </w:r>
      <w:bookmarkStart w:id="0" w:name="_GoBack"/>
      <w:r>
        <w:rPr>
          <w:rFonts w:ascii="仿宋_GB2312" w:hAnsi="仿宋_GB2312" w:eastAsia="仿宋_GB2312"/>
          <w:b w:val="0"/>
          <w:sz w:val="32"/>
        </w:rPr>
        <w:t>项目支出绩效自评表</w:t>
      </w:r>
      <w:bookmarkEnd w:id="0"/>
      <w:r>
        <w:rPr>
          <w:rFonts w:ascii="仿宋_GB2312" w:hAnsi="仿宋_GB2312" w:eastAsia="仿宋_GB2312"/>
          <w:b w:val="0"/>
          <w:sz w:val="32"/>
        </w:rPr>
        <w:t>和评价报告。</w:t>
      </w:r>
    </w:p>
    <w:p w14:paraId="2B3301D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D8D45C3">
        <w:tblPrEx>
          <w:tblCellMar>
            <w:top w:w="0" w:type="dxa"/>
            <w:left w:w="108" w:type="dxa"/>
            <w:bottom w:w="0" w:type="dxa"/>
            <w:right w:w="108" w:type="dxa"/>
          </w:tblCellMar>
        </w:tblPrEx>
        <w:tc>
          <w:tcPr>
            <w:tcW w:w="8847" w:type="dxa"/>
            <w:gridSpan w:val="9"/>
            <w:vAlign w:val="center"/>
          </w:tcPr>
          <w:p w14:paraId="5582DA55">
            <w:pPr>
              <w:jc w:val="center"/>
            </w:pPr>
            <w:r>
              <w:rPr>
                <w:rFonts w:ascii="宋体" w:hAnsi="宋体" w:eastAsia="宋体"/>
                <w:sz w:val="24"/>
              </w:rPr>
              <w:t>单位整体支出绩效自评表</w:t>
            </w:r>
          </w:p>
        </w:tc>
      </w:tr>
      <w:tr w14:paraId="68BFEE9F">
        <w:tblPrEx>
          <w:tblCellMar>
            <w:top w:w="0" w:type="dxa"/>
            <w:left w:w="108" w:type="dxa"/>
            <w:bottom w:w="0" w:type="dxa"/>
            <w:right w:w="108" w:type="dxa"/>
          </w:tblCellMar>
        </w:tblPrEx>
        <w:tc>
          <w:tcPr>
            <w:tcW w:w="8847" w:type="dxa"/>
            <w:gridSpan w:val="9"/>
            <w:vAlign w:val="center"/>
          </w:tcPr>
          <w:p w14:paraId="6196EC11">
            <w:pPr>
              <w:jc w:val="center"/>
            </w:pPr>
            <w:r>
              <w:rPr>
                <w:rFonts w:ascii="宋体" w:hAnsi="宋体" w:eastAsia="宋体"/>
                <w:sz w:val="24"/>
              </w:rPr>
              <w:t>（2024年度）</w:t>
            </w:r>
          </w:p>
        </w:tc>
      </w:tr>
      <w:tr w14:paraId="05C52F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4140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FB93A0">
            <w:pPr>
              <w:jc w:val="center"/>
            </w:pPr>
            <w:r>
              <w:rPr>
                <w:rFonts w:ascii="宋体" w:hAnsi="宋体" w:eastAsia="宋体"/>
                <w:sz w:val="16"/>
              </w:rPr>
              <w:t>岳普湖县融媒体中心</w:t>
            </w:r>
          </w:p>
        </w:tc>
      </w:tr>
      <w:tr w14:paraId="4B4164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FE16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A113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6C3A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2744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1974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EFC7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621C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6201E">
            <w:pPr>
              <w:jc w:val="center"/>
            </w:pPr>
            <w:r>
              <w:rPr>
                <w:rFonts w:ascii="宋体" w:hAnsi="宋体" w:eastAsia="宋体"/>
                <w:sz w:val="16"/>
              </w:rPr>
              <w:t>得分</w:t>
            </w:r>
          </w:p>
        </w:tc>
      </w:tr>
      <w:tr w14:paraId="222D8F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ECE7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F7E6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EE0E1">
            <w:pPr>
              <w:jc w:val="center"/>
            </w:pPr>
            <w:r>
              <w:rPr>
                <w:rFonts w:ascii="宋体" w:hAnsi="宋体" w:eastAsia="宋体"/>
                <w:sz w:val="16"/>
              </w:rPr>
              <w:t>781.92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BFAEE">
            <w:pPr>
              <w:jc w:val="center"/>
            </w:pPr>
            <w:r>
              <w:rPr>
                <w:rFonts w:ascii="宋体" w:hAnsi="宋体" w:eastAsia="宋体"/>
                <w:sz w:val="16"/>
              </w:rPr>
              <w:t>1,036.34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8ED63">
            <w:pPr>
              <w:jc w:val="center"/>
            </w:pPr>
            <w:r>
              <w:rPr>
                <w:rFonts w:ascii="宋体" w:hAnsi="宋体" w:eastAsia="宋体"/>
                <w:sz w:val="16"/>
              </w:rPr>
              <w:t>1,036.34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2B8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3003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BB6F1">
            <w:pPr>
              <w:jc w:val="center"/>
            </w:pPr>
            <w:r>
              <w:rPr>
                <w:rFonts w:ascii="宋体" w:hAnsi="宋体" w:eastAsia="宋体"/>
                <w:sz w:val="16"/>
              </w:rPr>
              <w:t>10</w:t>
            </w:r>
          </w:p>
        </w:tc>
      </w:tr>
      <w:tr w14:paraId="2A1D8E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5D2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E202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FD8B7">
            <w:pPr>
              <w:jc w:val="center"/>
            </w:pPr>
            <w:r>
              <w:rPr>
                <w:rFonts w:ascii="宋体" w:hAnsi="宋体" w:eastAsia="宋体"/>
                <w:sz w:val="16"/>
              </w:rPr>
              <w:t>107.89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830FA">
            <w:pPr>
              <w:jc w:val="center"/>
            </w:pPr>
            <w:r>
              <w:rPr>
                <w:rFonts w:ascii="宋体" w:hAnsi="宋体" w:eastAsia="宋体"/>
                <w:sz w:val="16"/>
              </w:rPr>
              <w:t>135.00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D588C">
            <w:pPr>
              <w:jc w:val="center"/>
            </w:pPr>
            <w:r>
              <w:rPr>
                <w:rFonts w:ascii="宋体" w:hAnsi="宋体" w:eastAsia="宋体"/>
                <w:sz w:val="16"/>
              </w:rPr>
              <w:t>135.00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9D6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64A2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18927">
            <w:pPr>
              <w:jc w:val="center"/>
            </w:pPr>
            <w:r>
              <w:rPr>
                <w:rFonts w:ascii="宋体" w:hAnsi="宋体" w:eastAsia="宋体"/>
                <w:sz w:val="16"/>
              </w:rPr>
              <w:t>—</w:t>
            </w:r>
          </w:p>
        </w:tc>
      </w:tr>
      <w:tr w14:paraId="793835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1D1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1FD1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67B8E">
            <w:pPr>
              <w:jc w:val="center"/>
            </w:pPr>
            <w:r>
              <w:rPr>
                <w:rFonts w:ascii="宋体" w:hAnsi="宋体" w:eastAsia="宋体"/>
                <w:sz w:val="16"/>
              </w:rPr>
              <w:t>674.03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6D3E2">
            <w:pPr>
              <w:jc w:val="center"/>
            </w:pPr>
            <w:r>
              <w:rPr>
                <w:rFonts w:ascii="宋体" w:hAnsi="宋体" w:eastAsia="宋体"/>
                <w:sz w:val="16"/>
              </w:rPr>
              <w:t>662.37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4B07D">
            <w:pPr>
              <w:jc w:val="center"/>
            </w:pPr>
            <w:r>
              <w:rPr>
                <w:rFonts w:ascii="宋体" w:hAnsi="宋体" w:eastAsia="宋体"/>
                <w:sz w:val="16"/>
              </w:rPr>
              <w:t>662.37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C99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0A41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1349A">
            <w:pPr>
              <w:jc w:val="center"/>
            </w:pPr>
            <w:r>
              <w:rPr>
                <w:rFonts w:ascii="宋体" w:hAnsi="宋体" w:eastAsia="宋体"/>
                <w:sz w:val="16"/>
              </w:rPr>
              <w:t>—</w:t>
            </w:r>
          </w:p>
        </w:tc>
      </w:tr>
      <w:tr w14:paraId="00CE92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467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34D1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758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85D9A">
            <w:pPr>
              <w:jc w:val="center"/>
            </w:pPr>
            <w:r>
              <w:rPr>
                <w:rFonts w:ascii="宋体" w:hAnsi="宋体" w:eastAsia="宋体"/>
                <w:sz w:val="16"/>
              </w:rPr>
              <w:t>238.97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61CC9">
            <w:pPr>
              <w:jc w:val="center"/>
            </w:pPr>
            <w:r>
              <w:rPr>
                <w:rFonts w:ascii="宋体" w:hAnsi="宋体" w:eastAsia="宋体"/>
                <w:sz w:val="16"/>
              </w:rPr>
              <w:t>238.97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F77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551D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521E">
            <w:pPr>
              <w:jc w:val="center"/>
            </w:pPr>
            <w:r>
              <w:rPr>
                <w:rFonts w:ascii="宋体" w:hAnsi="宋体" w:eastAsia="宋体"/>
                <w:sz w:val="16"/>
              </w:rPr>
              <w:t>—</w:t>
            </w:r>
          </w:p>
        </w:tc>
      </w:tr>
      <w:tr w14:paraId="737A4B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13F2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D1CB3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C8D9AE">
            <w:pPr>
              <w:jc w:val="center"/>
            </w:pPr>
            <w:r>
              <w:rPr>
                <w:rFonts w:ascii="宋体" w:hAnsi="宋体" w:eastAsia="宋体"/>
                <w:sz w:val="16"/>
              </w:rPr>
              <w:t>实际完成情况</w:t>
            </w:r>
          </w:p>
        </w:tc>
      </w:tr>
      <w:tr w14:paraId="1EB0FE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6B201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B2B0E1">
            <w:pPr>
              <w:jc w:val="both"/>
            </w:pPr>
            <w:r>
              <w:rPr>
                <w:rFonts w:ascii="宋体" w:hAnsi="宋体" w:eastAsia="宋体"/>
                <w:sz w:val="16"/>
              </w:rPr>
              <w:t>管理广播电视频道数量61套，其中：管理广播频道数量5套，管理电视频道数量56套。管理维护新媒体平台数量5个。立足基层，充分利用本土化资源优势，发布权威政府信息，挖掘具有地方特色的新闻，整合全媒体优势资源，提升主流舆论引导能力，推动媒体服务与公共服务一体化融合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E61A6C">
            <w:pPr>
              <w:jc w:val="both"/>
            </w:pPr>
            <w:r>
              <w:rPr>
                <w:rFonts w:ascii="宋体" w:hAnsi="宋体" w:eastAsia="宋体"/>
                <w:sz w:val="16"/>
              </w:rPr>
              <w:t>全年管理广播电视频道达到了61套，其中：管理广播频道达到了5套，管理电视频道达到了56套，广播电视信号覆盖了岳普湖县各乡镇行政村。全年管理维护新媒体平台达到了5个。做到了立足基层，充分利用本土化资源优势，及时发布了准确权威的政府信息，进一步挖掘具有地方特色的新闻，整合了全媒体优势资源，有效提升了主流舆论引导能力，持续推动了媒体服务与公共服务一体化融合发展。</w:t>
            </w:r>
          </w:p>
        </w:tc>
      </w:tr>
      <w:tr w14:paraId="3A71CB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1EDB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1651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02FE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568E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F7FC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0D41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A404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8D12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17E10">
            <w:pPr>
              <w:jc w:val="center"/>
            </w:pPr>
            <w:r>
              <w:rPr>
                <w:rFonts w:ascii="宋体" w:hAnsi="宋体" w:eastAsia="宋体"/>
                <w:sz w:val="16"/>
              </w:rPr>
              <w:t>得分</w:t>
            </w:r>
          </w:p>
        </w:tc>
      </w:tr>
      <w:tr w14:paraId="4988A3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1EAB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EC03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399D0">
            <w:pPr>
              <w:jc w:val="center"/>
            </w:pPr>
            <w:r>
              <w:rPr>
                <w:rFonts w:ascii="宋体" w:hAnsi="宋体" w:eastAsia="宋体"/>
                <w:sz w:val="16"/>
              </w:rPr>
              <w:t>管理广播电视频道数量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9CEA2">
            <w:pPr>
              <w:jc w:val="center"/>
            </w:pPr>
            <w:r>
              <w:rPr>
                <w:rFonts w:ascii="宋体" w:hAnsi="宋体" w:eastAsia="宋体"/>
                <w:sz w:val="16"/>
              </w:rPr>
              <w:t>&gt;=61套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AF3A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12EC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5C531">
            <w:pPr>
              <w:jc w:val="center"/>
            </w:pPr>
            <w:r>
              <w:rPr>
                <w:rFonts w:ascii="宋体" w:hAnsi="宋体" w:eastAsia="宋体"/>
                <w:sz w:val="16"/>
              </w:rPr>
              <w:t>61套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3F5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0798E">
            <w:pPr>
              <w:jc w:val="center"/>
            </w:pPr>
            <w:r>
              <w:rPr>
                <w:rFonts w:ascii="宋体" w:hAnsi="宋体" w:eastAsia="宋体"/>
                <w:sz w:val="16"/>
              </w:rPr>
              <w:t>18</w:t>
            </w:r>
          </w:p>
        </w:tc>
      </w:tr>
      <w:tr w14:paraId="14894A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9792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AD4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6F0AB">
            <w:pPr>
              <w:jc w:val="center"/>
            </w:pPr>
            <w:r>
              <w:rPr>
                <w:rFonts w:ascii="宋体" w:hAnsi="宋体" w:eastAsia="宋体"/>
                <w:sz w:val="16"/>
              </w:rPr>
              <w:t>管理维护新媒体平台数量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F1E5D">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35E8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5DB1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CE6F0">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B02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FF5CA">
            <w:pPr>
              <w:jc w:val="center"/>
            </w:pPr>
            <w:r>
              <w:rPr>
                <w:rFonts w:ascii="宋体" w:hAnsi="宋体" w:eastAsia="宋体"/>
                <w:sz w:val="16"/>
              </w:rPr>
              <w:t>18</w:t>
            </w:r>
          </w:p>
        </w:tc>
      </w:tr>
      <w:tr w14:paraId="2BDB31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0D09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DE31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D945F">
            <w:pPr>
              <w:jc w:val="center"/>
            </w:pPr>
            <w:r>
              <w:rPr>
                <w:rFonts w:ascii="宋体" w:hAnsi="宋体" w:eastAsia="宋体"/>
                <w:sz w:val="16"/>
              </w:rPr>
              <w:t>政务信息发布准确性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C9D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35D1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2F4F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72D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58A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BEFD6">
            <w:pPr>
              <w:jc w:val="center"/>
            </w:pPr>
            <w:r>
              <w:rPr>
                <w:rFonts w:ascii="宋体" w:hAnsi="宋体" w:eastAsia="宋体"/>
                <w:sz w:val="16"/>
              </w:rPr>
              <w:t>18</w:t>
            </w:r>
          </w:p>
        </w:tc>
      </w:tr>
      <w:tr w14:paraId="42CDCF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125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2D56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B6B51">
            <w:pPr>
              <w:jc w:val="center"/>
            </w:pPr>
            <w:r>
              <w:rPr>
                <w:rFonts w:ascii="宋体" w:hAnsi="宋体" w:eastAsia="宋体"/>
                <w:sz w:val="16"/>
              </w:rPr>
              <w:t>广播电视信号行政村覆盖率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487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5B93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2588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96F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BBD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C87D7">
            <w:pPr>
              <w:jc w:val="center"/>
            </w:pPr>
            <w:r>
              <w:rPr>
                <w:rFonts w:ascii="宋体" w:hAnsi="宋体" w:eastAsia="宋体"/>
                <w:sz w:val="16"/>
              </w:rPr>
              <w:t>18</w:t>
            </w:r>
          </w:p>
        </w:tc>
      </w:tr>
      <w:tr w14:paraId="737A18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DC7C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D9FF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F0884">
            <w:pPr>
              <w:jc w:val="center"/>
            </w:pPr>
            <w:r>
              <w:rPr>
                <w:rFonts w:ascii="宋体" w:hAnsi="宋体" w:eastAsia="宋体"/>
                <w:sz w:val="16"/>
              </w:rPr>
              <w:t>政务信息发布及时率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92F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16EE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C9B7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E52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BCE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35CE5">
            <w:pPr>
              <w:jc w:val="center"/>
            </w:pPr>
            <w:r>
              <w:rPr>
                <w:rFonts w:ascii="宋体" w:hAnsi="宋体" w:eastAsia="宋体"/>
                <w:sz w:val="16"/>
              </w:rPr>
              <w:t>18</w:t>
            </w:r>
          </w:p>
        </w:tc>
      </w:tr>
    </w:tbl>
    <w:p w14:paraId="2F5893F0">
      <w:r>
        <w:br w:type="page"/>
      </w:r>
    </w:p>
    <w:tbl>
      <w:tblPr>
        <w:tblStyle w:val="9"/>
        <w:tblW w:w="0" w:type="auto"/>
        <w:tblInd w:w="0" w:type="dxa"/>
        <w:tblLayout w:type="autofit"/>
        <w:tblCellMar>
          <w:top w:w="0" w:type="dxa"/>
          <w:left w:w="108" w:type="dxa"/>
          <w:bottom w:w="0" w:type="dxa"/>
          <w:right w:w="108" w:type="dxa"/>
        </w:tblCellMar>
      </w:tblPr>
      <w:tblGrid>
        <w:gridCol w:w="612"/>
        <w:gridCol w:w="578"/>
        <w:gridCol w:w="578"/>
        <w:gridCol w:w="578"/>
        <w:gridCol w:w="1096"/>
        <w:gridCol w:w="578"/>
        <w:gridCol w:w="578"/>
        <w:gridCol w:w="595"/>
        <w:gridCol w:w="578"/>
        <w:gridCol w:w="578"/>
        <w:gridCol w:w="936"/>
        <w:gridCol w:w="632"/>
        <w:gridCol w:w="513"/>
        <w:gridCol w:w="630"/>
      </w:tblGrid>
      <w:tr w14:paraId="6D23D992">
        <w:tblPrEx>
          <w:tblCellMar>
            <w:top w:w="0" w:type="dxa"/>
            <w:left w:w="108" w:type="dxa"/>
            <w:bottom w:w="0" w:type="dxa"/>
            <w:right w:w="108" w:type="dxa"/>
          </w:tblCellMar>
        </w:tblPrEx>
        <w:tc>
          <w:tcPr>
            <w:tcW w:w="8848" w:type="dxa"/>
            <w:gridSpan w:val="14"/>
            <w:vAlign w:val="center"/>
          </w:tcPr>
          <w:p w14:paraId="78E78EFD">
            <w:pPr>
              <w:jc w:val="center"/>
            </w:pPr>
            <w:r>
              <w:rPr>
                <w:rFonts w:ascii="宋体" w:hAnsi="宋体" w:eastAsia="宋体"/>
                <w:sz w:val="24"/>
              </w:rPr>
              <w:t>项目支出绩效自评表</w:t>
            </w:r>
          </w:p>
        </w:tc>
      </w:tr>
      <w:tr w14:paraId="61502908">
        <w:tblPrEx>
          <w:tblCellMar>
            <w:top w:w="0" w:type="dxa"/>
            <w:left w:w="108" w:type="dxa"/>
            <w:bottom w:w="0" w:type="dxa"/>
            <w:right w:w="108" w:type="dxa"/>
          </w:tblCellMar>
        </w:tblPrEx>
        <w:tc>
          <w:tcPr>
            <w:tcW w:w="8848" w:type="dxa"/>
            <w:gridSpan w:val="14"/>
            <w:vAlign w:val="center"/>
          </w:tcPr>
          <w:p w14:paraId="1B342C9B">
            <w:pPr>
              <w:jc w:val="center"/>
            </w:pPr>
            <w:r>
              <w:rPr>
                <w:rFonts w:ascii="宋体" w:hAnsi="宋体" w:eastAsia="宋体"/>
                <w:sz w:val="24"/>
              </w:rPr>
              <w:t>(2024年度)</w:t>
            </w:r>
          </w:p>
        </w:tc>
      </w:tr>
      <w:tr w14:paraId="31E3B1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58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A4C178">
            <w:pPr>
              <w:jc w:val="center"/>
            </w:pPr>
            <w:r>
              <w:rPr>
                <w:rFonts w:ascii="宋体" w:hAnsi="宋体" w:eastAsia="宋体"/>
                <w:sz w:val="16"/>
              </w:rPr>
              <w:t>2024年岳普湖县旅游特色小镇建设（岳普湖县旅游服务质量提升）项目</w:t>
            </w:r>
          </w:p>
        </w:tc>
      </w:tr>
      <w:tr w14:paraId="60B90B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1F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379AC8">
            <w:pPr>
              <w:jc w:val="center"/>
            </w:pPr>
            <w:r>
              <w:rPr>
                <w:rFonts w:ascii="宋体" w:hAnsi="宋体" w:eastAsia="宋体"/>
                <w:sz w:val="16"/>
              </w:rPr>
              <w:t>岳普湖县融媒体中心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31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890743">
            <w:pPr>
              <w:jc w:val="center"/>
            </w:pPr>
            <w:r>
              <w:rPr>
                <w:rFonts w:ascii="宋体" w:hAnsi="宋体" w:eastAsia="宋体"/>
                <w:sz w:val="16"/>
              </w:rPr>
              <w:t>岳普湖县融媒体中心</w:t>
            </w:r>
          </w:p>
        </w:tc>
      </w:tr>
      <w:tr w14:paraId="6FA541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EB9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C26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CFD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23C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00E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88D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92A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6A63">
            <w:pPr>
              <w:jc w:val="center"/>
            </w:pPr>
            <w:r>
              <w:rPr>
                <w:rFonts w:ascii="宋体" w:hAnsi="宋体" w:eastAsia="宋体"/>
                <w:sz w:val="16"/>
              </w:rPr>
              <w:t>得分</w:t>
            </w:r>
          </w:p>
        </w:tc>
      </w:tr>
      <w:tr w14:paraId="43C7D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974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B7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70497">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D57AA">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18D88">
            <w:pPr>
              <w:jc w:val="center"/>
            </w:pPr>
            <w:r>
              <w:rPr>
                <w:rFonts w:ascii="宋体" w:hAnsi="宋体" w:eastAsia="宋体"/>
                <w:sz w:val="16"/>
              </w:rPr>
              <w:t>149.77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939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F6A93">
            <w:pPr>
              <w:jc w:val="center"/>
            </w:pPr>
            <w:r>
              <w:rPr>
                <w:rFonts w:ascii="宋体" w:hAnsi="宋体" w:eastAsia="宋体"/>
                <w:sz w:val="16"/>
              </w:rPr>
              <w:t>99.85%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0F56">
            <w:pPr>
              <w:jc w:val="center"/>
            </w:pPr>
            <w:r>
              <w:rPr>
                <w:rFonts w:ascii="宋体" w:hAnsi="宋体" w:eastAsia="宋体"/>
                <w:sz w:val="16"/>
              </w:rPr>
              <w:t>10.00分</w:t>
            </w:r>
          </w:p>
        </w:tc>
      </w:tr>
      <w:tr w14:paraId="10DE1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8B6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16D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4AD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504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9E1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80D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B67B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CB51">
            <w:pPr>
              <w:jc w:val="center"/>
            </w:pPr>
            <w:r>
              <w:rPr>
                <w:rFonts w:ascii="宋体" w:hAnsi="宋体" w:eastAsia="宋体"/>
                <w:sz w:val="16"/>
              </w:rPr>
              <w:t>—</w:t>
            </w:r>
          </w:p>
        </w:tc>
      </w:tr>
      <w:tr w14:paraId="37C3E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5B3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308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3A66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5A41F">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96C97">
            <w:pPr>
              <w:jc w:val="center"/>
            </w:pPr>
            <w:r>
              <w:rPr>
                <w:rFonts w:ascii="宋体" w:hAnsi="宋体" w:eastAsia="宋体"/>
                <w:sz w:val="16"/>
              </w:rPr>
              <w:t>149.77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4AF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DF41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7021">
            <w:pPr>
              <w:jc w:val="center"/>
            </w:pPr>
            <w:r>
              <w:rPr>
                <w:rFonts w:ascii="宋体" w:hAnsi="宋体" w:eastAsia="宋体"/>
                <w:sz w:val="16"/>
              </w:rPr>
              <w:t>—</w:t>
            </w:r>
          </w:p>
        </w:tc>
      </w:tr>
      <w:tr w14:paraId="64B86A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611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F520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B2D715">
            <w:pPr>
              <w:jc w:val="center"/>
            </w:pPr>
            <w:r>
              <w:rPr>
                <w:rFonts w:ascii="宋体" w:hAnsi="宋体" w:eastAsia="宋体"/>
                <w:sz w:val="16"/>
              </w:rPr>
              <w:t>实际完成情况</w:t>
            </w:r>
          </w:p>
        </w:tc>
      </w:tr>
      <w:tr w14:paraId="72D1B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03F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616D71">
            <w:pPr>
              <w:jc w:val="both"/>
            </w:pPr>
            <w:r>
              <w:rPr>
                <w:rFonts w:ascii="宋体" w:hAnsi="宋体" w:eastAsia="宋体"/>
                <w:sz w:val="16"/>
              </w:rPr>
              <w:t>制作岳普湖文旅宣传片，与新闻媒体加强合作交流，全方位宣传、推介旅游特色小镇，向7家宣传推介机构支付宣传推介各类费用。通过项目的实施提高岳普湖县旅游特色小镇知名度和美誉度。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B3BF62">
            <w:pPr>
              <w:jc w:val="both"/>
            </w:pPr>
            <w:r>
              <w:rPr>
                <w:rFonts w:ascii="宋体" w:hAnsi="宋体" w:eastAsia="宋体"/>
                <w:sz w:val="16"/>
              </w:rPr>
              <w:t xml:space="preserve">已经按时向7家宣传推介机构支付了宣传推介各类费用，项目预算执行率为99.9%，项目已经完成，剩余资金结余。主要包括制作岳普湖文旅宣传片，全方位宣传、推介旅游特色小镇。通过项目的实施与新闻媒体进一步加强了合作交流，不断提高了岳普湖县旅游特色小镇知名度和美誉度。单位人员对宣传推介情况的满意度达到了100%。 </w:t>
            </w:r>
          </w:p>
        </w:tc>
      </w:tr>
      <w:tr w14:paraId="5E73FA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D7A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71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DB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43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19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E3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F7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50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57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89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52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02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B1D13">
            <w:pPr>
              <w:jc w:val="center"/>
            </w:pPr>
            <w:r>
              <w:rPr>
                <w:rFonts w:ascii="宋体" w:hAnsi="宋体" w:eastAsia="宋体"/>
                <w:sz w:val="16"/>
              </w:rPr>
              <w:t>偏差原因分析及改进措施</w:t>
            </w:r>
          </w:p>
        </w:tc>
      </w:tr>
      <w:tr w14:paraId="2CEEA5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5DD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437E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C3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E7FE">
            <w:pPr>
              <w:jc w:val="center"/>
            </w:pPr>
            <w:r>
              <w:rPr>
                <w:rFonts w:ascii="宋体" w:hAnsi="宋体" w:eastAsia="宋体"/>
                <w:sz w:val="16"/>
              </w:rPr>
              <w:t>宣传推介机构数量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8302">
            <w:pPr>
              <w:jc w:val="center"/>
            </w:pPr>
            <w:r>
              <w:rPr>
                <w:rFonts w:ascii="宋体" w:hAnsi="宋体" w:eastAsia="宋体"/>
                <w:sz w:val="16"/>
              </w:rPr>
              <w:t>&gt;=7家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6B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ED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BD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04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AE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A856">
            <w:pPr>
              <w:jc w:val="center"/>
            </w:pPr>
            <w:r>
              <w:rPr>
                <w:rFonts w:ascii="宋体" w:hAnsi="宋体" w:eastAsia="宋体"/>
                <w:sz w:val="16"/>
              </w:rPr>
              <w:t>=7家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5B8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8823F">
            <w:pPr>
              <w:jc w:val="center"/>
            </w:pPr>
          </w:p>
        </w:tc>
      </w:tr>
      <w:tr w14:paraId="07460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55D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345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B86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D8D5">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F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7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78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BF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99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38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7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54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0F1A7">
            <w:pPr>
              <w:jc w:val="center"/>
            </w:pPr>
          </w:p>
        </w:tc>
      </w:tr>
      <w:tr w14:paraId="57A69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FD3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AC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06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DDE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71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82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1E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F8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9C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61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FD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32C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3E0AF">
            <w:pPr>
              <w:jc w:val="center"/>
            </w:pPr>
          </w:p>
        </w:tc>
      </w:tr>
      <w:tr w14:paraId="56128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27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286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CE5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7A8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7E5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E1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4C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2B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47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F3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5B0B">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26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D1B26">
            <w:pPr>
              <w:jc w:val="center"/>
            </w:pPr>
          </w:p>
        </w:tc>
      </w:tr>
      <w:tr w14:paraId="404DE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62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26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3E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8854">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35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B1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D9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D8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C9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1B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D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0E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0ED0C">
            <w:pPr>
              <w:jc w:val="center"/>
            </w:pPr>
          </w:p>
        </w:tc>
      </w:tr>
      <w:tr w14:paraId="14F91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9D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781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BF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92F8">
            <w:pPr>
              <w:jc w:val="center"/>
            </w:pPr>
            <w:r>
              <w:rPr>
                <w:rFonts w:ascii="宋体" w:hAnsi="宋体" w:eastAsia="宋体"/>
                <w:sz w:val="16"/>
              </w:rPr>
              <w:t>宣传推介各类费用成本控制数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3E13">
            <w:pPr>
              <w:jc w:val="center"/>
            </w:pPr>
            <w:r>
              <w:rPr>
                <w:rFonts w:ascii="宋体" w:hAnsi="宋体" w:eastAsia="宋体"/>
                <w:sz w:val="16"/>
              </w:rPr>
              <w:t>&lt;=214285.71元/家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3D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63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92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DE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D5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AE98">
            <w:pPr>
              <w:jc w:val="center"/>
            </w:pPr>
            <w:r>
              <w:rPr>
                <w:rFonts w:ascii="宋体" w:hAnsi="宋体" w:eastAsia="宋体"/>
                <w:sz w:val="16"/>
              </w:rPr>
              <w:t>=213957.1元/家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E5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B71CD">
            <w:pPr>
              <w:jc w:val="center"/>
            </w:pPr>
          </w:p>
        </w:tc>
      </w:tr>
      <w:tr w14:paraId="1EAFF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E8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76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2C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4734">
            <w:pPr>
              <w:jc w:val="center"/>
            </w:pPr>
            <w:r>
              <w:rPr>
                <w:rFonts w:ascii="宋体" w:hAnsi="宋体" w:eastAsia="宋体"/>
                <w:sz w:val="16"/>
              </w:rPr>
              <w:t>提高岳普湖县旅游特色小镇知名度和美誉度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C92C">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CD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E5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AF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C9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A3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A806">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AA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FD5B6">
            <w:pPr>
              <w:jc w:val="center"/>
            </w:pPr>
          </w:p>
        </w:tc>
      </w:tr>
      <w:tr w14:paraId="5D4A0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5FB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AE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68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B143">
            <w:pPr>
              <w:jc w:val="center"/>
            </w:pPr>
            <w:r>
              <w:rPr>
                <w:rFonts w:ascii="宋体" w:hAnsi="宋体" w:eastAsia="宋体"/>
                <w:sz w:val="16"/>
              </w:rPr>
              <w:t>单位人员对宣传推介情况的满意度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502B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A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CD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B1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05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E4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05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68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6CEC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415EF4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45A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E2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E65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432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BA59E1"/>
        </w:tc>
      </w:tr>
    </w:tbl>
    <w:p w14:paraId="17426A98">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776"/>
        <w:gridCol w:w="623"/>
        <w:gridCol w:w="631"/>
        <w:gridCol w:w="626"/>
        <w:gridCol w:w="623"/>
        <w:gridCol w:w="623"/>
        <w:gridCol w:w="776"/>
        <w:gridCol w:w="632"/>
        <w:gridCol w:w="615"/>
        <w:gridCol w:w="631"/>
      </w:tblGrid>
      <w:tr w14:paraId="3C63B798">
        <w:tblPrEx>
          <w:tblCellMar>
            <w:top w:w="0" w:type="dxa"/>
            <w:left w:w="108" w:type="dxa"/>
            <w:bottom w:w="0" w:type="dxa"/>
            <w:right w:w="108" w:type="dxa"/>
          </w:tblCellMar>
        </w:tblPrEx>
        <w:tc>
          <w:tcPr>
            <w:tcW w:w="8848" w:type="dxa"/>
            <w:gridSpan w:val="14"/>
            <w:vAlign w:val="center"/>
          </w:tcPr>
          <w:p w14:paraId="396D86DC">
            <w:pPr>
              <w:jc w:val="center"/>
            </w:pPr>
            <w:r>
              <w:rPr>
                <w:rFonts w:ascii="宋体" w:hAnsi="宋体" w:eastAsia="宋体"/>
                <w:sz w:val="24"/>
              </w:rPr>
              <w:t>项目支出绩效自评表</w:t>
            </w:r>
          </w:p>
        </w:tc>
      </w:tr>
      <w:tr w14:paraId="6EA67C9F">
        <w:tblPrEx>
          <w:tblCellMar>
            <w:top w:w="0" w:type="dxa"/>
            <w:left w:w="108" w:type="dxa"/>
            <w:bottom w:w="0" w:type="dxa"/>
            <w:right w:w="108" w:type="dxa"/>
          </w:tblCellMar>
        </w:tblPrEx>
        <w:tc>
          <w:tcPr>
            <w:tcW w:w="8848" w:type="dxa"/>
            <w:gridSpan w:val="14"/>
            <w:vAlign w:val="center"/>
          </w:tcPr>
          <w:p w14:paraId="58EA6CB4">
            <w:pPr>
              <w:jc w:val="center"/>
            </w:pPr>
            <w:r>
              <w:rPr>
                <w:rFonts w:ascii="宋体" w:hAnsi="宋体" w:eastAsia="宋体"/>
                <w:sz w:val="24"/>
              </w:rPr>
              <w:t>(2024年度)</w:t>
            </w:r>
          </w:p>
        </w:tc>
      </w:tr>
      <w:tr w14:paraId="28CB24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DD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CF0395">
            <w:pPr>
              <w:jc w:val="center"/>
            </w:pPr>
            <w:r>
              <w:rPr>
                <w:rFonts w:ascii="宋体" w:hAnsi="宋体" w:eastAsia="宋体"/>
                <w:sz w:val="16"/>
              </w:rPr>
              <w:t>中央广播电视节目无线盖工程(数字)运行维护经费项目</w:t>
            </w:r>
          </w:p>
        </w:tc>
      </w:tr>
      <w:tr w14:paraId="72B7CD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D3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4BBD65">
            <w:pPr>
              <w:jc w:val="center"/>
            </w:pPr>
            <w:r>
              <w:rPr>
                <w:rFonts w:ascii="宋体" w:hAnsi="宋体" w:eastAsia="宋体"/>
                <w:sz w:val="16"/>
              </w:rPr>
              <w:t>岳普湖县融媒体中心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26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04480C">
            <w:pPr>
              <w:jc w:val="center"/>
            </w:pPr>
            <w:r>
              <w:rPr>
                <w:rFonts w:ascii="宋体" w:hAnsi="宋体" w:eastAsia="宋体"/>
                <w:sz w:val="16"/>
              </w:rPr>
              <w:t>岳普湖县融媒体中心</w:t>
            </w:r>
          </w:p>
        </w:tc>
      </w:tr>
      <w:tr w14:paraId="594CC8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431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CB8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17A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CCB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1B6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CA2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3A1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80D7">
            <w:pPr>
              <w:jc w:val="center"/>
            </w:pPr>
            <w:r>
              <w:rPr>
                <w:rFonts w:ascii="宋体" w:hAnsi="宋体" w:eastAsia="宋体"/>
                <w:sz w:val="16"/>
              </w:rPr>
              <w:t>得分</w:t>
            </w:r>
          </w:p>
        </w:tc>
      </w:tr>
      <w:tr w14:paraId="68524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6ED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778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EC0A5">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46F63">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58BD6">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054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575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5A5D">
            <w:pPr>
              <w:jc w:val="center"/>
            </w:pPr>
            <w:r>
              <w:rPr>
                <w:rFonts w:ascii="宋体" w:hAnsi="宋体" w:eastAsia="宋体"/>
                <w:sz w:val="16"/>
              </w:rPr>
              <w:t>10.00分</w:t>
            </w:r>
          </w:p>
        </w:tc>
      </w:tr>
      <w:tr w14:paraId="7FBDE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722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A07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F58FA">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86288">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00F93">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F7B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5814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7301">
            <w:pPr>
              <w:jc w:val="center"/>
            </w:pPr>
            <w:r>
              <w:rPr>
                <w:rFonts w:ascii="宋体" w:hAnsi="宋体" w:eastAsia="宋体"/>
                <w:sz w:val="16"/>
              </w:rPr>
              <w:t>—</w:t>
            </w:r>
          </w:p>
        </w:tc>
      </w:tr>
      <w:tr w14:paraId="4C3C3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EA3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937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32E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CBD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8C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6BE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C528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014A">
            <w:pPr>
              <w:jc w:val="center"/>
            </w:pPr>
            <w:r>
              <w:rPr>
                <w:rFonts w:ascii="宋体" w:hAnsi="宋体" w:eastAsia="宋体"/>
                <w:sz w:val="16"/>
              </w:rPr>
              <w:t>—</w:t>
            </w:r>
          </w:p>
        </w:tc>
      </w:tr>
      <w:tr w14:paraId="462C2B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CCA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D7C2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50D392">
            <w:pPr>
              <w:jc w:val="center"/>
            </w:pPr>
            <w:r>
              <w:rPr>
                <w:rFonts w:ascii="宋体" w:hAnsi="宋体" w:eastAsia="宋体"/>
                <w:sz w:val="16"/>
              </w:rPr>
              <w:t>实际完成情况</w:t>
            </w:r>
          </w:p>
        </w:tc>
      </w:tr>
      <w:tr w14:paraId="44A2D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B1A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6332B">
            <w:pPr>
              <w:jc w:val="both"/>
            </w:pPr>
            <w:r>
              <w:rPr>
                <w:rFonts w:ascii="宋体" w:hAnsi="宋体" w:eastAsia="宋体"/>
                <w:sz w:val="16"/>
              </w:rPr>
              <w:t>发射机维护数量2部，对数字电视发射机进行日常维护维修。中央广播电视节目无线覆盖（数字）工程是推进基本公共文化服务标准化、均等化的重要任务，是切实保障城乡居民看好电视的重要举措，通过项目的实施可进一步巩固中央广播电视节目无线覆盖成果，进一步提升广播电视公共服务水平和质量。实现各发射台站按规定完整转播好中央广播电视节目，做到“满功率、满调幅度、满时间”安全播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EC960E">
            <w:pPr>
              <w:jc w:val="both"/>
            </w:pPr>
            <w:r>
              <w:rPr>
                <w:rFonts w:ascii="宋体" w:hAnsi="宋体" w:eastAsia="宋体"/>
                <w:sz w:val="16"/>
              </w:rPr>
              <w:t>资金保障的发射机维护任务已完成，发射机维护数量为2部，对数字电视发射机进行了日常维护维修。项目预算执行率为100%。通过项目的实施巩固了中央广播电视节目无线覆盖成果，增强了无线覆盖运行维护的可持续性，提升了广播电视公共服务水平和质量。实现了各发射</w:t>
            </w:r>
            <w:r>
              <w:rPr>
                <w:rFonts w:hint="eastAsia" w:ascii="宋体" w:hAnsi="宋体"/>
                <w:sz w:val="16"/>
                <w:lang w:eastAsia="zh-CN"/>
              </w:rPr>
              <w:t>台</w:t>
            </w:r>
            <w:r>
              <w:rPr>
                <w:rFonts w:ascii="宋体" w:hAnsi="宋体" w:eastAsia="宋体"/>
                <w:sz w:val="16"/>
              </w:rPr>
              <w:t>按规定完整转播好中央广播电视节目，做到了“满功率、</w:t>
            </w:r>
            <w:r>
              <w:rPr>
                <w:rFonts w:hint="eastAsia" w:ascii="宋体" w:hAnsi="宋体"/>
                <w:sz w:val="16"/>
                <w:lang w:eastAsia="zh-CN"/>
              </w:rPr>
              <w:t>满</w:t>
            </w:r>
            <w:r>
              <w:rPr>
                <w:rFonts w:ascii="宋体" w:hAnsi="宋体" w:eastAsia="宋体"/>
                <w:sz w:val="16"/>
              </w:rPr>
              <w:t>幅度、满时间”安全播出。群众对免费收听收看广播电视节目的满意率达到了99.67%。</w:t>
            </w:r>
          </w:p>
        </w:tc>
      </w:tr>
      <w:tr w14:paraId="67464F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DF6A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0E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F5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55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EF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FE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B3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E5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83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7B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04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1A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9D4B6">
            <w:pPr>
              <w:jc w:val="center"/>
            </w:pPr>
            <w:r>
              <w:rPr>
                <w:rFonts w:ascii="宋体" w:hAnsi="宋体" w:eastAsia="宋体"/>
                <w:sz w:val="16"/>
              </w:rPr>
              <w:t>偏差原因分析及改进措施</w:t>
            </w:r>
          </w:p>
        </w:tc>
      </w:tr>
      <w:tr w14:paraId="504355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F44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129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6B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87E8">
            <w:pPr>
              <w:jc w:val="center"/>
            </w:pPr>
            <w:r>
              <w:rPr>
                <w:rFonts w:ascii="宋体" w:hAnsi="宋体" w:eastAsia="宋体"/>
                <w:sz w:val="16"/>
              </w:rPr>
              <w:t>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59D3">
            <w:pPr>
              <w:jc w:val="center"/>
            </w:pPr>
            <w:r>
              <w:rPr>
                <w:rFonts w:ascii="宋体" w:hAnsi="宋体" w:eastAsia="宋体"/>
                <w:sz w:val="16"/>
              </w:rPr>
              <w:t>&gt;=2部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44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7D15">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99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EA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2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73BA">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F3D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93A5B">
            <w:pPr>
              <w:jc w:val="center"/>
            </w:pPr>
          </w:p>
        </w:tc>
      </w:tr>
      <w:tr w14:paraId="2C525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62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16F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03C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B25F">
            <w:pPr>
              <w:jc w:val="center"/>
            </w:pPr>
            <w:r>
              <w:rPr>
                <w:rFonts w:ascii="宋体" w:hAnsi="宋体" w:eastAsia="宋体"/>
                <w:sz w:val="16"/>
              </w:rPr>
              <w:t>数字发射机“三满”播出率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3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EF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1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B7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7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0D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1B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8D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A83CD">
            <w:pPr>
              <w:jc w:val="center"/>
            </w:pPr>
          </w:p>
        </w:tc>
      </w:tr>
      <w:tr w14:paraId="5D555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B9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72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F9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3881">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D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D6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01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E0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F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57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F8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BE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6CB1D">
            <w:pPr>
              <w:jc w:val="center"/>
            </w:pPr>
          </w:p>
        </w:tc>
      </w:tr>
      <w:tr w14:paraId="05EC2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BE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C2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1B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4BB5">
            <w:pPr>
              <w:jc w:val="center"/>
            </w:pPr>
            <w:r>
              <w:rPr>
                <w:rFonts w:ascii="宋体" w:hAnsi="宋体" w:eastAsia="宋体"/>
                <w:sz w:val="16"/>
              </w:rPr>
              <w:t>中央数字广播电视节目播出任务完成率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6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EC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B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B1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01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08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FC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88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D388C">
            <w:pPr>
              <w:jc w:val="center"/>
            </w:pPr>
          </w:p>
        </w:tc>
      </w:tr>
      <w:tr w14:paraId="01E6D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08E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EB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6C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FF85">
            <w:pPr>
              <w:jc w:val="center"/>
            </w:pPr>
            <w:r>
              <w:rPr>
                <w:rFonts w:ascii="宋体" w:hAnsi="宋体" w:eastAsia="宋体"/>
                <w:sz w:val="16"/>
              </w:rPr>
              <w:t>年度维护任务完成时间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E132">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BE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3F66">
            <w:pPr>
              <w:jc w:val="center"/>
            </w:pPr>
            <w:r>
              <w:rPr>
                <w:rFonts w:ascii="宋体" w:hAnsi="宋体" w:eastAsia="宋体"/>
                <w:sz w:val="16"/>
              </w:rPr>
              <w:t>2023年8月22日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E3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8D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A7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EF1C">
            <w:pPr>
              <w:jc w:val="center"/>
            </w:pPr>
            <w:r>
              <w:rPr>
                <w:rFonts w:ascii="宋体" w:hAnsi="宋体" w:eastAsia="宋体"/>
                <w:sz w:val="16"/>
              </w:rPr>
              <w:t>=2024年4月23日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F2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F3D6D">
            <w:pPr>
              <w:jc w:val="center"/>
            </w:pPr>
          </w:p>
        </w:tc>
      </w:tr>
      <w:tr w14:paraId="0F19A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819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373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BE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8EB3">
            <w:pPr>
              <w:jc w:val="center"/>
            </w:pPr>
            <w:r>
              <w:rPr>
                <w:rFonts w:ascii="宋体" w:hAnsi="宋体" w:eastAsia="宋体"/>
                <w:sz w:val="16"/>
              </w:rPr>
              <w:t>发射机维护平均成本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A02B">
            <w:pPr>
              <w:jc w:val="center"/>
            </w:pPr>
            <w:r>
              <w:rPr>
                <w:rFonts w:ascii="宋体" w:hAnsi="宋体" w:eastAsia="宋体"/>
                <w:sz w:val="16"/>
              </w:rPr>
              <w:t>&lt;=15.60万元/部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B5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D70C">
            <w:pPr>
              <w:jc w:val="center"/>
            </w:pPr>
            <w:r>
              <w:rPr>
                <w:rFonts w:ascii="宋体" w:hAnsi="宋体" w:eastAsia="宋体"/>
                <w:sz w:val="16"/>
              </w:rPr>
              <w:t>12.88万元/部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D1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F4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59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E1D6">
            <w:pPr>
              <w:jc w:val="center"/>
            </w:pPr>
            <w:r>
              <w:rPr>
                <w:rFonts w:ascii="宋体" w:hAnsi="宋体" w:eastAsia="宋体"/>
                <w:sz w:val="16"/>
              </w:rPr>
              <w:t>=15.6万元/部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5F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0D24A">
            <w:pPr>
              <w:jc w:val="center"/>
            </w:pPr>
          </w:p>
        </w:tc>
      </w:tr>
      <w:tr w14:paraId="34308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D96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D11F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041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8DA5">
            <w:pPr>
              <w:jc w:val="center"/>
            </w:pPr>
            <w:r>
              <w:rPr>
                <w:rFonts w:ascii="宋体" w:hAnsi="宋体" w:eastAsia="宋体"/>
                <w:sz w:val="16"/>
              </w:rPr>
              <w:t>广播节目综合人口覆盖率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930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86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8C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F9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13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BF3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86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547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7B200">
            <w:pPr>
              <w:jc w:val="center"/>
            </w:pPr>
          </w:p>
        </w:tc>
      </w:tr>
      <w:tr w14:paraId="2EB0F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95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E9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E42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0739">
            <w:pPr>
              <w:jc w:val="center"/>
            </w:pPr>
            <w:r>
              <w:rPr>
                <w:rFonts w:ascii="宋体" w:hAnsi="宋体" w:eastAsia="宋体"/>
                <w:sz w:val="16"/>
              </w:rPr>
              <w:t>电视节目综合人口覆盖率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04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5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56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1E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30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79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F8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A2D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F49FC">
            <w:pPr>
              <w:jc w:val="center"/>
            </w:pPr>
          </w:p>
        </w:tc>
      </w:tr>
      <w:tr w14:paraId="5A056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B9B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F0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16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C90B">
            <w:pPr>
              <w:jc w:val="center"/>
            </w:pPr>
            <w:r>
              <w:rPr>
                <w:rFonts w:ascii="宋体" w:hAnsi="宋体" w:eastAsia="宋体"/>
                <w:sz w:val="16"/>
              </w:rPr>
              <w:t>无线覆盖运行维护可持续性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734A">
            <w:pPr>
              <w:jc w:val="center"/>
            </w:pPr>
            <w:r>
              <w:rPr>
                <w:rFonts w:ascii="宋体" w:hAnsi="宋体" w:eastAsia="宋体"/>
                <w:sz w:val="16"/>
              </w:rPr>
              <w:t>不断增强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8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9F33">
            <w:pPr>
              <w:jc w:val="center"/>
            </w:pPr>
            <w:r>
              <w:rPr>
                <w:rFonts w:ascii="宋体" w:hAnsi="宋体" w:eastAsia="宋体"/>
                <w:sz w:val="16"/>
              </w:rPr>
              <w:t>不断增强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C3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1E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D7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DFB4">
            <w:pPr>
              <w:jc w:val="center"/>
            </w:pPr>
            <w:r>
              <w:rPr>
                <w:rFonts w:ascii="宋体" w:hAnsi="宋体" w:eastAsia="宋体"/>
                <w:sz w:val="16"/>
              </w:rPr>
              <w:t>不断增强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250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CB692">
            <w:pPr>
              <w:jc w:val="center"/>
            </w:pPr>
          </w:p>
        </w:tc>
      </w:tr>
      <w:tr w14:paraId="771BE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C6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BC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1B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7A23">
            <w:pPr>
              <w:jc w:val="center"/>
            </w:pPr>
            <w:r>
              <w:rPr>
                <w:rFonts w:ascii="宋体" w:hAnsi="宋体" w:eastAsia="宋体"/>
                <w:sz w:val="16"/>
              </w:rPr>
              <w:t>群众对免费收听收看广播电视节目的满意率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C63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88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B7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F4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74A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E4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3014">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4D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61C5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388F7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053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E5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209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D1D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7D1BA5"/>
        </w:tc>
      </w:tr>
    </w:tbl>
    <w:p w14:paraId="7CBDA3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4D4596F">
        <w:tblPrEx>
          <w:tblCellMar>
            <w:top w:w="0" w:type="dxa"/>
            <w:left w:w="108" w:type="dxa"/>
            <w:bottom w:w="0" w:type="dxa"/>
            <w:right w:w="108" w:type="dxa"/>
          </w:tblCellMar>
        </w:tblPrEx>
        <w:tc>
          <w:tcPr>
            <w:tcW w:w="8848" w:type="dxa"/>
            <w:gridSpan w:val="14"/>
            <w:vAlign w:val="center"/>
          </w:tcPr>
          <w:p w14:paraId="58173AE4">
            <w:pPr>
              <w:jc w:val="center"/>
            </w:pPr>
            <w:r>
              <w:rPr>
                <w:rFonts w:ascii="宋体" w:hAnsi="宋体" w:eastAsia="宋体"/>
                <w:sz w:val="24"/>
              </w:rPr>
              <w:t>项目支出绩效自评表</w:t>
            </w:r>
          </w:p>
        </w:tc>
      </w:tr>
      <w:tr w14:paraId="619B74A7">
        <w:tblPrEx>
          <w:tblCellMar>
            <w:top w:w="0" w:type="dxa"/>
            <w:left w:w="108" w:type="dxa"/>
            <w:bottom w:w="0" w:type="dxa"/>
            <w:right w:w="108" w:type="dxa"/>
          </w:tblCellMar>
        </w:tblPrEx>
        <w:tc>
          <w:tcPr>
            <w:tcW w:w="8848" w:type="dxa"/>
            <w:gridSpan w:val="14"/>
            <w:vAlign w:val="center"/>
          </w:tcPr>
          <w:p w14:paraId="1CE0C726">
            <w:pPr>
              <w:jc w:val="center"/>
            </w:pPr>
            <w:r>
              <w:rPr>
                <w:rFonts w:ascii="宋体" w:hAnsi="宋体" w:eastAsia="宋体"/>
                <w:sz w:val="24"/>
              </w:rPr>
              <w:t>(2024年度)</w:t>
            </w:r>
          </w:p>
        </w:tc>
      </w:tr>
      <w:tr w14:paraId="6CF35E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D1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259B85">
            <w:pPr>
              <w:jc w:val="center"/>
            </w:pPr>
            <w:r>
              <w:rPr>
                <w:rFonts w:ascii="宋体" w:hAnsi="宋体" w:eastAsia="宋体"/>
                <w:sz w:val="16"/>
              </w:rPr>
              <w:t>中央广播节目无线覆盖工程(模拟)运行维护经费项目</w:t>
            </w:r>
          </w:p>
        </w:tc>
      </w:tr>
      <w:tr w14:paraId="0E6C74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94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C0F0F5">
            <w:pPr>
              <w:jc w:val="center"/>
            </w:pPr>
            <w:r>
              <w:rPr>
                <w:rFonts w:ascii="宋体" w:hAnsi="宋体" w:eastAsia="宋体"/>
                <w:sz w:val="16"/>
              </w:rPr>
              <w:t>岳普湖县融媒体中心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2CB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953758">
            <w:pPr>
              <w:jc w:val="center"/>
            </w:pPr>
            <w:r>
              <w:rPr>
                <w:rFonts w:ascii="宋体" w:hAnsi="宋体" w:eastAsia="宋体"/>
                <w:sz w:val="16"/>
              </w:rPr>
              <w:t>岳普湖县融媒体中心</w:t>
            </w:r>
          </w:p>
        </w:tc>
      </w:tr>
      <w:tr w14:paraId="7B9B2E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D60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60F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00C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853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1DD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45D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0C7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B64D">
            <w:pPr>
              <w:jc w:val="center"/>
            </w:pPr>
            <w:r>
              <w:rPr>
                <w:rFonts w:ascii="宋体" w:hAnsi="宋体" w:eastAsia="宋体"/>
                <w:sz w:val="16"/>
              </w:rPr>
              <w:t>得分</w:t>
            </w:r>
          </w:p>
        </w:tc>
      </w:tr>
      <w:tr w14:paraId="3E00D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3F1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4E5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E6830">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BC4C3">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83172">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239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5EC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0D75">
            <w:pPr>
              <w:jc w:val="center"/>
            </w:pPr>
            <w:r>
              <w:rPr>
                <w:rFonts w:ascii="宋体" w:hAnsi="宋体" w:eastAsia="宋体"/>
                <w:sz w:val="16"/>
              </w:rPr>
              <w:t>10.00分</w:t>
            </w:r>
          </w:p>
        </w:tc>
      </w:tr>
      <w:tr w14:paraId="70B4B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4B3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0AD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0FD86">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56CA3">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9BF5">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EED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CA00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2342">
            <w:pPr>
              <w:jc w:val="center"/>
            </w:pPr>
            <w:r>
              <w:rPr>
                <w:rFonts w:ascii="宋体" w:hAnsi="宋体" w:eastAsia="宋体"/>
                <w:sz w:val="16"/>
              </w:rPr>
              <w:t>—</w:t>
            </w:r>
          </w:p>
        </w:tc>
      </w:tr>
      <w:tr w14:paraId="05B81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615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1F8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0FA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5D5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27E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45B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94AF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4526">
            <w:pPr>
              <w:jc w:val="center"/>
            </w:pPr>
            <w:r>
              <w:rPr>
                <w:rFonts w:ascii="宋体" w:hAnsi="宋体" w:eastAsia="宋体"/>
                <w:sz w:val="16"/>
              </w:rPr>
              <w:t>—</w:t>
            </w:r>
          </w:p>
        </w:tc>
      </w:tr>
      <w:tr w14:paraId="2A01B5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CA0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E23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8258AD">
            <w:pPr>
              <w:jc w:val="center"/>
            </w:pPr>
            <w:r>
              <w:rPr>
                <w:rFonts w:ascii="宋体" w:hAnsi="宋体" w:eastAsia="宋体"/>
                <w:sz w:val="16"/>
              </w:rPr>
              <w:t>实际完成情况</w:t>
            </w:r>
          </w:p>
        </w:tc>
      </w:tr>
      <w:tr w14:paraId="649D9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02F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653BD">
            <w:pPr>
              <w:jc w:val="both"/>
            </w:pPr>
            <w:r>
              <w:rPr>
                <w:rFonts w:ascii="宋体" w:hAnsi="宋体" w:eastAsia="宋体"/>
                <w:sz w:val="16"/>
              </w:rPr>
              <w:t>发射机维护数量2部，对调频发射机进行日常维护维修。中央广播节目无线覆盖（模拟）工程是推进基本公共文化服务标准化、均等化的重要任务，是切实保障城乡居民听好广播的重要举措，通过项目的实施可进一步巩固中央广播节目无线覆盖成果，进一步提升广播电视公共服务水平和质量。实现各发射台站按规定完整转播好中央广播节目，做到“满功率、满调幅度、满时间”安全播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8FF6F6">
            <w:pPr>
              <w:jc w:val="both"/>
            </w:pPr>
            <w:r>
              <w:rPr>
                <w:rFonts w:ascii="宋体" w:hAnsi="宋体" w:eastAsia="宋体"/>
                <w:sz w:val="16"/>
              </w:rPr>
              <w:t>资金保障的发射机维护任务已完成，发射机维护数量为2部，对调频发射机进行了日常维护维修。项目预算执行率为100%。通过项目的实施巩固了中央广播节目无线覆盖成果，不断增强了无线覆盖运行维护的可持续性，提升了广播电视公共服务水平和质量。实现了各发射</w:t>
            </w:r>
            <w:r>
              <w:rPr>
                <w:rFonts w:hint="eastAsia" w:ascii="宋体" w:hAnsi="宋体"/>
                <w:sz w:val="16"/>
                <w:lang w:eastAsia="zh-CN"/>
              </w:rPr>
              <w:t>台</w:t>
            </w:r>
            <w:r>
              <w:rPr>
                <w:rFonts w:ascii="宋体" w:hAnsi="宋体" w:eastAsia="宋体"/>
                <w:sz w:val="16"/>
              </w:rPr>
              <w:t>按规定完整转播好中央广播节目，做到了“满功率、满调幅度、满时间”安全播出。群众对免费收听收看广播电视节目的满意率达到了100%。</w:t>
            </w:r>
          </w:p>
        </w:tc>
      </w:tr>
      <w:tr w14:paraId="02493D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ED56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4C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F7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E1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51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67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82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9E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E9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92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09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8B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CDC80">
            <w:pPr>
              <w:jc w:val="center"/>
            </w:pPr>
            <w:r>
              <w:rPr>
                <w:rFonts w:ascii="宋体" w:hAnsi="宋体" w:eastAsia="宋体"/>
                <w:sz w:val="16"/>
              </w:rPr>
              <w:t>偏差原因分析及改进措施</w:t>
            </w:r>
          </w:p>
        </w:tc>
      </w:tr>
      <w:tr w14:paraId="226210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6B0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EA2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FC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A35B">
            <w:pPr>
              <w:jc w:val="center"/>
            </w:pPr>
            <w:r>
              <w:rPr>
                <w:rFonts w:ascii="宋体" w:hAnsi="宋体" w:eastAsia="宋体"/>
                <w:sz w:val="16"/>
              </w:rPr>
              <w:t>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9B26">
            <w:pPr>
              <w:jc w:val="center"/>
            </w:pPr>
            <w:r>
              <w:rPr>
                <w:rFonts w:ascii="宋体" w:hAnsi="宋体" w:eastAsia="宋体"/>
                <w:sz w:val="16"/>
              </w:rPr>
              <w:t>&gt;=2部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E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A5A2">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6F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99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EB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1C2C">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D6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885C0">
            <w:pPr>
              <w:jc w:val="center"/>
            </w:pPr>
          </w:p>
        </w:tc>
      </w:tr>
      <w:tr w14:paraId="4A21A2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88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5DF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E36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AA13">
            <w:pPr>
              <w:jc w:val="center"/>
            </w:pPr>
            <w:r>
              <w:rPr>
                <w:rFonts w:ascii="宋体" w:hAnsi="宋体" w:eastAsia="宋体"/>
                <w:sz w:val="16"/>
              </w:rPr>
              <w:t>模拟发射机“三满”播出率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52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1A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FE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C5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70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6D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9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8A7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20F5F">
            <w:pPr>
              <w:jc w:val="center"/>
            </w:pPr>
          </w:p>
        </w:tc>
      </w:tr>
      <w:tr w14:paraId="2CA7B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B39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58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62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AB29">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B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A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9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0D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5B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F6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3E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FE0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D1D30">
            <w:pPr>
              <w:jc w:val="center"/>
            </w:pPr>
          </w:p>
        </w:tc>
      </w:tr>
      <w:tr w14:paraId="56B45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59A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BD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ED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8D76">
            <w:pPr>
              <w:jc w:val="center"/>
            </w:pPr>
            <w:r>
              <w:rPr>
                <w:rFonts w:ascii="宋体" w:hAnsi="宋体" w:eastAsia="宋体"/>
                <w:sz w:val="16"/>
              </w:rPr>
              <w:t>中央模拟广播节目播出任务完成率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8D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EE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A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1C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AB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02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2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DA6A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F83C0">
            <w:pPr>
              <w:jc w:val="center"/>
            </w:pPr>
          </w:p>
        </w:tc>
      </w:tr>
      <w:tr w14:paraId="6CBDC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B2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30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BA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941C">
            <w:pPr>
              <w:jc w:val="center"/>
            </w:pPr>
            <w:r>
              <w:rPr>
                <w:rFonts w:ascii="宋体" w:hAnsi="宋体" w:eastAsia="宋体"/>
                <w:sz w:val="16"/>
              </w:rPr>
              <w:t>年度维护任务完成时间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735C">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E6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0919">
            <w:pPr>
              <w:jc w:val="center"/>
            </w:pPr>
            <w:r>
              <w:rPr>
                <w:rFonts w:ascii="宋体" w:hAnsi="宋体" w:eastAsia="宋体"/>
                <w:sz w:val="16"/>
              </w:rPr>
              <w:t>2023年6月12日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9E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6A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41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0505">
            <w:pPr>
              <w:jc w:val="center"/>
            </w:pPr>
            <w:r>
              <w:rPr>
                <w:rFonts w:ascii="宋体" w:hAnsi="宋体" w:eastAsia="宋体"/>
                <w:sz w:val="16"/>
              </w:rPr>
              <w:t>2024年7月8日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46C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C69F">
            <w:pPr>
              <w:jc w:val="center"/>
            </w:pPr>
          </w:p>
        </w:tc>
      </w:tr>
      <w:tr w14:paraId="3D60C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54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14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C9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10F5">
            <w:pPr>
              <w:jc w:val="center"/>
            </w:pPr>
            <w:r>
              <w:rPr>
                <w:rFonts w:ascii="宋体" w:hAnsi="宋体" w:eastAsia="宋体"/>
                <w:sz w:val="16"/>
              </w:rPr>
              <w:t>发射机维护平均成本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04B3">
            <w:pPr>
              <w:jc w:val="center"/>
            </w:pPr>
            <w:r>
              <w:rPr>
                <w:rFonts w:ascii="宋体" w:hAnsi="宋体" w:eastAsia="宋体"/>
                <w:sz w:val="16"/>
              </w:rPr>
              <w:t>&lt;=17650元/部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9A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7AA8">
            <w:pPr>
              <w:jc w:val="center"/>
            </w:pPr>
            <w:r>
              <w:rPr>
                <w:rFonts w:ascii="宋体" w:hAnsi="宋体" w:eastAsia="宋体"/>
                <w:sz w:val="16"/>
              </w:rPr>
              <w:t>17650元/部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08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63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BB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C95C">
            <w:pPr>
              <w:jc w:val="center"/>
            </w:pPr>
            <w:r>
              <w:rPr>
                <w:rFonts w:ascii="宋体" w:hAnsi="宋体" w:eastAsia="宋体"/>
                <w:sz w:val="16"/>
              </w:rPr>
              <w:t>=17650元/部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69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7C917">
            <w:pPr>
              <w:jc w:val="center"/>
            </w:pPr>
          </w:p>
        </w:tc>
      </w:tr>
      <w:tr w14:paraId="57EA6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CD0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630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02D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4A05">
            <w:pPr>
              <w:jc w:val="center"/>
            </w:pPr>
            <w:r>
              <w:rPr>
                <w:rFonts w:ascii="宋体" w:hAnsi="宋体" w:eastAsia="宋体"/>
                <w:sz w:val="16"/>
              </w:rPr>
              <w:t>广播节目综合人口覆盖率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64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1D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E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6B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F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AC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45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B7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CAEEC">
            <w:pPr>
              <w:jc w:val="center"/>
            </w:pPr>
          </w:p>
        </w:tc>
      </w:tr>
      <w:tr w14:paraId="7E8C8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FBE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473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3DD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A6B7">
            <w:pPr>
              <w:jc w:val="center"/>
            </w:pPr>
            <w:r>
              <w:rPr>
                <w:rFonts w:ascii="宋体" w:hAnsi="宋体" w:eastAsia="宋体"/>
                <w:sz w:val="16"/>
              </w:rPr>
              <w:t>无线覆盖运行维护持续发挥的作用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09BA">
            <w:pPr>
              <w:jc w:val="center"/>
            </w:pPr>
            <w:r>
              <w:rPr>
                <w:rFonts w:ascii="宋体" w:hAnsi="宋体" w:eastAsia="宋体"/>
                <w:sz w:val="16"/>
              </w:rPr>
              <w:t>不断增强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C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DF9B">
            <w:pPr>
              <w:jc w:val="center"/>
            </w:pPr>
            <w:r>
              <w:rPr>
                <w:rFonts w:ascii="宋体" w:hAnsi="宋体" w:eastAsia="宋体"/>
                <w:sz w:val="16"/>
              </w:rPr>
              <w:t>不断增强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0E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C2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15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C03B">
            <w:pPr>
              <w:jc w:val="center"/>
            </w:pPr>
            <w:r>
              <w:rPr>
                <w:rFonts w:ascii="宋体" w:hAnsi="宋体" w:eastAsia="宋体"/>
                <w:sz w:val="16"/>
              </w:rPr>
              <w:t>不断增强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06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0D552">
            <w:pPr>
              <w:jc w:val="center"/>
            </w:pPr>
          </w:p>
        </w:tc>
      </w:tr>
      <w:tr w14:paraId="31E52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4E1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68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F0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8E82">
            <w:pPr>
              <w:jc w:val="center"/>
            </w:pPr>
            <w:r>
              <w:rPr>
                <w:rFonts w:ascii="宋体" w:hAnsi="宋体" w:eastAsia="宋体"/>
                <w:sz w:val="16"/>
              </w:rPr>
              <w:t>群众对免费收听收看广播电视节目的满意率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12B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D2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D2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82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D2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E5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3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D6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94B9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662BA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7BDF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56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A37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A54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790F1A"/>
        </w:tc>
      </w:tr>
    </w:tbl>
    <w:p w14:paraId="5206E0E9">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07"/>
        <w:gridCol w:w="776"/>
        <w:gridCol w:w="607"/>
        <w:gridCol w:w="623"/>
        <w:gridCol w:w="615"/>
        <w:gridCol w:w="607"/>
        <w:gridCol w:w="607"/>
        <w:gridCol w:w="936"/>
        <w:gridCol w:w="632"/>
        <w:gridCol w:w="584"/>
        <w:gridCol w:w="630"/>
      </w:tblGrid>
      <w:tr w14:paraId="759F007D">
        <w:tblPrEx>
          <w:tblCellMar>
            <w:top w:w="0" w:type="dxa"/>
            <w:left w:w="108" w:type="dxa"/>
            <w:bottom w:w="0" w:type="dxa"/>
            <w:right w:w="108" w:type="dxa"/>
          </w:tblCellMar>
        </w:tblPrEx>
        <w:tc>
          <w:tcPr>
            <w:tcW w:w="8848" w:type="dxa"/>
            <w:gridSpan w:val="14"/>
            <w:vAlign w:val="center"/>
          </w:tcPr>
          <w:p w14:paraId="36E8DB54">
            <w:pPr>
              <w:jc w:val="center"/>
            </w:pPr>
            <w:r>
              <w:rPr>
                <w:rFonts w:ascii="宋体" w:hAnsi="宋体" w:eastAsia="宋体"/>
                <w:sz w:val="24"/>
              </w:rPr>
              <w:t>项目支出绩效自评表</w:t>
            </w:r>
          </w:p>
        </w:tc>
      </w:tr>
      <w:tr w14:paraId="217FC303">
        <w:tblPrEx>
          <w:tblCellMar>
            <w:top w:w="0" w:type="dxa"/>
            <w:left w:w="108" w:type="dxa"/>
            <w:bottom w:w="0" w:type="dxa"/>
            <w:right w:w="108" w:type="dxa"/>
          </w:tblCellMar>
        </w:tblPrEx>
        <w:tc>
          <w:tcPr>
            <w:tcW w:w="8848" w:type="dxa"/>
            <w:gridSpan w:val="14"/>
            <w:vAlign w:val="center"/>
          </w:tcPr>
          <w:p w14:paraId="00AA6C27">
            <w:pPr>
              <w:jc w:val="center"/>
            </w:pPr>
            <w:r>
              <w:rPr>
                <w:rFonts w:ascii="宋体" w:hAnsi="宋体" w:eastAsia="宋体"/>
                <w:sz w:val="24"/>
              </w:rPr>
              <w:t>(2024年度)</w:t>
            </w:r>
          </w:p>
        </w:tc>
      </w:tr>
      <w:tr w14:paraId="51FF43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E74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2DDFDE">
            <w:pPr>
              <w:jc w:val="center"/>
            </w:pPr>
            <w:r>
              <w:rPr>
                <w:rFonts w:ascii="宋体" w:hAnsi="宋体" w:eastAsia="宋体"/>
                <w:sz w:val="16"/>
              </w:rPr>
              <w:t>村村通工程聘用运行维护人员经费项目</w:t>
            </w:r>
          </w:p>
        </w:tc>
      </w:tr>
      <w:tr w14:paraId="592A38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58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D5695">
            <w:pPr>
              <w:jc w:val="center"/>
            </w:pPr>
            <w:r>
              <w:rPr>
                <w:rFonts w:ascii="宋体" w:hAnsi="宋体" w:eastAsia="宋体"/>
                <w:sz w:val="16"/>
              </w:rPr>
              <w:t>岳普湖县融媒体中心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25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1CD046">
            <w:pPr>
              <w:jc w:val="center"/>
            </w:pPr>
            <w:r>
              <w:rPr>
                <w:rFonts w:ascii="宋体" w:hAnsi="宋体" w:eastAsia="宋体"/>
                <w:sz w:val="16"/>
              </w:rPr>
              <w:t>岳普湖县融媒体中心</w:t>
            </w:r>
          </w:p>
        </w:tc>
      </w:tr>
      <w:tr w14:paraId="03EFEA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AC7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EB2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BF6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B9F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0C3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100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4B5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F11F">
            <w:pPr>
              <w:jc w:val="center"/>
            </w:pPr>
            <w:r>
              <w:rPr>
                <w:rFonts w:ascii="宋体" w:hAnsi="宋体" w:eastAsia="宋体"/>
                <w:sz w:val="16"/>
              </w:rPr>
              <w:t>得分</w:t>
            </w:r>
          </w:p>
        </w:tc>
      </w:tr>
      <w:tr w14:paraId="1009A3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373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CAB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8C061">
            <w:pPr>
              <w:jc w:val="center"/>
            </w:pPr>
            <w:r>
              <w:rPr>
                <w:rFonts w:ascii="宋体" w:hAnsi="宋体" w:eastAsia="宋体"/>
                <w:sz w:val="16"/>
              </w:rPr>
              <w:t>21.10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471E1">
            <w:pPr>
              <w:jc w:val="center"/>
            </w:pPr>
            <w:r>
              <w:rPr>
                <w:rFonts w:ascii="宋体" w:hAnsi="宋体" w:eastAsia="宋体"/>
                <w:sz w:val="16"/>
              </w:rPr>
              <w:t>21.10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04749">
            <w:pPr>
              <w:jc w:val="center"/>
            </w:pPr>
            <w:r>
              <w:rPr>
                <w:rFonts w:ascii="宋体" w:hAnsi="宋体" w:eastAsia="宋体"/>
                <w:sz w:val="16"/>
              </w:rPr>
              <w:t>21.10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5D5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463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3A8B">
            <w:pPr>
              <w:jc w:val="center"/>
            </w:pPr>
            <w:r>
              <w:rPr>
                <w:rFonts w:ascii="宋体" w:hAnsi="宋体" w:eastAsia="宋体"/>
                <w:sz w:val="16"/>
              </w:rPr>
              <w:t>10.00分</w:t>
            </w:r>
          </w:p>
        </w:tc>
      </w:tr>
      <w:tr w14:paraId="0D831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858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B57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48AC3">
            <w:pPr>
              <w:jc w:val="center"/>
            </w:pPr>
            <w:r>
              <w:rPr>
                <w:rFonts w:ascii="宋体" w:hAnsi="宋体" w:eastAsia="宋体"/>
                <w:sz w:val="16"/>
              </w:rPr>
              <w:t>21.10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D3EA7">
            <w:pPr>
              <w:jc w:val="center"/>
            </w:pPr>
            <w:r>
              <w:rPr>
                <w:rFonts w:ascii="宋体" w:hAnsi="宋体" w:eastAsia="宋体"/>
                <w:sz w:val="16"/>
              </w:rPr>
              <w:t>21.10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7C961">
            <w:pPr>
              <w:jc w:val="center"/>
            </w:pPr>
            <w:r>
              <w:rPr>
                <w:rFonts w:ascii="宋体" w:hAnsi="宋体" w:eastAsia="宋体"/>
                <w:sz w:val="16"/>
              </w:rPr>
              <w:t>21.10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C9C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24B8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9F6E">
            <w:pPr>
              <w:jc w:val="center"/>
            </w:pPr>
            <w:r>
              <w:rPr>
                <w:rFonts w:ascii="宋体" w:hAnsi="宋体" w:eastAsia="宋体"/>
                <w:sz w:val="16"/>
              </w:rPr>
              <w:t>—</w:t>
            </w:r>
          </w:p>
        </w:tc>
      </w:tr>
      <w:tr w14:paraId="3244E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6F6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FD9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07B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AE2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1E7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CC2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50E1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375B">
            <w:pPr>
              <w:jc w:val="center"/>
            </w:pPr>
            <w:r>
              <w:rPr>
                <w:rFonts w:ascii="宋体" w:hAnsi="宋体" w:eastAsia="宋体"/>
                <w:sz w:val="16"/>
              </w:rPr>
              <w:t>—</w:t>
            </w:r>
          </w:p>
        </w:tc>
      </w:tr>
      <w:tr w14:paraId="6DD033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F184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570E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ED2075">
            <w:pPr>
              <w:jc w:val="center"/>
            </w:pPr>
            <w:r>
              <w:rPr>
                <w:rFonts w:ascii="宋体" w:hAnsi="宋体" w:eastAsia="宋体"/>
                <w:sz w:val="16"/>
              </w:rPr>
              <w:t>实际完成情况</w:t>
            </w:r>
          </w:p>
        </w:tc>
      </w:tr>
      <w:tr w14:paraId="7E2CE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134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7C76F">
            <w:pPr>
              <w:jc w:val="both"/>
            </w:pPr>
            <w:r>
              <w:rPr>
                <w:rFonts w:ascii="宋体" w:hAnsi="宋体" w:eastAsia="宋体"/>
                <w:sz w:val="16"/>
              </w:rPr>
              <w:t>对岳普湖县“村村通工程”基层运行维护人员实行聘用制，对其足额发放补助，发放补助人数9人，发放期间为2023年12月至2024年12月，共发放补助13个月。通过项目的实施减轻聘用人员生活负担，稳定村村通运行维护人员队伍，提高我区村村通运行维护水平。完善村村通运行维护长效机制，有效提升广大农牧区的广播电视公共服务质量，确保岳普湖县广播电视村村通工程长期通、有效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92C43">
            <w:pPr>
              <w:jc w:val="both"/>
            </w:pPr>
            <w:r>
              <w:rPr>
                <w:rFonts w:ascii="宋体" w:hAnsi="宋体" w:eastAsia="宋体"/>
                <w:sz w:val="16"/>
              </w:rPr>
              <w:t>已经对岳普湖县“村村通工程”基层运行维护人员发放了2023年12月至2024年11月，共计12个月的补助，发放补助人数为9人。项目预算执行率为100%。通过项目的实施减轻了聘用人员生活负担，稳定了村村通运行维护人员队伍，提高了我区村村通运行维护水平。完善了“村村通”运行维护长效机制，提升了广大农牧区的广播电视公共服务质量，确保了岳普湖县广播电视村村通工程长期通、有效通。聘用人员满意度达到了100%。</w:t>
            </w:r>
          </w:p>
        </w:tc>
      </w:tr>
      <w:tr w14:paraId="60E242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A75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4B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6B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4C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0B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EC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E1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71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87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5D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B5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49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C838A">
            <w:pPr>
              <w:jc w:val="center"/>
            </w:pPr>
            <w:r>
              <w:rPr>
                <w:rFonts w:ascii="宋体" w:hAnsi="宋体" w:eastAsia="宋体"/>
                <w:sz w:val="16"/>
              </w:rPr>
              <w:t>偏差原因分析及改进措施</w:t>
            </w:r>
          </w:p>
        </w:tc>
      </w:tr>
      <w:tr w14:paraId="4CC067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16B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FDE4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9B8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02E7">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8711">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0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392E">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43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A8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48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368FC">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0B5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1E0B9">
            <w:pPr>
              <w:jc w:val="center"/>
            </w:pPr>
          </w:p>
        </w:tc>
      </w:tr>
      <w:tr w14:paraId="28C6E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B50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DC0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BF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14C9">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A6E4">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6A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B1AF">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7D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65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1A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6DC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2EC9">
            <w:pPr>
              <w:jc w:val="center"/>
            </w:pPr>
            <w:r>
              <w:rPr>
                <w:rFonts w:ascii="宋体" w:hAnsi="宋体" w:eastAsia="宋体"/>
                <w:sz w:val="16"/>
              </w:rPr>
              <w:t>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AE11F">
            <w:pPr>
              <w:jc w:val="center"/>
            </w:pPr>
            <w:r>
              <w:rPr>
                <w:rFonts w:ascii="宋体" w:hAnsi="宋体" w:eastAsia="宋体"/>
                <w:sz w:val="16"/>
              </w:rPr>
              <w:t>未完成原因：已对9名村村通工程聘用运行维护人员发放了2023年度12月至2024年度11月，共计12个月的补助。因本项目当年度资金已经全额支付完毕，2024年12月的补助计划待次年上级资金到位后发放。改进措施：做好项目管理工作，加大对村村通工程聘用运行维护人员的关心关爱力度，严格检查运维质量，次年资金到位后及时申请支付项目资金。</w:t>
            </w:r>
          </w:p>
        </w:tc>
      </w:tr>
      <w:tr w14:paraId="27EA7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A87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669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A8C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019A">
            <w:pPr>
              <w:jc w:val="center"/>
            </w:pPr>
            <w:r>
              <w:rPr>
                <w:rFonts w:ascii="宋体" w:hAnsi="宋体" w:eastAsia="宋体"/>
                <w:sz w:val="16"/>
              </w:rPr>
              <w:t>转移支付资金到位率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09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7B7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9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D3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E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5A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56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170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5A2AF">
            <w:pPr>
              <w:jc w:val="center"/>
            </w:pPr>
          </w:p>
        </w:tc>
      </w:tr>
      <w:tr w14:paraId="2BB31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0BB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76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7AC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8077">
            <w:pPr>
              <w:jc w:val="center"/>
            </w:pPr>
            <w:r>
              <w:rPr>
                <w:rFonts w:ascii="宋体" w:hAnsi="宋体" w:eastAsia="宋体"/>
                <w:sz w:val="16"/>
              </w:rPr>
              <w:t>聘用人员年度考核合格率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E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A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6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F2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5F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A1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6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CB7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BBBB8">
            <w:pPr>
              <w:jc w:val="center"/>
            </w:pPr>
          </w:p>
        </w:tc>
      </w:tr>
      <w:tr w14:paraId="688E0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04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C64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FCB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C46A">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6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4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ED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D2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08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C4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A5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585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A0739">
            <w:pPr>
              <w:jc w:val="center"/>
            </w:pPr>
          </w:p>
        </w:tc>
      </w:tr>
      <w:tr w14:paraId="10663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BB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E2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2E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8A43">
            <w:pPr>
              <w:jc w:val="center"/>
            </w:pPr>
            <w:r>
              <w:rPr>
                <w:rFonts w:ascii="宋体" w:hAnsi="宋体" w:eastAsia="宋体"/>
                <w:sz w:val="16"/>
              </w:rPr>
              <w:t>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29F1E">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2B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BD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ED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FE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A0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05A5">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5F0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04941">
            <w:pPr>
              <w:jc w:val="center"/>
            </w:pPr>
          </w:p>
        </w:tc>
      </w:tr>
      <w:tr w14:paraId="15017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B9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26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09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C249">
            <w:pPr>
              <w:jc w:val="center"/>
            </w:pPr>
            <w:r>
              <w:rPr>
                <w:rFonts w:ascii="宋体" w:hAnsi="宋体" w:eastAsia="宋体"/>
                <w:sz w:val="16"/>
              </w:rPr>
              <w:t>每次发放补助资金数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D870">
            <w:pPr>
              <w:jc w:val="center"/>
            </w:pPr>
            <w:r>
              <w:rPr>
                <w:rFonts w:ascii="宋体" w:hAnsi="宋体" w:eastAsia="宋体"/>
                <w:sz w:val="16"/>
              </w:rPr>
              <w:t>&lt;=16234元/个月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46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9FDE">
            <w:pPr>
              <w:jc w:val="center"/>
            </w:pPr>
            <w:r>
              <w:rPr>
                <w:rFonts w:ascii="宋体" w:hAnsi="宋体" w:eastAsia="宋体"/>
                <w:sz w:val="16"/>
              </w:rPr>
              <w:t>2.01万元/个月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6E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69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4A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1369">
            <w:pPr>
              <w:jc w:val="center"/>
            </w:pPr>
            <w:r>
              <w:rPr>
                <w:rFonts w:ascii="宋体" w:hAnsi="宋体" w:eastAsia="宋体"/>
                <w:sz w:val="16"/>
              </w:rPr>
              <w:t>=17586.83元/个月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8A321">
            <w:pPr>
              <w:jc w:val="center"/>
            </w:pPr>
            <w:r>
              <w:rPr>
                <w:rFonts w:ascii="宋体" w:hAnsi="宋体" w:eastAsia="宋体"/>
                <w:sz w:val="16"/>
              </w:rPr>
              <w:t>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8B185">
            <w:pPr>
              <w:jc w:val="center"/>
            </w:pPr>
            <w:r>
              <w:rPr>
                <w:rFonts w:ascii="宋体" w:hAnsi="宋体" w:eastAsia="宋体"/>
                <w:sz w:val="16"/>
              </w:rPr>
              <w:t>未完成原因：已对9名村村通工程聘用运行维护人员发放了2023年度12月至2024年度11月，共计12个月的补助。因本项目当年度资金已经全额支付完毕，2024年12月的补助计划待次年上级资金到位后发放。改进措施：做好项目管理工作，加大对村村通工程聘用运行维护人员的关心关爱力度，严格检查运维质量，次年资金到位后及时申请支付项目资金。</w:t>
            </w:r>
          </w:p>
        </w:tc>
      </w:tr>
      <w:tr w14:paraId="47052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6B7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C708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91B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E357">
            <w:pPr>
              <w:jc w:val="center"/>
            </w:pPr>
            <w:r>
              <w:rPr>
                <w:rFonts w:ascii="宋体" w:hAnsi="宋体" w:eastAsia="宋体"/>
                <w:sz w:val="16"/>
              </w:rPr>
              <w:t>提高我区村村通运行维护水平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85A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9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DA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C1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99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C9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7377">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88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3752A">
            <w:pPr>
              <w:jc w:val="center"/>
            </w:pPr>
          </w:p>
        </w:tc>
      </w:tr>
      <w:tr w14:paraId="59915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817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7D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9E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42CC">
            <w:pPr>
              <w:jc w:val="center"/>
            </w:pPr>
            <w:r>
              <w:rPr>
                <w:rFonts w:ascii="宋体" w:hAnsi="宋体" w:eastAsia="宋体"/>
                <w:sz w:val="16"/>
              </w:rPr>
              <w:t>稳固村村通运行维护人员队伍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488F">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F5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ED81">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F1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20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D2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99E6">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C5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2848E">
            <w:pPr>
              <w:jc w:val="center"/>
            </w:pPr>
          </w:p>
        </w:tc>
      </w:tr>
      <w:tr w14:paraId="53B93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D5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89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44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D7E1">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410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B9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3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20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7F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D4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70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4D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B500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CAE33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230C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8C1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DFB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6C7B">
            <w:pPr>
              <w:jc w:val="center"/>
            </w:pPr>
            <w:r>
              <w:rPr>
                <w:rFonts w:ascii="宋体" w:hAnsi="宋体" w:eastAsia="宋体"/>
                <w:sz w:val="16"/>
              </w:rPr>
              <w:t>94.81分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85B8D2"/>
        </w:tc>
      </w:tr>
    </w:tbl>
    <w:p w14:paraId="27528D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86ED0A9">
        <w:tc>
          <w:tcPr>
            <w:tcW w:w="8848" w:type="dxa"/>
            <w:gridSpan w:val="14"/>
            <w:vAlign w:val="center"/>
          </w:tcPr>
          <w:p w14:paraId="364835F1">
            <w:pPr>
              <w:jc w:val="center"/>
            </w:pPr>
            <w:r>
              <w:rPr>
                <w:rFonts w:ascii="宋体" w:hAnsi="宋体" w:eastAsia="宋体"/>
                <w:sz w:val="24"/>
              </w:rPr>
              <w:t>项目支出绩效自评表</w:t>
            </w:r>
          </w:p>
        </w:tc>
      </w:tr>
      <w:tr w14:paraId="644D5380">
        <w:tblPrEx>
          <w:tblCellMar>
            <w:top w:w="0" w:type="dxa"/>
            <w:left w:w="108" w:type="dxa"/>
            <w:bottom w:w="0" w:type="dxa"/>
            <w:right w:w="108" w:type="dxa"/>
          </w:tblCellMar>
        </w:tblPrEx>
        <w:tc>
          <w:tcPr>
            <w:tcW w:w="8848" w:type="dxa"/>
            <w:gridSpan w:val="14"/>
            <w:vAlign w:val="center"/>
          </w:tcPr>
          <w:p w14:paraId="2CCF2943">
            <w:pPr>
              <w:jc w:val="center"/>
            </w:pPr>
            <w:r>
              <w:rPr>
                <w:rFonts w:ascii="宋体" w:hAnsi="宋体" w:eastAsia="宋体"/>
                <w:sz w:val="24"/>
              </w:rPr>
              <w:t>(2024年度)</w:t>
            </w:r>
          </w:p>
        </w:tc>
      </w:tr>
      <w:tr w14:paraId="48D407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CF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C1B8EA">
            <w:pPr>
              <w:jc w:val="center"/>
            </w:pPr>
            <w:r>
              <w:rPr>
                <w:rFonts w:ascii="宋体" w:hAnsi="宋体" w:eastAsia="宋体"/>
                <w:sz w:val="16"/>
              </w:rPr>
              <w:t>清偿欠款项目</w:t>
            </w:r>
          </w:p>
        </w:tc>
      </w:tr>
      <w:tr w14:paraId="70E4B5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F9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60A473">
            <w:pPr>
              <w:jc w:val="center"/>
            </w:pPr>
            <w:r>
              <w:rPr>
                <w:rFonts w:ascii="宋体" w:hAnsi="宋体" w:eastAsia="宋体"/>
                <w:sz w:val="16"/>
              </w:rPr>
              <w:t>岳普湖县融媒体中心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66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FD02F6">
            <w:pPr>
              <w:jc w:val="center"/>
            </w:pPr>
            <w:r>
              <w:rPr>
                <w:rFonts w:ascii="宋体" w:hAnsi="宋体" w:eastAsia="宋体"/>
                <w:sz w:val="16"/>
              </w:rPr>
              <w:t>岳普湖县融媒体中心</w:t>
            </w:r>
          </w:p>
        </w:tc>
      </w:tr>
      <w:tr w14:paraId="6680EE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06B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790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2A2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4EA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6B4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742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A53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1BA9">
            <w:pPr>
              <w:jc w:val="center"/>
            </w:pPr>
            <w:r>
              <w:rPr>
                <w:rFonts w:ascii="宋体" w:hAnsi="宋体" w:eastAsia="宋体"/>
                <w:sz w:val="16"/>
              </w:rPr>
              <w:t>得分</w:t>
            </w:r>
          </w:p>
        </w:tc>
      </w:tr>
      <w:tr w14:paraId="79A20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448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57E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CFD26">
            <w:pPr>
              <w:jc w:val="center"/>
            </w:pPr>
            <w:r>
              <w:rPr>
                <w:rFonts w:ascii="宋体" w:hAnsi="宋体" w:eastAsia="宋体"/>
                <w:sz w:val="16"/>
              </w:rPr>
              <w:t>49.60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0A139">
            <w:pPr>
              <w:jc w:val="center"/>
            </w:pPr>
            <w:r>
              <w:rPr>
                <w:rFonts w:ascii="宋体" w:hAnsi="宋体" w:eastAsia="宋体"/>
                <w:sz w:val="16"/>
              </w:rPr>
              <w:t>49.60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07AB">
            <w:pPr>
              <w:jc w:val="center"/>
            </w:pPr>
            <w:r>
              <w:rPr>
                <w:rFonts w:ascii="宋体" w:hAnsi="宋体" w:eastAsia="宋体"/>
                <w:sz w:val="16"/>
              </w:rPr>
              <w:t>49.60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84F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E02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5D56">
            <w:pPr>
              <w:jc w:val="center"/>
            </w:pPr>
            <w:r>
              <w:rPr>
                <w:rFonts w:ascii="宋体" w:hAnsi="宋体" w:eastAsia="宋体"/>
                <w:sz w:val="16"/>
              </w:rPr>
              <w:t>10.00分</w:t>
            </w:r>
          </w:p>
        </w:tc>
      </w:tr>
      <w:tr w14:paraId="76A97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875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87F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CAB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C33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1AD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AAE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18AC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E36B">
            <w:pPr>
              <w:jc w:val="center"/>
            </w:pPr>
            <w:r>
              <w:rPr>
                <w:rFonts w:ascii="宋体" w:hAnsi="宋体" w:eastAsia="宋体"/>
                <w:sz w:val="16"/>
              </w:rPr>
              <w:t>—</w:t>
            </w:r>
          </w:p>
        </w:tc>
      </w:tr>
      <w:tr w14:paraId="179FB3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223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648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A75B5">
            <w:pPr>
              <w:jc w:val="center"/>
            </w:pPr>
            <w:r>
              <w:rPr>
                <w:rFonts w:ascii="宋体" w:hAnsi="宋体" w:eastAsia="宋体"/>
                <w:sz w:val="16"/>
              </w:rPr>
              <w:t>49.60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20682">
            <w:pPr>
              <w:jc w:val="center"/>
            </w:pPr>
            <w:r>
              <w:rPr>
                <w:rFonts w:ascii="宋体" w:hAnsi="宋体" w:eastAsia="宋体"/>
                <w:sz w:val="16"/>
              </w:rPr>
              <w:t>49.60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886C1">
            <w:pPr>
              <w:jc w:val="center"/>
            </w:pPr>
            <w:r>
              <w:rPr>
                <w:rFonts w:ascii="宋体" w:hAnsi="宋体" w:eastAsia="宋体"/>
                <w:sz w:val="16"/>
              </w:rPr>
              <w:t>49.60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C98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9D1F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1FC7">
            <w:pPr>
              <w:jc w:val="center"/>
            </w:pPr>
            <w:r>
              <w:rPr>
                <w:rFonts w:ascii="宋体" w:hAnsi="宋体" w:eastAsia="宋体"/>
                <w:sz w:val="16"/>
              </w:rPr>
              <w:t>—</w:t>
            </w:r>
          </w:p>
        </w:tc>
      </w:tr>
      <w:tr w14:paraId="3DED52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EA4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D4C1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E4174D">
            <w:pPr>
              <w:jc w:val="center"/>
            </w:pPr>
            <w:r>
              <w:rPr>
                <w:rFonts w:ascii="宋体" w:hAnsi="宋体" w:eastAsia="宋体"/>
                <w:sz w:val="16"/>
              </w:rPr>
              <w:t>实际完成情况</w:t>
            </w:r>
          </w:p>
        </w:tc>
      </w:tr>
      <w:tr w14:paraId="071F2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DEF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BD80C">
            <w:pPr>
              <w:jc w:val="both"/>
            </w:pPr>
            <w:r>
              <w:rPr>
                <w:rFonts w:ascii="宋体" w:hAnsi="宋体" w:eastAsia="宋体"/>
                <w:sz w:val="16"/>
              </w:rPr>
              <w:t>项目资金主要用于清偿“2023年岳普湖县铸牢中华民族共同体意识交往交流交融项目”共计1个项目以前年度应付未付的项目欠款。确保项目欠款按期及时支付，提高政府部门的履约和服务能力，增强政府公信力。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9EED52">
            <w:pPr>
              <w:jc w:val="both"/>
            </w:pPr>
            <w:r>
              <w:rPr>
                <w:rFonts w:ascii="宋体" w:hAnsi="宋体" w:eastAsia="宋体"/>
                <w:sz w:val="16"/>
              </w:rPr>
              <w:t>已经按期清偿了“2023年岳普湖县铸牢中华民族共同体意识交往交流交融项目”共计1个项目以前年度应付未付的项目欠款。项目预算执行率为100%。通过项目的实施有效提高了政府部门的履约和服务能力，进一步增强了政府公信力。</w:t>
            </w:r>
            <w:r>
              <w:rPr>
                <w:rFonts w:ascii="宋体" w:hAnsi="宋体" w:eastAsia="宋体"/>
                <w:sz w:val="16"/>
              </w:rPr>
              <w:br w:type="textWrapping"/>
            </w:r>
          </w:p>
        </w:tc>
      </w:tr>
      <w:tr w14:paraId="0A0D52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D31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96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0D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17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1B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BC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8C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F8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39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553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8B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E0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A0FD6">
            <w:pPr>
              <w:jc w:val="center"/>
            </w:pPr>
            <w:r>
              <w:rPr>
                <w:rFonts w:ascii="宋体" w:hAnsi="宋体" w:eastAsia="宋体"/>
                <w:sz w:val="16"/>
              </w:rPr>
              <w:t>偏差原因分析及改进措施</w:t>
            </w:r>
          </w:p>
        </w:tc>
      </w:tr>
      <w:tr w14:paraId="6E1019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B4C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FA3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05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6DB5">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A8D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8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E30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E7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60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18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5A9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1D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79A3">
            <w:pPr>
              <w:jc w:val="center"/>
            </w:pPr>
          </w:p>
        </w:tc>
      </w:tr>
      <w:tr w14:paraId="33CB976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4D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E26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63E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B138">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384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D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C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8E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76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5D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8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B7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9DDF1">
            <w:pPr>
              <w:jc w:val="center"/>
            </w:pPr>
          </w:p>
        </w:tc>
      </w:tr>
      <w:tr w14:paraId="4EB24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F0D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29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0E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A63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C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AE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7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73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7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B9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2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24F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0F407">
            <w:pPr>
              <w:jc w:val="center"/>
            </w:pPr>
          </w:p>
        </w:tc>
      </w:tr>
      <w:tr w14:paraId="54AB8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DFF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2B8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C0A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AF02">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A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E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C1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CC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B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78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21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D0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7F586">
            <w:pPr>
              <w:jc w:val="center"/>
            </w:pPr>
          </w:p>
        </w:tc>
      </w:tr>
      <w:tr w14:paraId="56AAA8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67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EB4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CC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DB8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20CA">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00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5996">
            <w:pPr>
              <w:jc w:val="center"/>
            </w:pPr>
            <w:r>
              <w:rPr>
                <w:rFonts w:ascii="宋体" w:hAnsi="宋体" w:eastAsia="宋体"/>
                <w:sz w:val="16"/>
              </w:rPr>
              <w:t>2023年5月10日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D2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87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86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9427">
            <w:pPr>
              <w:jc w:val="center"/>
            </w:pPr>
            <w:r>
              <w:rPr>
                <w:rFonts w:ascii="宋体" w:hAnsi="宋体" w:eastAsia="宋体"/>
                <w:sz w:val="16"/>
              </w:rPr>
              <w:t>=2024年4月18日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E72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DD252">
            <w:pPr>
              <w:jc w:val="center"/>
            </w:pPr>
          </w:p>
        </w:tc>
      </w:tr>
      <w:tr w14:paraId="03745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BE5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CC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C9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D530">
            <w:pPr>
              <w:jc w:val="center"/>
            </w:pPr>
            <w:r>
              <w:rPr>
                <w:rFonts w:ascii="宋体" w:hAnsi="宋体" w:eastAsia="宋体"/>
                <w:sz w:val="16"/>
              </w:rPr>
              <w:t>偿还欠款平均预算控制数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A45F2">
            <w:pPr>
              <w:jc w:val="center"/>
            </w:pPr>
            <w:r>
              <w:rPr>
                <w:rFonts w:ascii="宋体" w:hAnsi="宋体" w:eastAsia="宋体"/>
                <w:sz w:val="16"/>
              </w:rPr>
              <w:t>&lt;=49.6万元/个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2F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C49E">
            <w:pPr>
              <w:jc w:val="center"/>
            </w:pPr>
            <w:r>
              <w:rPr>
                <w:rFonts w:ascii="宋体" w:hAnsi="宋体" w:eastAsia="宋体"/>
                <w:sz w:val="16"/>
              </w:rPr>
              <w:t>23万元/个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89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12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29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7F55">
            <w:pPr>
              <w:jc w:val="center"/>
            </w:pPr>
            <w:r>
              <w:rPr>
                <w:rFonts w:ascii="宋体" w:hAnsi="宋体" w:eastAsia="宋体"/>
                <w:sz w:val="16"/>
              </w:rPr>
              <w:t>=49.6万元/个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CE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F5F9C">
            <w:pPr>
              <w:jc w:val="center"/>
            </w:pPr>
          </w:p>
        </w:tc>
      </w:tr>
      <w:tr w14:paraId="0E7C6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83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990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82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A660">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832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B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43C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2DB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22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21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75E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D4F1">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C5F2D">
            <w:pPr>
              <w:jc w:val="center"/>
            </w:pPr>
          </w:p>
        </w:tc>
      </w:tr>
      <w:tr w14:paraId="455634F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A0D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704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7580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03C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373AF2"/>
        </w:tc>
      </w:tr>
    </w:tbl>
    <w:p w14:paraId="7C07F75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2D42792">
        <w:tc>
          <w:tcPr>
            <w:tcW w:w="8848" w:type="dxa"/>
            <w:gridSpan w:val="14"/>
            <w:vAlign w:val="center"/>
          </w:tcPr>
          <w:p w14:paraId="06FAF1E0">
            <w:pPr>
              <w:jc w:val="center"/>
            </w:pPr>
            <w:r>
              <w:rPr>
                <w:rFonts w:ascii="宋体" w:hAnsi="宋体" w:eastAsia="宋体"/>
                <w:sz w:val="24"/>
              </w:rPr>
              <w:t>项目支出绩效自评表</w:t>
            </w:r>
          </w:p>
        </w:tc>
      </w:tr>
      <w:tr w14:paraId="4BAC2DD8">
        <w:tblPrEx>
          <w:tblCellMar>
            <w:top w:w="0" w:type="dxa"/>
            <w:left w:w="108" w:type="dxa"/>
            <w:bottom w:w="0" w:type="dxa"/>
            <w:right w:w="108" w:type="dxa"/>
          </w:tblCellMar>
        </w:tblPrEx>
        <w:tc>
          <w:tcPr>
            <w:tcW w:w="8848" w:type="dxa"/>
            <w:gridSpan w:val="14"/>
            <w:vAlign w:val="center"/>
          </w:tcPr>
          <w:p w14:paraId="6DA3A81F">
            <w:pPr>
              <w:jc w:val="center"/>
            </w:pPr>
            <w:r>
              <w:rPr>
                <w:rFonts w:ascii="宋体" w:hAnsi="宋体" w:eastAsia="宋体"/>
                <w:sz w:val="24"/>
              </w:rPr>
              <w:t>(2024年度)</w:t>
            </w:r>
          </w:p>
        </w:tc>
      </w:tr>
      <w:tr w14:paraId="6D5E8B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D1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66F503">
            <w:pPr>
              <w:jc w:val="center"/>
            </w:pPr>
            <w:r>
              <w:rPr>
                <w:rFonts w:ascii="宋体" w:hAnsi="宋体" w:eastAsia="宋体"/>
                <w:sz w:val="16"/>
              </w:rPr>
              <w:t>自治区广播电视节目无线覆盖运行维护经费项目</w:t>
            </w:r>
          </w:p>
        </w:tc>
      </w:tr>
      <w:tr w14:paraId="443C88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07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7AE83">
            <w:pPr>
              <w:jc w:val="center"/>
            </w:pPr>
            <w:r>
              <w:rPr>
                <w:rFonts w:ascii="宋体" w:hAnsi="宋体" w:eastAsia="宋体"/>
                <w:sz w:val="16"/>
              </w:rPr>
              <w:t>岳普湖县融媒体中心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B9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149273">
            <w:pPr>
              <w:jc w:val="center"/>
            </w:pPr>
            <w:r>
              <w:rPr>
                <w:rFonts w:ascii="宋体" w:hAnsi="宋体" w:eastAsia="宋体"/>
                <w:sz w:val="16"/>
              </w:rPr>
              <w:t>岳普湖县融媒体中心</w:t>
            </w:r>
          </w:p>
        </w:tc>
      </w:tr>
      <w:tr w14:paraId="00BCB9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28E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DC9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E0C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687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E2F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A9C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AAB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DB9F">
            <w:pPr>
              <w:jc w:val="center"/>
            </w:pPr>
            <w:r>
              <w:rPr>
                <w:rFonts w:ascii="宋体" w:hAnsi="宋体" w:eastAsia="宋体"/>
                <w:sz w:val="16"/>
              </w:rPr>
              <w:t>得分</w:t>
            </w:r>
          </w:p>
        </w:tc>
      </w:tr>
      <w:tr w14:paraId="014D8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B67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15F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77C4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5D50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3E4B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BC4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52C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F6EB">
            <w:pPr>
              <w:jc w:val="center"/>
            </w:pPr>
            <w:r>
              <w:rPr>
                <w:rFonts w:ascii="宋体" w:hAnsi="宋体" w:eastAsia="宋体"/>
                <w:sz w:val="16"/>
              </w:rPr>
              <w:t>10.00分</w:t>
            </w:r>
          </w:p>
        </w:tc>
      </w:tr>
      <w:tr w14:paraId="50BE2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038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49C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C4FB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E679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1ADC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77C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CB51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C37F">
            <w:pPr>
              <w:jc w:val="center"/>
            </w:pPr>
            <w:r>
              <w:rPr>
                <w:rFonts w:ascii="宋体" w:hAnsi="宋体" w:eastAsia="宋体"/>
                <w:sz w:val="16"/>
              </w:rPr>
              <w:t>—</w:t>
            </w:r>
          </w:p>
        </w:tc>
      </w:tr>
      <w:tr w14:paraId="38983E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960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9FE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BC0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BB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671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B3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BD2F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9CE8">
            <w:pPr>
              <w:jc w:val="center"/>
            </w:pPr>
            <w:r>
              <w:rPr>
                <w:rFonts w:ascii="宋体" w:hAnsi="宋体" w:eastAsia="宋体"/>
                <w:sz w:val="16"/>
              </w:rPr>
              <w:t>—</w:t>
            </w:r>
          </w:p>
        </w:tc>
      </w:tr>
      <w:tr w14:paraId="0DCBA0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084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EB0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3ACC5">
            <w:pPr>
              <w:jc w:val="center"/>
            </w:pPr>
            <w:r>
              <w:rPr>
                <w:rFonts w:ascii="宋体" w:hAnsi="宋体" w:eastAsia="宋体"/>
                <w:sz w:val="16"/>
              </w:rPr>
              <w:t>实际完成情况</w:t>
            </w:r>
          </w:p>
        </w:tc>
      </w:tr>
      <w:tr w14:paraId="42FF3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EAA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77CCE">
            <w:pPr>
              <w:jc w:val="both"/>
            </w:pPr>
            <w:r>
              <w:rPr>
                <w:rFonts w:ascii="宋体" w:hAnsi="宋体" w:eastAsia="宋体"/>
                <w:sz w:val="16"/>
              </w:rPr>
              <w:t>经费主要用于对岳普湖县2部模拟调频广播发射机进行日常维护，通过安排自治区广播电视节目无线覆盖运行维护经费，确保岳普湖县转播自治区级广播的调频广播发射机及其附属设备正常运转，各无线发射台站能够按要求完整转播自治区广播节目，巩固自治区广播电视节目无线覆盖工程实施效果，有效提升广播电视无线覆盖能力，做到“满功率、满调幅度、满时间”安全播出。使得岳普湖县各族人民群众收听到自治区广播节目，守住党的宣传舆论阵地，把党和国家的声音传到千家万户，推进广播电视基本公共文化服务水平稳步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DDA9B">
            <w:pPr>
              <w:jc w:val="both"/>
            </w:pPr>
            <w:r>
              <w:rPr>
                <w:rFonts w:ascii="宋体" w:hAnsi="宋体" w:eastAsia="宋体"/>
                <w:sz w:val="16"/>
              </w:rPr>
              <w:t>经费保障发射机维护数量为2部，维修经费已经在发生时据实支付。项目预算执行率为100%。通过项目的实施实现了各发射台站按规定完整转播好自治区广播节目，做到了节目“满功率、</w:t>
            </w:r>
            <w:r>
              <w:rPr>
                <w:rFonts w:hint="eastAsia" w:ascii="宋体" w:hAnsi="宋体"/>
                <w:sz w:val="16"/>
                <w:lang w:eastAsia="zh-CN"/>
              </w:rPr>
              <w:t>满</w:t>
            </w:r>
            <w:r>
              <w:rPr>
                <w:rFonts w:ascii="宋体" w:hAnsi="宋体" w:eastAsia="宋体"/>
                <w:sz w:val="16"/>
              </w:rPr>
              <w:t>幅度、满时间”安全播出。使得岳普湖县各族人民群众收听到自治区广播节目，守住了党的宣传舆论阵地，把党和国家的声音传到了千家万户，推进了广播电视基本公共文化服务水平稳步提高。群众对广播电视基本公共服务满意度达到了100%。</w:t>
            </w:r>
          </w:p>
        </w:tc>
      </w:tr>
      <w:tr w14:paraId="73D9EF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52C3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7D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50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7F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C91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26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2E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65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57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7A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DC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AF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06C9">
            <w:pPr>
              <w:jc w:val="center"/>
            </w:pPr>
            <w:r>
              <w:rPr>
                <w:rFonts w:ascii="宋体" w:hAnsi="宋体" w:eastAsia="宋体"/>
                <w:sz w:val="16"/>
              </w:rPr>
              <w:t>偏差原因分析及改进措施</w:t>
            </w:r>
          </w:p>
        </w:tc>
      </w:tr>
      <w:tr w14:paraId="67A12C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354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571D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EB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B16C">
            <w:pPr>
              <w:jc w:val="center"/>
            </w:pPr>
            <w:r>
              <w:rPr>
                <w:rFonts w:ascii="宋体" w:hAnsi="宋体" w:eastAsia="宋体"/>
                <w:sz w:val="16"/>
              </w:rPr>
              <w:t>模拟调频广播发射机维护数量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8C64">
            <w:pPr>
              <w:jc w:val="center"/>
            </w:pPr>
            <w:r>
              <w:rPr>
                <w:rFonts w:ascii="宋体" w:hAnsi="宋体" w:eastAsia="宋体"/>
                <w:sz w:val="16"/>
              </w:rPr>
              <w:t>&gt;=2部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9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EACB">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B0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7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9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96B9">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1C4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A4299">
            <w:pPr>
              <w:jc w:val="center"/>
            </w:pPr>
          </w:p>
        </w:tc>
      </w:tr>
      <w:tr w14:paraId="1A54F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AA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2A5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3ED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0838">
            <w:pPr>
              <w:jc w:val="center"/>
            </w:pPr>
            <w:r>
              <w:rPr>
                <w:rFonts w:ascii="宋体" w:hAnsi="宋体" w:eastAsia="宋体"/>
                <w:sz w:val="16"/>
              </w:rPr>
              <w:t>模拟发射机“三满”播出率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E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38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3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71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23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A43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64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A55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656DD">
            <w:pPr>
              <w:jc w:val="center"/>
            </w:pPr>
          </w:p>
        </w:tc>
      </w:tr>
      <w:tr w14:paraId="3D3BB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700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7B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E3D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8D51">
            <w:pPr>
              <w:jc w:val="center"/>
            </w:pPr>
            <w:r>
              <w:rPr>
                <w:rFonts w:ascii="宋体" w:hAnsi="宋体" w:eastAsia="宋体"/>
                <w:sz w:val="16"/>
              </w:rPr>
              <w:t>转移支付资金到位率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D2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91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01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34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21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ED4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DA8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9E4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2AD01">
            <w:pPr>
              <w:jc w:val="center"/>
            </w:pPr>
          </w:p>
        </w:tc>
      </w:tr>
      <w:tr w14:paraId="75509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DA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0D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99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3A80">
            <w:pPr>
              <w:jc w:val="center"/>
            </w:pPr>
            <w:r>
              <w:rPr>
                <w:rFonts w:ascii="宋体" w:hAnsi="宋体" w:eastAsia="宋体"/>
                <w:sz w:val="16"/>
              </w:rPr>
              <w:t>自治区模拟广播节目播出任务完成率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CF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A9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C0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91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91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3F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1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423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77E43">
            <w:pPr>
              <w:jc w:val="center"/>
            </w:pPr>
          </w:p>
        </w:tc>
      </w:tr>
      <w:tr w14:paraId="26DA4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D84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5F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FE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175D">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BA34">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B8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E4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BB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F2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51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E20C">
            <w:pPr>
              <w:jc w:val="center"/>
            </w:pPr>
            <w:r>
              <w:rPr>
                <w:rFonts w:ascii="宋体" w:hAnsi="宋体" w:eastAsia="宋体"/>
                <w:sz w:val="16"/>
              </w:rPr>
              <w:t>=2024年10月15日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48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C8E29">
            <w:pPr>
              <w:jc w:val="center"/>
            </w:pPr>
          </w:p>
        </w:tc>
      </w:tr>
      <w:tr w14:paraId="651EA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D8A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9E4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F1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DCDE">
            <w:pPr>
              <w:jc w:val="center"/>
            </w:pPr>
            <w:r>
              <w:rPr>
                <w:rFonts w:ascii="宋体" w:hAnsi="宋体" w:eastAsia="宋体"/>
                <w:sz w:val="16"/>
              </w:rPr>
              <w:t>模拟调频广播发射机平均维护成本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3DB7">
            <w:pPr>
              <w:jc w:val="center"/>
            </w:pPr>
            <w:r>
              <w:rPr>
                <w:rFonts w:ascii="宋体" w:hAnsi="宋体" w:eastAsia="宋体"/>
                <w:sz w:val="16"/>
              </w:rPr>
              <w:t>&lt;=7.50万元/部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59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7A9E">
            <w:pPr>
              <w:jc w:val="center"/>
            </w:pPr>
            <w:r>
              <w:rPr>
                <w:rFonts w:ascii="宋体" w:hAnsi="宋体" w:eastAsia="宋体"/>
                <w:sz w:val="16"/>
              </w:rPr>
              <w:t>7万元/部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9E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16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5B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B0E5">
            <w:pPr>
              <w:jc w:val="center"/>
            </w:pPr>
            <w:r>
              <w:rPr>
                <w:rFonts w:ascii="宋体" w:hAnsi="宋体" w:eastAsia="宋体"/>
                <w:sz w:val="16"/>
              </w:rPr>
              <w:t>=7.5万元/部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8B2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233B4">
            <w:pPr>
              <w:jc w:val="center"/>
            </w:pPr>
          </w:p>
        </w:tc>
      </w:tr>
      <w:tr w14:paraId="4E8EB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551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A772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C68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2CD3">
            <w:pPr>
              <w:jc w:val="center"/>
            </w:pPr>
            <w:r>
              <w:rPr>
                <w:rFonts w:ascii="宋体" w:hAnsi="宋体" w:eastAsia="宋体"/>
                <w:sz w:val="16"/>
              </w:rPr>
              <w:t>广播节目综合人口</w:t>
            </w:r>
            <w:r>
              <w:rPr>
                <w:rFonts w:hint="eastAsia" w:ascii="宋体" w:hAnsi="宋体"/>
                <w:sz w:val="16"/>
                <w:lang w:eastAsia="zh-CN"/>
              </w:rPr>
              <w:t>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8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93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2F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B1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F6F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3F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2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2A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2E447">
            <w:pPr>
              <w:jc w:val="center"/>
            </w:pPr>
          </w:p>
        </w:tc>
      </w:tr>
      <w:tr w14:paraId="32D64F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B4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8C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5C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2EB9">
            <w:pPr>
              <w:jc w:val="center"/>
            </w:pPr>
            <w:r>
              <w:rPr>
                <w:rFonts w:ascii="宋体" w:hAnsi="宋体" w:eastAsia="宋体"/>
                <w:sz w:val="16"/>
              </w:rPr>
              <w:t>基本公共文化服务水平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490D">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B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2CA1">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8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14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A9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A42D">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1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3D4BE">
            <w:pPr>
              <w:jc w:val="center"/>
            </w:pPr>
          </w:p>
        </w:tc>
      </w:tr>
      <w:tr w14:paraId="0F5CF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2A9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95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81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284E">
            <w:pPr>
              <w:jc w:val="center"/>
            </w:pPr>
            <w:r>
              <w:rPr>
                <w:rFonts w:ascii="宋体" w:hAnsi="宋体" w:eastAsia="宋体"/>
                <w:sz w:val="16"/>
              </w:rPr>
              <w:t>群众对广播电视基本公共服务满意度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AC3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25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3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F3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95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94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B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46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3245D">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04351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35BA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22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E03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FE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D964C9"/>
        </w:tc>
      </w:tr>
    </w:tbl>
    <w:p w14:paraId="00FD11B8">
      <w:r>
        <w:br w:type="page"/>
      </w:r>
    </w:p>
    <w:p w14:paraId="2A5AB8C5">
      <w:pPr>
        <w:spacing w:line="640" w:lineRule="exact"/>
        <w:ind w:firstLine="640"/>
        <w:jc w:val="both"/>
        <w:outlineLvl w:val="2"/>
      </w:pPr>
      <w:r>
        <w:rPr>
          <w:rFonts w:ascii="黑体" w:hAnsi="黑体" w:eastAsia="黑体"/>
          <w:sz w:val="32"/>
        </w:rPr>
        <w:t>十二、其他需说明的事项</w:t>
      </w:r>
    </w:p>
    <w:p w14:paraId="6153A02F">
      <w:pPr>
        <w:spacing w:line="580" w:lineRule="exact"/>
        <w:ind w:firstLine="640"/>
        <w:jc w:val="both"/>
      </w:pPr>
      <w:r>
        <w:rPr>
          <w:rFonts w:ascii="仿宋_GB2312" w:hAnsi="仿宋_GB2312" w:eastAsia="仿宋_GB2312"/>
          <w:b w:val="0"/>
          <w:sz w:val="32"/>
        </w:rPr>
        <w:t>本年本单位SM项目1个，全年预算数27.5</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万元，全年执行数27.5</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p>
    <w:p w14:paraId="7B50E187">
      <w:r>
        <w:br w:type="page"/>
      </w:r>
    </w:p>
    <w:p w14:paraId="09E669ED">
      <w:pPr>
        <w:spacing w:line="240" w:lineRule="auto"/>
        <w:jc w:val="center"/>
        <w:outlineLvl w:val="1"/>
      </w:pPr>
      <w:r>
        <w:rPr>
          <w:rFonts w:ascii="黑体" w:hAnsi="黑体" w:eastAsia="黑体"/>
          <w:sz w:val="32"/>
        </w:rPr>
        <w:t>第三部分 专业名词解释</w:t>
      </w:r>
    </w:p>
    <w:p w14:paraId="721D836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560CD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5AFB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C503D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36BF79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4C8B8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AEC36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5C70E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21986E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F9B7AF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B091C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923C83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89C50A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215D0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08641D">
      <w:r>
        <w:br w:type="page"/>
      </w:r>
    </w:p>
    <w:p w14:paraId="500DC6FA">
      <w:pPr>
        <w:spacing w:line="240" w:lineRule="auto"/>
        <w:jc w:val="center"/>
        <w:outlineLvl w:val="1"/>
      </w:pPr>
      <w:r>
        <w:rPr>
          <w:rFonts w:ascii="黑体" w:hAnsi="黑体" w:eastAsia="黑体"/>
          <w:sz w:val="32"/>
        </w:rPr>
        <w:t>第四部分 部门决算报表（见附表）</w:t>
      </w:r>
    </w:p>
    <w:p w14:paraId="021F4376">
      <w:pPr>
        <w:spacing w:line="240" w:lineRule="auto"/>
        <w:ind w:firstLine="640"/>
        <w:jc w:val="both"/>
      </w:pPr>
      <w:r>
        <w:rPr>
          <w:rFonts w:ascii="仿宋_GB2312" w:hAnsi="仿宋_GB2312" w:eastAsia="仿宋_GB2312"/>
          <w:b w:val="0"/>
          <w:sz w:val="32"/>
        </w:rPr>
        <w:t>一、《收入支出决算总表》</w:t>
      </w:r>
    </w:p>
    <w:p w14:paraId="09FB7B30">
      <w:pPr>
        <w:spacing w:line="240" w:lineRule="auto"/>
        <w:ind w:firstLine="640"/>
        <w:jc w:val="both"/>
      </w:pPr>
      <w:r>
        <w:rPr>
          <w:rFonts w:ascii="仿宋_GB2312" w:hAnsi="仿宋_GB2312" w:eastAsia="仿宋_GB2312"/>
          <w:b w:val="0"/>
          <w:sz w:val="32"/>
        </w:rPr>
        <w:t>二、《收入决算表》</w:t>
      </w:r>
    </w:p>
    <w:p w14:paraId="15F22F9E">
      <w:pPr>
        <w:spacing w:line="240" w:lineRule="auto"/>
        <w:ind w:firstLine="640"/>
        <w:jc w:val="both"/>
      </w:pPr>
      <w:r>
        <w:rPr>
          <w:rFonts w:ascii="仿宋_GB2312" w:hAnsi="仿宋_GB2312" w:eastAsia="仿宋_GB2312"/>
          <w:b w:val="0"/>
          <w:sz w:val="32"/>
        </w:rPr>
        <w:t>三、《支出决算表》</w:t>
      </w:r>
    </w:p>
    <w:p w14:paraId="0BC3D40C">
      <w:pPr>
        <w:spacing w:line="240" w:lineRule="auto"/>
        <w:ind w:firstLine="640"/>
        <w:jc w:val="both"/>
      </w:pPr>
      <w:r>
        <w:rPr>
          <w:rFonts w:ascii="仿宋_GB2312" w:hAnsi="仿宋_GB2312" w:eastAsia="仿宋_GB2312"/>
          <w:b w:val="0"/>
          <w:sz w:val="32"/>
        </w:rPr>
        <w:t>四、《财政拨款收入支出决算总表》</w:t>
      </w:r>
    </w:p>
    <w:p w14:paraId="69DAB3CD">
      <w:pPr>
        <w:spacing w:line="240" w:lineRule="auto"/>
        <w:ind w:firstLine="640"/>
        <w:jc w:val="both"/>
      </w:pPr>
      <w:r>
        <w:rPr>
          <w:rFonts w:ascii="仿宋_GB2312" w:hAnsi="仿宋_GB2312" w:eastAsia="仿宋_GB2312"/>
          <w:b w:val="0"/>
          <w:sz w:val="32"/>
        </w:rPr>
        <w:t>五、《一般公共预算财政拨款支出决算表》</w:t>
      </w:r>
    </w:p>
    <w:p w14:paraId="60C5A5E9">
      <w:pPr>
        <w:spacing w:line="240" w:lineRule="auto"/>
        <w:ind w:firstLine="640"/>
        <w:jc w:val="both"/>
      </w:pPr>
      <w:r>
        <w:rPr>
          <w:rFonts w:ascii="仿宋_GB2312" w:hAnsi="仿宋_GB2312" w:eastAsia="仿宋_GB2312"/>
          <w:b w:val="0"/>
          <w:sz w:val="32"/>
        </w:rPr>
        <w:t>六、《一般公共预算财政拨款基本支出决算表》</w:t>
      </w:r>
    </w:p>
    <w:p w14:paraId="180485AF">
      <w:pPr>
        <w:spacing w:line="240" w:lineRule="auto"/>
        <w:ind w:firstLine="640"/>
        <w:jc w:val="both"/>
      </w:pPr>
      <w:r>
        <w:rPr>
          <w:rFonts w:ascii="仿宋_GB2312" w:hAnsi="仿宋_GB2312" w:eastAsia="仿宋_GB2312"/>
          <w:b w:val="0"/>
          <w:sz w:val="32"/>
        </w:rPr>
        <w:t>七、《政府性基金预算财政拨款收入支出决算表》</w:t>
      </w:r>
    </w:p>
    <w:p w14:paraId="7F8DE103">
      <w:pPr>
        <w:spacing w:line="240" w:lineRule="auto"/>
        <w:ind w:firstLine="640"/>
        <w:jc w:val="both"/>
      </w:pPr>
      <w:r>
        <w:rPr>
          <w:rFonts w:ascii="仿宋_GB2312" w:hAnsi="仿宋_GB2312" w:eastAsia="仿宋_GB2312"/>
          <w:b w:val="0"/>
          <w:sz w:val="32"/>
        </w:rPr>
        <w:t>八、《国有资本经营预算财政拨款收入支出决算表》</w:t>
      </w:r>
    </w:p>
    <w:p w14:paraId="6962E84F">
      <w:pPr>
        <w:spacing w:line="240" w:lineRule="auto"/>
        <w:ind w:firstLine="640"/>
        <w:jc w:val="both"/>
      </w:pPr>
      <w:r>
        <w:rPr>
          <w:rFonts w:ascii="仿宋_GB2312" w:hAnsi="仿宋_GB2312" w:eastAsia="仿宋_GB2312"/>
          <w:b w:val="0"/>
          <w:sz w:val="32"/>
        </w:rPr>
        <w:t>九、《财政拨款“三公”经费支出决算表》</w:t>
      </w:r>
    </w:p>
    <w:p w14:paraId="5220FCC6">
      <w:pPr>
        <w:spacing w:line="240" w:lineRule="auto"/>
        <w:ind w:firstLine="640"/>
        <w:jc w:val="both"/>
      </w:pPr>
    </w:p>
    <w:p w14:paraId="45B536FA">
      <w:pPr>
        <w:spacing w:line="240" w:lineRule="auto"/>
        <w:ind w:firstLine="640"/>
        <w:jc w:val="both"/>
      </w:pPr>
    </w:p>
    <w:p w14:paraId="2D1D8E98">
      <w:pPr>
        <w:spacing w:line="240" w:lineRule="auto"/>
        <w:ind w:firstLine="640"/>
        <w:jc w:val="both"/>
      </w:pPr>
    </w:p>
    <w:p w14:paraId="74851D4C">
      <w:pPr>
        <w:spacing w:line="240" w:lineRule="auto"/>
        <w:ind w:firstLine="640"/>
        <w:jc w:val="both"/>
      </w:pPr>
    </w:p>
    <w:p w14:paraId="53D0325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00FA19-4B90-439D-B4AB-983C1B5AA77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719DE83-2CD0-45D5-854E-E05DC1C5B3F9}"/>
  </w:font>
  <w:font w:name="仿宋_GB2312">
    <w:panose1 w:val="02010609030101010101"/>
    <w:charset w:val="86"/>
    <w:family w:val="modern"/>
    <w:pitch w:val="default"/>
    <w:sig w:usb0="00000001" w:usb1="080E0000" w:usb2="00000000" w:usb3="00000000" w:csb0="00040000" w:csb1="00000000"/>
    <w:embedRegular r:id="rId3" w:fontKey="{D28949C4-75DA-4434-BB65-FFC0BADC5954}"/>
  </w:font>
  <w:font w:name="楷体_GB2312">
    <w:panose1 w:val="02010609030101010101"/>
    <w:charset w:val="86"/>
    <w:family w:val="auto"/>
    <w:pitch w:val="default"/>
    <w:sig w:usb0="00000001" w:usb1="080E0000" w:usb2="00000000" w:usb3="00000000" w:csb0="00040000" w:csb1="00000000"/>
    <w:embedRegular r:id="rId4" w:fontKey="{B6BDF4EC-4681-4E49-BF10-D8DCF31058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67538D"/>
    <w:rsid w:val="0DCA6EF7"/>
    <w:rsid w:val="0E4B1576"/>
    <w:rsid w:val="0EA04331"/>
    <w:rsid w:val="0F9811B3"/>
    <w:rsid w:val="11E15093"/>
    <w:rsid w:val="120E0809"/>
    <w:rsid w:val="132B5D5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4794</Words>
  <Characters>5489</Characters>
  <Lines>0</Lines>
  <Paragraphs>0</Paragraphs>
  <TotalTime>9</TotalTime>
  <ScaleCrop>false</ScaleCrop>
  <LinksUpToDate>false</LinksUpToDate>
  <CharactersWithSpaces>5499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2025-09-12T11:05:52Z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