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岳普湖县阿其克乡初级中学2024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430BA75">
      <w:r>
        <w:br w:type="page"/>
      </w:r>
    </w:p>
    <w:p w14:paraId="36692D3E">
      <w:pPr>
        <w:spacing w:line="640" w:lineRule="exact"/>
        <w:jc w:val="center"/>
        <w:outlineLvl w:val="1"/>
      </w:pPr>
      <w:r>
        <w:rPr>
          <w:rFonts w:ascii="黑体" w:hAnsi="黑体" w:eastAsia="黑体"/>
          <w:sz w:val="32"/>
        </w:rPr>
        <w:t>第一部分 单位概况</w:t>
      </w:r>
    </w:p>
    <w:p w14:paraId="53F87AD5">
      <w:pPr>
        <w:spacing w:line="640" w:lineRule="exact"/>
        <w:ind w:firstLine="640"/>
        <w:jc w:val="both"/>
        <w:outlineLvl w:val="2"/>
      </w:pPr>
      <w:r>
        <w:rPr>
          <w:rFonts w:ascii="黑体" w:hAnsi="黑体" w:eastAsia="黑体"/>
          <w:sz w:val="32"/>
        </w:rPr>
        <w:t>一、主要职能</w:t>
      </w:r>
    </w:p>
    <w:p w14:paraId="2902335F">
      <w:pPr>
        <w:spacing w:line="580" w:lineRule="exact"/>
        <w:ind w:firstLine="640"/>
        <w:jc w:val="both"/>
      </w:pPr>
      <w:r>
        <w:rPr>
          <w:rFonts w:ascii="仿宋_GB2312" w:hAnsi="仿宋_GB2312" w:eastAsia="仿宋_GB2312"/>
          <w:sz w:val="32"/>
        </w:rPr>
        <w:t>宣传贯彻执行党和国家的教育方针、政策和法律法规等，坚持依法治教，依法治校，贯彻执行县教育局的行政规章制度；配合县教育局制定符合本校实际的教育发展规划，并抓好组织实施和落实工作；巩固提高学校工作成果和整体水平，配合县教育局依法动员，组织适龄儿童入学，严格控制辍学，负责抓好教育工作，推进普及义务教育；组织开展本校的教育教学科研工作，科研兴教、科研兴校，负责对本校教育教学管理工作，全面推进素质教育实施；按照本校教职工的编制、岗位、聘用人数，负责本校教师的人事管理，继续教育，考核考评等工作；负责本校财务和基建管理，改善办学条件；指导、管理、检查、评价本校的教育教学工作，提高办学质量和办学效益。按照义务教育课程规划、开齐课程，开足课时，认真实施中小学教育教学管理，全面推进素质教育，全面提高教育教学质量。</w:t>
      </w:r>
    </w:p>
    <w:p w14:paraId="16C474CD">
      <w:pPr>
        <w:spacing w:line="640" w:lineRule="exact"/>
        <w:ind w:firstLine="640"/>
        <w:jc w:val="both"/>
        <w:outlineLvl w:val="2"/>
      </w:pPr>
      <w:r>
        <w:rPr>
          <w:rFonts w:ascii="黑体" w:hAnsi="黑体" w:eastAsia="黑体"/>
          <w:sz w:val="32"/>
        </w:rPr>
        <w:t>二、机构设置及人员情况</w:t>
      </w:r>
    </w:p>
    <w:p w14:paraId="57A98458">
      <w:pPr>
        <w:spacing w:line="580" w:lineRule="exact"/>
        <w:ind w:firstLine="640"/>
        <w:jc w:val="both"/>
      </w:pPr>
      <w:r>
        <w:rPr>
          <w:rFonts w:ascii="仿宋_GB2312" w:hAnsi="仿宋_GB2312" w:eastAsia="仿宋_GB2312"/>
          <w:sz w:val="32"/>
        </w:rPr>
        <w:t>岳普湖县阿其克乡初级中学2024年度，实有人数127人，其中：在职人员108人，减少2人；离休人员0人，增加0人；退休人员19人,减少3人。</w:t>
      </w:r>
    </w:p>
    <w:p w14:paraId="0E9E18CA">
      <w:pPr>
        <w:spacing w:line="580" w:lineRule="exact"/>
        <w:ind w:firstLine="640"/>
        <w:jc w:val="both"/>
      </w:pPr>
      <w:r>
        <w:rPr>
          <w:rFonts w:ascii="仿宋_GB2312" w:hAnsi="仿宋_GB2312" w:eastAsia="仿宋_GB2312"/>
          <w:sz w:val="32"/>
        </w:rPr>
        <w:t>岳普湖县阿其克乡初级中学无下属预算单位，下设5个科室，分别是：教务处、行政办公室、党建办、总务办公室、财务室。</w:t>
      </w:r>
    </w:p>
    <w:p w14:paraId="49B7C3DF">
      <w:r>
        <w:br w:type="page"/>
      </w:r>
    </w:p>
    <w:p w14:paraId="50A278D2">
      <w:pPr>
        <w:spacing w:line="240" w:lineRule="auto"/>
        <w:jc w:val="center"/>
        <w:outlineLvl w:val="1"/>
      </w:pPr>
      <w:r>
        <w:rPr>
          <w:rFonts w:ascii="黑体" w:hAnsi="黑体" w:eastAsia="黑体"/>
          <w:sz w:val="32"/>
        </w:rPr>
        <w:t>第二部分 部门决算情况说明</w:t>
      </w:r>
    </w:p>
    <w:p w14:paraId="57F330D2">
      <w:pPr>
        <w:spacing w:line="640" w:lineRule="exact"/>
        <w:ind w:firstLine="640"/>
        <w:jc w:val="both"/>
        <w:outlineLvl w:val="2"/>
      </w:pPr>
      <w:r>
        <w:rPr>
          <w:rFonts w:ascii="黑体" w:hAnsi="黑体" w:eastAsia="黑体"/>
          <w:sz w:val="32"/>
        </w:rPr>
        <w:t>一、收入支出决算总体情况说明</w:t>
      </w:r>
    </w:p>
    <w:p w14:paraId="29309653">
      <w:pPr>
        <w:spacing w:line="580" w:lineRule="exact"/>
        <w:ind w:firstLine="640"/>
        <w:jc w:val="both"/>
      </w:pPr>
      <w:r>
        <w:rPr>
          <w:rFonts w:ascii="仿宋_GB2312" w:hAnsi="仿宋_GB2312" w:eastAsia="仿宋_GB2312"/>
          <w:b/>
          <w:sz w:val="32"/>
        </w:rPr>
        <w:t>2024年度收入总计3,458.29万元，</w:t>
      </w:r>
      <w:r>
        <w:rPr>
          <w:rFonts w:ascii="仿宋_GB2312" w:hAnsi="仿宋_GB2312" w:eastAsia="仿宋_GB2312"/>
          <w:b w:val="0"/>
          <w:sz w:val="32"/>
        </w:rPr>
        <w:t>其中：本年收入合计3,458.29万元，使用非财政拨款结余（含专用结余）0.00万元，年初结转和结余0.00万元。</w:t>
      </w:r>
    </w:p>
    <w:p w14:paraId="125775BF">
      <w:pPr>
        <w:spacing w:line="580" w:lineRule="exact"/>
        <w:ind w:firstLine="640"/>
        <w:jc w:val="both"/>
      </w:pPr>
      <w:r>
        <w:rPr>
          <w:rFonts w:ascii="仿宋_GB2312" w:hAnsi="仿宋_GB2312" w:eastAsia="仿宋_GB2312"/>
          <w:b/>
          <w:sz w:val="32"/>
        </w:rPr>
        <w:t>2024年度支出总计3,458.29万元，</w:t>
      </w:r>
      <w:r>
        <w:rPr>
          <w:rFonts w:ascii="仿宋_GB2312" w:hAnsi="仿宋_GB2312" w:eastAsia="仿宋_GB2312"/>
          <w:b w:val="0"/>
          <w:sz w:val="32"/>
        </w:rPr>
        <w:t>其中：本年支出合计3,458.29万元，结余分配0.00万元，年末结转和结余0.00万元。</w:t>
      </w:r>
    </w:p>
    <w:p w14:paraId="175956DD">
      <w:pPr>
        <w:spacing w:line="580" w:lineRule="exact"/>
        <w:ind w:firstLine="640"/>
        <w:jc w:val="both"/>
      </w:pPr>
      <w:r>
        <w:rPr>
          <w:rFonts w:ascii="仿宋_GB2312" w:hAnsi="仿宋_GB2312" w:eastAsia="仿宋_GB2312"/>
          <w:b w:val="0"/>
          <w:sz w:val="32"/>
        </w:rPr>
        <w:t>收入支出总体与上年相比，减少113.35万元，下降3.17%，主要原因是：本年度学校自聘教师解聘</w:t>
      </w:r>
      <w:r>
        <w:rPr>
          <w:rFonts w:hint="eastAsia" w:ascii="仿宋_GB2312" w:hAnsi="仿宋_GB2312" w:eastAsia="仿宋_GB2312"/>
          <w:b w:val="0"/>
          <w:sz w:val="32"/>
          <w:lang w:eastAsia="zh-CN"/>
        </w:rPr>
        <w:t>，</w:t>
      </w:r>
      <w:r>
        <w:rPr>
          <w:rFonts w:ascii="仿宋_GB2312" w:hAnsi="仿宋_GB2312" w:eastAsia="仿宋_GB2312"/>
          <w:b w:val="0"/>
          <w:sz w:val="32"/>
        </w:rPr>
        <w:t>学校部分教师调出到幼儿园，相关经费减少。</w:t>
      </w:r>
    </w:p>
    <w:p w14:paraId="04A5B1D3">
      <w:pPr>
        <w:spacing w:line="640" w:lineRule="exact"/>
        <w:ind w:firstLine="640"/>
        <w:jc w:val="both"/>
        <w:outlineLvl w:val="2"/>
      </w:pPr>
      <w:r>
        <w:rPr>
          <w:rFonts w:ascii="黑体" w:hAnsi="黑体" w:eastAsia="黑体"/>
          <w:sz w:val="32"/>
        </w:rPr>
        <w:t>二、收入决算情况说明</w:t>
      </w:r>
    </w:p>
    <w:p w14:paraId="39F8816B">
      <w:pPr>
        <w:spacing w:line="580" w:lineRule="exact"/>
        <w:ind w:firstLine="640"/>
        <w:jc w:val="both"/>
      </w:pPr>
      <w:r>
        <w:rPr>
          <w:rFonts w:ascii="仿宋_GB2312" w:hAnsi="仿宋_GB2312" w:eastAsia="仿宋_GB2312"/>
          <w:b/>
          <w:sz w:val="32"/>
        </w:rPr>
        <w:t>本年收入3,458.29万元，</w:t>
      </w:r>
      <w:r>
        <w:rPr>
          <w:rFonts w:ascii="仿宋_GB2312" w:hAnsi="仿宋_GB2312" w:eastAsia="仿宋_GB2312"/>
          <w:b w:val="0"/>
          <w:sz w:val="32"/>
        </w:rPr>
        <w:t>其中：财政拨款收入2,745.86万元，占79.40%；上级补助收入0.00万元，占0.00%；事业收入0.00万元，占0.00%；经营收入0.00万元，占0.00%；附属单位上缴收入0.00万元，占0.00%；其他收入712.43万元，占20.60%。</w:t>
      </w:r>
    </w:p>
    <w:p w14:paraId="7E377435">
      <w:pPr>
        <w:spacing w:line="640" w:lineRule="exact"/>
        <w:ind w:firstLine="640"/>
        <w:jc w:val="both"/>
        <w:outlineLvl w:val="2"/>
      </w:pPr>
      <w:r>
        <w:rPr>
          <w:rFonts w:ascii="黑体" w:hAnsi="黑体" w:eastAsia="黑体"/>
          <w:sz w:val="32"/>
        </w:rPr>
        <w:t>三、支出决算情况说明</w:t>
      </w:r>
    </w:p>
    <w:p w14:paraId="0C8918DA">
      <w:pPr>
        <w:spacing w:line="580" w:lineRule="exact"/>
        <w:ind w:firstLine="640"/>
        <w:jc w:val="both"/>
      </w:pPr>
      <w:r>
        <w:rPr>
          <w:rFonts w:ascii="仿宋_GB2312" w:hAnsi="仿宋_GB2312" w:eastAsia="仿宋_GB2312"/>
          <w:b/>
          <w:sz w:val="32"/>
        </w:rPr>
        <w:t>本年支出3,458.29万元，</w:t>
      </w:r>
      <w:r>
        <w:rPr>
          <w:rFonts w:ascii="仿宋_GB2312" w:hAnsi="仿宋_GB2312" w:eastAsia="仿宋_GB2312"/>
          <w:b w:val="0"/>
          <w:sz w:val="32"/>
        </w:rPr>
        <w:t>其中：基本支出1,977.29万元，占57.18%；项目支出1,481.00万元，占42.82%；上缴上级支出0.00万元，占0.00%；经营支出0.00万元，占0.00%；对附属单位补助支出0.00万元，占0.00%。</w:t>
      </w:r>
    </w:p>
    <w:p w14:paraId="2661DFD1">
      <w:pPr>
        <w:spacing w:line="640" w:lineRule="exact"/>
        <w:ind w:firstLine="640"/>
        <w:jc w:val="both"/>
        <w:outlineLvl w:val="2"/>
      </w:pPr>
      <w:r>
        <w:rPr>
          <w:rFonts w:ascii="黑体" w:hAnsi="黑体" w:eastAsia="黑体"/>
          <w:sz w:val="32"/>
        </w:rPr>
        <w:t>四、财政拨款收入支出决算总体情况说明</w:t>
      </w:r>
    </w:p>
    <w:p w14:paraId="6EE28770">
      <w:pPr>
        <w:spacing w:line="580" w:lineRule="exact"/>
        <w:ind w:firstLine="640"/>
        <w:jc w:val="both"/>
      </w:pPr>
      <w:r>
        <w:rPr>
          <w:rFonts w:ascii="仿宋_GB2312" w:hAnsi="仿宋_GB2312" w:eastAsia="仿宋_GB2312"/>
          <w:b/>
          <w:sz w:val="32"/>
        </w:rPr>
        <w:t>2024年度财政拨款收入总计2,745.86万元，</w:t>
      </w:r>
      <w:r>
        <w:rPr>
          <w:rFonts w:ascii="仿宋_GB2312" w:hAnsi="仿宋_GB2312" w:eastAsia="仿宋_GB2312"/>
          <w:b w:val="0"/>
          <w:sz w:val="32"/>
        </w:rPr>
        <w:t>其中：年初财政拨款结转和结余0.00万元，本年财政拨款收入2,745.86万元。</w:t>
      </w:r>
      <w:r>
        <w:rPr>
          <w:rFonts w:ascii="仿宋_GB2312" w:hAnsi="仿宋_GB2312" w:eastAsia="仿宋_GB2312"/>
          <w:b/>
          <w:sz w:val="32"/>
        </w:rPr>
        <w:t>财政拨款支出总计2,745.86万元，</w:t>
      </w:r>
      <w:r>
        <w:rPr>
          <w:rFonts w:ascii="仿宋_GB2312" w:hAnsi="仿宋_GB2312" w:eastAsia="仿宋_GB2312"/>
          <w:b w:val="0"/>
          <w:sz w:val="32"/>
        </w:rPr>
        <w:t>其中：年末财政拨款结转和结余0.00万元，本年财政拨款支出2,745.86万元。</w:t>
      </w:r>
    </w:p>
    <w:p w14:paraId="1ED3316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减少65.26万元，下降2.32%，主要原因是：本年度学校自聘教师解聘</w:t>
      </w:r>
      <w:r>
        <w:rPr>
          <w:rFonts w:hint="eastAsia" w:ascii="仿宋_GB2312" w:hAnsi="仿宋_GB2312" w:eastAsia="仿宋_GB2312"/>
          <w:b w:val="0"/>
          <w:sz w:val="32"/>
          <w:lang w:eastAsia="zh-CN"/>
        </w:rPr>
        <w:t>，</w:t>
      </w:r>
      <w:r>
        <w:rPr>
          <w:rFonts w:ascii="仿宋_GB2312" w:hAnsi="仿宋_GB2312" w:eastAsia="仿宋_GB2312"/>
          <w:b w:val="0"/>
          <w:sz w:val="32"/>
        </w:rPr>
        <w:t>学校部分教师调出到幼儿园，相关经费减少。</w:t>
      </w:r>
      <w:r>
        <w:rPr>
          <w:rFonts w:ascii="仿宋_GB2312" w:hAnsi="仿宋_GB2312" w:eastAsia="仿宋_GB2312"/>
          <w:b/>
          <w:sz w:val="32"/>
        </w:rPr>
        <w:t>与年初预算相比，</w:t>
      </w:r>
      <w:r>
        <w:rPr>
          <w:rFonts w:ascii="仿宋_GB2312" w:hAnsi="仿宋_GB2312" w:eastAsia="仿宋_GB2312"/>
          <w:b w:val="0"/>
          <w:sz w:val="32"/>
        </w:rPr>
        <w:t>年初预算数2,461.82万元，决算数2,745.86万元，预决算差异率11.54%，主要原因是：年中追加人员工资、社保、公积金基数调增部分资金，导致预决算存在差异；年中追加</w:t>
      </w:r>
      <w:r>
        <w:rPr>
          <w:rFonts w:hint="eastAsia" w:ascii="仿宋_GB2312" w:hAnsi="仿宋_GB2312" w:eastAsia="仿宋_GB2312"/>
          <w:b w:val="0"/>
          <w:sz w:val="32"/>
        </w:rPr>
        <w:t>城乡义务教育公用经费项目</w:t>
      </w:r>
      <w:r>
        <w:rPr>
          <w:rFonts w:hint="eastAsia" w:ascii="仿宋_GB2312" w:hAnsi="仿宋_GB2312" w:eastAsia="仿宋_GB2312"/>
          <w:b w:val="0"/>
          <w:sz w:val="32"/>
          <w:lang w:eastAsia="zh-CN"/>
        </w:rPr>
        <w:t>、</w:t>
      </w:r>
      <w:r>
        <w:rPr>
          <w:rFonts w:ascii="仿宋_GB2312" w:hAnsi="仿宋_GB2312" w:eastAsia="仿宋_GB2312"/>
          <w:b w:val="0"/>
          <w:sz w:val="32"/>
        </w:rPr>
        <w:t>少年宫活动经费，导致预决算存在差异。</w:t>
      </w:r>
    </w:p>
    <w:p w14:paraId="3BF01BDD">
      <w:pPr>
        <w:spacing w:line="640" w:lineRule="exact"/>
        <w:ind w:firstLine="640"/>
        <w:jc w:val="both"/>
        <w:outlineLvl w:val="2"/>
      </w:pPr>
      <w:r>
        <w:rPr>
          <w:rFonts w:ascii="黑体" w:hAnsi="黑体" w:eastAsia="黑体"/>
          <w:sz w:val="32"/>
        </w:rPr>
        <w:t>五、一般公共预算财政拨款支出决算情况说明</w:t>
      </w:r>
    </w:p>
    <w:p w14:paraId="3A8F04FE">
      <w:pPr>
        <w:spacing w:line="640" w:lineRule="exact"/>
        <w:ind w:firstLine="640"/>
        <w:jc w:val="both"/>
        <w:outlineLvl w:val="3"/>
      </w:pPr>
      <w:r>
        <w:rPr>
          <w:rFonts w:ascii="楷体_GB2312" w:hAnsi="楷体_GB2312" w:eastAsia="楷体_GB2312"/>
          <w:b/>
          <w:sz w:val="32"/>
        </w:rPr>
        <w:t>（一）一般公共预算财政拨款支出决算总体情况</w:t>
      </w:r>
    </w:p>
    <w:p w14:paraId="11DED15A">
      <w:pPr>
        <w:spacing w:line="580" w:lineRule="exact"/>
        <w:ind w:firstLine="640"/>
        <w:jc w:val="both"/>
      </w:pPr>
      <w:r>
        <w:rPr>
          <w:rFonts w:ascii="仿宋_GB2312" w:hAnsi="仿宋_GB2312" w:eastAsia="仿宋_GB2312"/>
          <w:b/>
          <w:sz w:val="32"/>
        </w:rPr>
        <w:t>2024年度一般公共预算财政拨款支出2,744.36万元，</w:t>
      </w:r>
      <w:r>
        <w:rPr>
          <w:rFonts w:ascii="仿宋_GB2312" w:hAnsi="仿宋_GB2312" w:eastAsia="仿宋_GB2312"/>
          <w:b w:val="0"/>
          <w:sz w:val="32"/>
        </w:rPr>
        <w:t>占本年支出合计的79.36%。</w:t>
      </w:r>
      <w:r>
        <w:rPr>
          <w:rFonts w:ascii="仿宋_GB2312" w:hAnsi="仿宋_GB2312" w:eastAsia="仿宋_GB2312"/>
          <w:b/>
          <w:sz w:val="32"/>
        </w:rPr>
        <w:t>与上年相比，</w:t>
      </w:r>
      <w:r>
        <w:rPr>
          <w:rFonts w:ascii="仿宋_GB2312" w:hAnsi="仿宋_GB2312" w:eastAsia="仿宋_GB2312"/>
          <w:b w:val="0"/>
          <w:sz w:val="32"/>
        </w:rPr>
        <w:t>减少65.26万元，下降2.32%，主要原因是：本年度学校自聘教师解聘</w:t>
      </w:r>
      <w:r>
        <w:rPr>
          <w:rFonts w:hint="eastAsia" w:ascii="仿宋_GB2312" w:hAnsi="仿宋_GB2312" w:eastAsia="仿宋_GB2312"/>
          <w:b w:val="0"/>
          <w:sz w:val="32"/>
          <w:lang w:eastAsia="zh-CN"/>
        </w:rPr>
        <w:t>，</w:t>
      </w:r>
      <w:r>
        <w:rPr>
          <w:rFonts w:ascii="仿宋_GB2312" w:hAnsi="仿宋_GB2312" w:eastAsia="仿宋_GB2312"/>
          <w:b w:val="0"/>
          <w:sz w:val="32"/>
        </w:rPr>
        <w:t>学校部分教师调出到幼儿园，相关经费减少。</w:t>
      </w:r>
      <w:r>
        <w:rPr>
          <w:rFonts w:ascii="仿宋_GB2312" w:hAnsi="仿宋_GB2312" w:eastAsia="仿宋_GB2312"/>
          <w:b/>
          <w:sz w:val="32"/>
        </w:rPr>
        <w:t>与年初预算相比,</w:t>
      </w:r>
      <w:r>
        <w:rPr>
          <w:rFonts w:ascii="仿宋_GB2312" w:hAnsi="仿宋_GB2312" w:eastAsia="仿宋_GB2312"/>
          <w:b w:val="0"/>
          <w:sz w:val="32"/>
        </w:rPr>
        <w:t>年初预算数2,461.82万元，决算数2,744.36万元，预决算差异率11.48%，主要原因是：年中追加人员工资、社保、公积金基数调增部分资金，导致预决算存在差异；年中追加</w:t>
      </w:r>
      <w:r>
        <w:rPr>
          <w:rFonts w:hint="eastAsia" w:ascii="仿宋_GB2312" w:hAnsi="仿宋_GB2312" w:eastAsia="仿宋_GB2312"/>
          <w:b w:val="0"/>
          <w:sz w:val="32"/>
        </w:rPr>
        <w:t>城乡义务教育公用经费项目</w:t>
      </w:r>
      <w:bookmarkStart w:id="0" w:name="_GoBack"/>
      <w:bookmarkEnd w:id="0"/>
      <w:r>
        <w:rPr>
          <w:rFonts w:ascii="仿宋_GB2312" w:hAnsi="仿宋_GB2312" w:eastAsia="仿宋_GB2312"/>
          <w:b w:val="0"/>
          <w:sz w:val="32"/>
        </w:rPr>
        <w:t>，导致预决算存在差异。</w:t>
      </w:r>
    </w:p>
    <w:p w14:paraId="0162B0C6">
      <w:pPr>
        <w:spacing w:line="640" w:lineRule="exact"/>
        <w:ind w:firstLine="640"/>
        <w:jc w:val="both"/>
        <w:outlineLvl w:val="3"/>
      </w:pPr>
      <w:r>
        <w:rPr>
          <w:rFonts w:ascii="楷体_GB2312" w:hAnsi="楷体_GB2312" w:eastAsia="楷体_GB2312"/>
          <w:b/>
          <w:sz w:val="32"/>
        </w:rPr>
        <w:t>（二）一般公共预算财政拨款支出决算结构情况</w:t>
      </w:r>
    </w:p>
    <w:p w14:paraId="71B79494">
      <w:pPr>
        <w:spacing w:line="580" w:lineRule="exact"/>
        <w:ind w:firstLine="640"/>
        <w:jc w:val="both"/>
      </w:pPr>
      <w:r>
        <w:rPr>
          <w:rFonts w:ascii="仿宋_GB2312" w:hAnsi="仿宋_GB2312" w:eastAsia="仿宋_GB2312"/>
          <w:b w:val="0"/>
          <w:sz w:val="32"/>
        </w:rPr>
        <w:t>1.教育支出(类)2,744.36万元,占100.00%。</w:t>
      </w:r>
    </w:p>
    <w:p w14:paraId="59EBF042">
      <w:pPr>
        <w:spacing w:line="640" w:lineRule="exact"/>
        <w:ind w:firstLine="640"/>
        <w:jc w:val="both"/>
        <w:outlineLvl w:val="3"/>
      </w:pPr>
      <w:r>
        <w:rPr>
          <w:rFonts w:ascii="楷体_GB2312" w:hAnsi="楷体_GB2312" w:eastAsia="楷体_GB2312"/>
          <w:b/>
          <w:sz w:val="32"/>
        </w:rPr>
        <w:t>（三）一般公共预算财政拨款支出决算具体情况</w:t>
      </w:r>
    </w:p>
    <w:p w14:paraId="36187096">
      <w:pPr>
        <w:spacing w:line="580" w:lineRule="exact"/>
        <w:ind w:firstLine="640"/>
        <w:jc w:val="both"/>
      </w:pPr>
      <w:r>
        <w:rPr>
          <w:rFonts w:ascii="仿宋_GB2312" w:hAnsi="仿宋_GB2312" w:eastAsia="仿宋_GB2312"/>
          <w:b w:val="0"/>
          <w:sz w:val="32"/>
        </w:rPr>
        <w:t>1.教育支出(类)普通教育(款)初中教育(项):支出决算数为2,744.36万元，比上年决算增加164.52万元，增长6.38%,主要原因是：本年在职人员工资调薪，工资、社保、公积金等相关人员经费增加；本年岳普湖县中小学教学能力提升项目</w:t>
      </w:r>
      <w:r>
        <w:rPr>
          <w:rFonts w:hint="eastAsia" w:ascii="仿宋_GB2312" w:hAnsi="仿宋_GB2312" w:eastAsia="仿宋_GB2312"/>
          <w:b w:val="0"/>
          <w:sz w:val="32"/>
          <w:lang w:val="en-US" w:eastAsia="zh-CN"/>
        </w:rPr>
        <w:t>经费增加</w:t>
      </w:r>
      <w:r>
        <w:rPr>
          <w:rFonts w:hint="eastAsia" w:ascii="仿宋_GB2312" w:hAnsi="仿宋_GB2312" w:eastAsia="仿宋_GB2312"/>
          <w:b w:val="0"/>
          <w:sz w:val="32"/>
          <w:lang w:eastAsia="zh-CN"/>
        </w:rPr>
        <w:t>；</w:t>
      </w:r>
      <w:r>
        <w:rPr>
          <w:rFonts w:ascii="仿宋_GB2312" w:hAnsi="仿宋_GB2312" w:eastAsia="仿宋_GB2312"/>
          <w:b w:val="0"/>
          <w:sz w:val="32"/>
        </w:rPr>
        <w:t>本年功能科目调整，机关事业单位职业年金缴费、养老保险缴费上年度单独列支，本年调整至主科目列支，导致经费较上年增加。</w:t>
      </w:r>
    </w:p>
    <w:p w14:paraId="0DCDA1A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185.11万元，下降100.00%,主要原因是：本年功能科目调整，养老保险缴费上年度单独列支，本年调整至主科目列支，导致经费较上年减少。</w:t>
      </w:r>
    </w:p>
    <w:p w14:paraId="1A7ACE4E">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44.67万元，下降100.00%,主要原因是：本年功能科目调整，机关事业单位职业年金缴费上年度单独列支，本年调整至主科目列支，导致经费较上年减少。</w:t>
      </w:r>
    </w:p>
    <w:p w14:paraId="032AB190">
      <w:pPr>
        <w:spacing w:line="640" w:lineRule="exact"/>
        <w:ind w:firstLine="640"/>
        <w:jc w:val="both"/>
        <w:outlineLvl w:val="2"/>
      </w:pPr>
      <w:r>
        <w:rPr>
          <w:rFonts w:ascii="黑体" w:hAnsi="黑体" w:eastAsia="黑体"/>
          <w:sz w:val="32"/>
        </w:rPr>
        <w:t>六、一般公共预算财政拨款基本支出决算情况说明</w:t>
      </w:r>
    </w:p>
    <w:p w14:paraId="053E7933">
      <w:pPr>
        <w:spacing w:line="580" w:lineRule="exact"/>
        <w:ind w:firstLine="640"/>
        <w:jc w:val="both"/>
      </w:pPr>
      <w:r>
        <w:rPr>
          <w:rFonts w:ascii="仿宋_GB2312" w:hAnsi="仿宋_GB2312" w:eastAsia="仿宋_GB2312"/>
          <w:b w:val="0"/>
          <w:sz w:val="32"/>
        </w:rPr>
        <w:t>2024年度一般公共预算财政拨款基本支出1,977.29万元，其中：</w:t>
      </w:r>
      <w:r>
        <w:rPr>
          <w:rFonts w:ascii="仿宋_GB2312" w:hAnsi="仿宋_GB2312" w:eastAsia="仿宋_GB2312"/>
          <w:b/>
          <w:sz w:val="32"/>
        </w:rPr>
        <w:t>人员经费1,977.29万元，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包括：基本工资、津贴补贴、奖金、绩效工资、机关事业单位基本养老保险缴费、职工基本医疗保险缴费、其他社会保障缴费、住房公积金、其他工资福利支出、退休费、抚恤金、生活补助。</w:t>
      </w:r>
    </w:p>
    <w:p w14:paraId="10F92025">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B34547F">
      <w:pPr>
        <w:spacing w:line="640" w:lineRule="exact"/>
        <w:ind w:firstLine="640"/>
        <w:jc w:val="both"/>
        <w:outlineLvl w:val="2"/>
      </w:pPr>
      <w:r>
        <w:rPr>
          <w:rFonts w:ascii="黑体" w:hAnsi="黑体" w:eastAsia="黑体"/>
          <w:sz w:val="32"/>
        </w:rPr>
        <w:t>七、政府性基金预算财政拨款收入支出决算情况说明</w:t>
      </w:r>
    </w:p>
    <w:p w14:paraId="005E1554">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7BB1064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增加0.00万元，增长0.00%，主要原因是：本年少年宫活动经费与上年一致无变化。</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年初预算数0.00万元，决算数1.50万元，预决算差异率100.00%，主要原因是：年中追加少年宫活动经费，导致预决算存在差异。</w:t>
      </w:r>
    </w:p>
    <w:p w14:paraId="63EF673C">
      <w:pPr>
        <w:spacing w:line="580" w:lineRule="exact"/>
        <w:ind w:firstLine="640"/>
        <w:jc w:val="both"/>
      </w:pPr>
      <w:r>
        <w:rPr>
          <w:rFonts w:ascii="仿宋_GB2312" w:hAnsi="仿宋_GB2312" w:eastAsia="仿宋_GB2312"/>
          <w:b w:val="0"/>
          <w:sz w:val="32"/>
        </w:rPr>
        <w:t>政府性基金预算财政拨款支出1.50万元。</w:t>
      </w:r>
    </w:p>
    <w:p w14:paraId="4FD6ECE3">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1.其他支出(类)彩票公益金安排的支出(款)用于教育事业的彩票公益金支出(项):支出决算数为1.50万元，比上年决算增加0.00万元，增长0.00%,主要原因是：本年少年宫活动经费与上年一致无变化。</w:t>
      </w:r>
    </w:p>
    <w:p w14:paraId="18A7F26E">
      <w:pPr>
        <w:spacing w:line="640" w:lineRule="exact"/>
        <w:ind w:firstLine="640"/>
        <w:jc w:val="both"/>
        <w:outlineLvl w:val="2"/>
      </w:pPr>
      <w:r>
        <w:rPr>
          <w:rFonts w:ascii="黑体" w:hAnsi="黑体" w:eastAsia="黑体"/>
          <w:sz w:val="32"/>
        </w:rPr>
        <w:t>八、国有资本经营预算财政拨款收入支出决算情况说明</w:t>
      </w:r>
    </w:p>
    <w:p w14:paraId="0D71FB4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154F03D">
      <w:pPr>
        <w:spacing w:line="640" w:lineRule="exact"/>
        <w:ind w:firstLine="640"/>
        <w:jc w:val="both"/>
        <w:outlineLvl w:val="2"/>
      </w:pPr>
      <w:r>
        <w:rPr>
          <w:rFonts w:ascii="黑体" w:hAnsi="黑体" w:eastAsia="黑体"/>
          <w:sz w:val="32"/>
        </w:rPr>
        <w:t>九、财政拨款“三公”经费支出决算情况说明</w:t>
      </w:r>
    </w:p>
    <w:p w14:paraId="7BDE314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6556DEB">
      <w:pPr>
        <w:spacing w:line="580" w:lineRule="exact"/>
        <w:ind w:firstLine="640"/>
        <w:jc w:val="both"/>
      </w:pPr>
      <w:r>
        <w:rPr>
          <w:rFonts w:ascii="仿宋_GB2312" w:hAnsi="仿宋_GB2312" w:eastAsia="仿宋_GB2312"/>
          <w:b/>
          <w:sz w:val="32"/>
        </w:rPr>
        <w:t>具体情况如下：</w:t>
      </w:r>
    </w:p>
    <w:p w14:paraId="7413632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457464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AE1E5F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97E473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181412F">
      <w:pPr>
        <w:spacing w:line="640" w:lineRule="exact"/>
        <w:ind w:firstLine="640"/>
        <w:jc w:val="both"/>
        <w:outlineLvl w:val="2"/>
      </w:pPr>
      <w:r>
        <w:rPr>
          <w:rFonts w:ascii="黑体" w:hAnsi="黑体" w:eastAsia="黑体"/>
          <w:sz w:val="32"/>
        </w:rPr>
        <w:t>十、其他重要事项的情况说明</w:t>
      </w:r>
    </w:p>
    <w:p w14:paraId="4ADAAB7B">
      <w:pPr>
        <w:spacing w:line="640" w:lineRule="exact"/>
        <w:ind w:firstLine="640"/>
        <w:jc w:val="both"/>
        <w:outlineLvl w:val="3"/>
      </w:pPr>
      <w:r>
        <w:rPr>
          <w:rFonts w:ascii="楷体_GB2312" w:hAnsi="楷体_GB2312" w:eastAsia="楷体_GB2312"/>
          <w:b/>
          <w:sz w:val="32"/>
        </w:rPr>
        <w:t>（一）机关运行经费及公用经费支出情况</w:t>
      </w:r>
    </w:p>
    <w:p w14:paraId="4CE1D83D">
      <w:pPr>
        <w:spacing w:line="580" w:lineRule="exact"/>
        <w:ind w:firstLine="640"/>
        <w:jc w:val="both"/>
      </w:pPr>
      <w:r>
        <w:rPr>
          <w:rFonts w:ascii="仿宋_GB2312" w:hAnsi="仿宋_GB2312" w:eastAsia="仿宋_GB2312"/>
          <w:b w:val="0"/>
          <w:sz w:val="32"/>
        </w:rPr>
        <w:t>2024年度岳普湖县阿其克乡初级中学（事业单位）公用经费支出0.00万元，比上年增加0.00万元，增长0.00%，主要原因是：2023年与2024年均未安排公用经费支出。</w:t>
      </w:r>
    </w:p>
    <w:p w14:paraId="383ADB61">
      <w:pPr>
        <w:spacing w:line="640" w:lineRule="exact"/>
        <w:ind w:firstLine="640"/>
        <w:jc w:val="both"/>
        <w:outlineLvl w:val="3"/>
      </w:pPr>
      <w:r>
        <w:rPr>
          <w:rFonts w:ascii="楷体_GB2312" w:hAnsi="楷体_GB2312" w:eastAsia="楷体_GB2312"/>
          <w:b/>
          <w:sz w:val="32"/>
        </w:rPr>
        <w:t>（二）政府采购情况</w:t>
      </w:r>
    </w:p>
    <w:p w14:paraId="073B1AD7">
      <w:pPr>
        <w:spacing w:line="580" w:lineRule="exact"/>
        <w:ind w:firstLine="640"/>
        <w:jc w:val="both"/>
      </w:pPr>
      <w:r>
        <w:rPr>
          <w:rFonts w:ascii="仿宋_GB2312" w:hAnsi="仿宋_GB2312" w:eastAsia="仿宋_GB2312"/>
          <w:b w:val="0"/>
          <w:sz w:val="32"/>
        </w:rPr>
        <w:t>2024年度政府采购支出总额624.57万元，其中：政府采购货物支出0.00万元、政府采购工程支出27.89万元、政府采购服务支出596.68万元。</w:t>
      </w:r>
    </w:p>
    <w:p w14:paraId="31FDA618">
      <w:pPr>
        <w:spacing w:line="580" w:lineRule="exact"/>
        <w:ind w:firstLine="640"/>
        <w:jc w:val="both"/>
      </w:pPr>
      <w:r>
        <w:rPr>
          <w:rFonts w:ascii="仿宋_GB2312" w:hAnsi="仿宋_GB2312" w:eastAsia="仿宋_GB2312"/>
          <w:b w:val="0"/>
          <w:sz w:val="32"/>
        </w:rPr>
        <w:t>授予中小企业合同金额624.57万元，占政府采购支出总额的100.00%，其中：授予小微企业合同金额624.57万元，占政府采购支出总额的100.00%。</w:t>
      </w:r>
    </w:p>
    <w:p w14:paraId="29C8F032">
      <w:pPr>
        <w:spacing w:line="640" w:lineRule="exact"/>
        <w:ind w:firstLine="640"/>
        <w:jc w:val="both"/>
        <w:outlineLvl w:val="3"/>
      </w:pPr>
      <w:r>
        <w:rPr>
          <w:rFonts w:ascii="楷体_GB2312" w:hAnsi="楷体_GB2312" w:eastAsia="楷体_GB2312"/>
          <w:b/>
          <w:sz w:val="32"/>
        </w:rPr>
        <w:t>（三）国有资产占用情况说明</w:t>
      </w:r>
    </w:p>
    <w:p w14:paraId="0C50FDF5">
      <w:pPr>
        <w:spacing w:line="580" w:lineRule="exact"/>
        <w:ind w:firstLine="640"/>
        <w:jc w:val="both"/>
      </w:pPr>
      <w:r>
        <w:rPr>
          <w:rFonts w:ascii="仿宋_GB2312" w:hAnsi="仿宋_GB2312" w:eastAsia="仿宋_GB2312"/>
          <w:b w:val="0"/>
          <w:sz w:val="32"/>
        </w:rPr>
        <w:t>截至2024年12月31日，房屋38,035.99平方米，价值6,820.55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B6E137A">
      <w:pPr>
        <w:spacing w:line="640" w:lineRule="exact"/>
        <w:ind w:firstLine="640"/>
        <w:jc w:val="both"/>
        <w:outlineLvl w:val="2"/>
      </w:pPr>
      <w:r>
        <w:rPr>
          <w:rFonts w:ascii="黑体" w:hAnsi="黑体" w:eastAsia="黑体"/>
          <w:sz w:val="32"/>
        </w:rPr>
        <w:t>十一、预算绩效的情况说明</w:t>
      </w:r>
    </w:p>
    <w:p w14:paraId="5E479BE8">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4B22DE39">
      <w:r>
        <w:br w:type="page"/>
      </w:r>
    </w:p>
    <w:p w14:paraId="71B8CC3E">
      <w:pPr>
        <w:spacing w:line="640" w:lineRule="exact"/>
        <w:ind w:firstLine="640"/>
        <w:jc w:val="both"/>
        <w:outlineLvl w:val="2"/>
      </w:pPr>
      <w:r>
        <w:rPr>
          <w:rFonts w:ascii="黑体" w:hAnsi="黑体" w:eastAsia="黑体"/>
          <w:sz w:val="32"/>
        </w:rPr>
        <w:t>十二、其他需说明的事项</w:t>
      </w:r>
    </w:p>
    <w:p w14:paraId="1CDF304E">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4DF682EF">
      <w:r>
        <w:br w:type="page"/>
      </w:r>
    </w:p>
    <w:p w14:paraId="79089C2D">
      <w:pPr>
        <w:spacing w:line="240" w:lineRule="auto"/>
        <w:jc w:val="center"/>
        <w:outlineLvl w:val="1"/>
      </w:pPr>
      <w:r>
        <w:rPr>
          <w:rFonts w:ascii="黑体" w:hAnsi="黑体" w:eastAsia="黑体"/>
          <w:sz w:val="32"/>
        </w:rPr>
        <w:t>第三部分 专业名词解释</w:t>
      </w:r>
    </w:p>
    <w:p w14:paraId="5A86B59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CE9212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C3FC92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1C20AC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6DA00C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CD4057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1AF32B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A10EE6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93E340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25E680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DD52FB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B4418A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B4FA33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17FEE2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34503B4">
      <w:r>
        <w:br w:type="page"/>
      </w:r>
    </w:p>
    <w:p w14:paraId="583A8D94">
      <w:pPr>
        <w:spacing w:line="240" w:lineRule="auto"/>
        <w:jc w:val="center"/>
        <w:outlineLvl w:val="1"/>
      </w:pPr>
      <w:r>
        <w:rPr>
          <w:rFonts w:ascii="黑体" w:hAnsi="黑体" w:eastAsia="黑体"/>
          <w:sz w:val="32"/>
        </w:rPr>
        <w:t>第四部分 部门决算报表（见附表）</w:t>
      </w:r>
    </w:p>
    <w:p w14:paraId="595CE7EF">
      <w:pPr>
        <w:spacing w:line="240" w:lineRule="auto"/>
        <w:ind w:firstLine="640"/>
        <w:jc w:val="both"/>
      </w:pPr>
      <w:r>
        <w:rPr>
          <w:rFonts w:ascii="仿宋_GB2312" w:hAnsi="仿宋_GB2312" w:eastAsia="仿宋_GB2312"/>
          <w:b w:val="0"/>
          <w:sz w:val="32"/>
        </w:rPr>
        <w:t>一、《收入支出决算总表》</w:t>
      </w:r>
    </w:p>
    <w:p w14:paraId="5CF360B2">
      <w:pPr>
        <w:spacing w:line="240" w:lineRule="auto"/>
        <w:ind w:firstLine="640"/>
        <w:jc w:val="both"/>
      </w:pPr>
      <w:r>
        <w:rPr>
          <w:rFonts w:ascii="仿宋_GB2312" w:hAnsi="仿宋_GB2312" w:eastAsia="仿宋_GB2312"/>
          <w:b w:val="0"/>
          <w:sz w:val="32"/>
        </w:rPr>
        <w:t>二、《收入决算表》</w:t>
      </w:r>
    </w:p>
    <w:p w14:paraId="2C246144">
      <w:pPr>
        <w:spacing w:line="240" w:lineRule="auto"/>
        <w:ind w:firstLine="640"/>
        <w:jc w:val="both"/>
      </w:pPr>
      <w:r>
        <w:rPr>
          <w:rFonts w:ascii="仿宋_GB2312" w:hAnsi="仿宋_GB2312" w:eastAsia="仿宋_GB2312"/>
          <w:b w:val="0"/>
          <w:sz w:val="32"/>
        </w:rPr>
        <w:t>三、《支出决算表》</w:t>
      </w:r>
    </w:p>
    <w:p w14:paraId="299061E0">
      <w:pPr>
        <w:spacing w:line="240" w:lineRule="auto"/>
        <w:ind w:firstLine="640"/>
        <w:jc w:val="both"/>
      </w:pPr>
      <w:r>
        <w:rPr>
          <w:rFonts w:ascii="仿宋_GB2312" w:hAnsi="仿宋_GB2312" w:eastAsia="仿宋_GB2312"/>
          <w:b w:val="0"/>
          <w:sz w:val="32"/>
        </w:rPr>
        <w:t>四、《财政拨款收入支出决算总表》</w:t>
      </w:r>
    </w:p>
    <w:p w14:paraId="780887B6">
      <w:pPr>
        <w:spacing w:line="240" w:lineRule="auto"/>
        <w:ind w:firstLine="640"/>
        <w:jc w:val="both"/>
      </w:pPr>
      <w:r>
        <w:rPr>
          <w:rFonts w:ascii="仿宋_GB2312" w:hAnsi="仿宋_GB2312" w:eastAsia="仿宋_GB2312"/>
          <w:b w:val="0"/>
          <w:sz w:val="32"/>
        </w:rPr>
        <w:t>五、《一般公共预算财政拨款支出决算表》</w:t>
      </w:r>
    </w:p>
    <w:p w14:paraId="7D4E0578">
      <w:pPr>
        <w:spacing w:line="240" w:lineRule="auto"/>
        <w:ind w:firstLine="640"/>
        <w:jc w:val="both"/>
      </w:pPr>
      <w:r>
        <w:rPr>
          <w:rFonts w:ascii="仿宋_GB2312" w:hAnsi="仿宋_GB2312" w:eastAsia="仿宋_GB2312"/>
          <w:b w:val="0"/>
          <w:sz w:val="32"/>
        </w:rPr>
        <w:t>六、《一般公共预算财政拨款基本支出决算表》</w:t>
      </w:r>
    </w:p>
    <w:p w14:paraId="43B33636">
      <w:pPr>
        <w:spacing w:line="240" w:lineRule="auto"/>
        <w:ind w:firstLine="640"/>
        <w:jc w:val="both"/>
      </w:pPr>
      <w:r>
        <w:rPr>
          <w:rFonts w:ascii="仿宋_GB2312" w:hAnsi="仿宋_GB2312" w:eastAsia="仿宋_GB2312"/>
          <w:b w:val="0"/>
          <w:sz w:val="32"/>
        </w:rPr>
        <w:t>七、《政府性基金预算财政拨款收入支出决算表》</w:t>
      </w:r>
    </w:p>
    <w:p w14:paraId="370CCC8A">
      <w:pPr>
        <w:spacing w:line="240" w:lineRule="auto"/>
        <w:ind w:firstLine="640"/>
        <w:jc w:val="both"/>
      </w:pPr>
      <w:r>
        <w:rPr>
          <w:rFonts w:ascii="仿宋_GB2312" w:hAnsi="仿宋_GB2312" w:eastAsia="仿宋_GB2312"/>
          <w:b w:val="0"/>
          <w:sz w:val="32"/>
        </w:rPr>
        <w:t>八、《国有资本经营预算财政拨款收入支出决算表》</w:t>
      </w:r>
    </w:p>
    <w:p w14:paraId="123BB4BF">
      <w:pPr>
        <w:spacing w:line="240" w:lineRule="auto"/>
        <w:ind w:firstLine="640"/>
        <w:jc w:val="both"/>
      </w:pPr>
      <w:r>
        <w:rPr>
          <w:rFonts w:ascii="仿宋_GB2312" w:hAnsi="仿宋_GB2312" w:eastAsia="仿宋_GB2312"/>
          <w:b w:val="0"/>
          <w:sz w:val="32"/>
        </w:rPr>
        <w:t>九、《财政拨款“三公”经费支出决算表》</w:t>
      </w:r>
    </w:p>
    <w:p w14:paraId="6345FD98">
      <w:pPr>
        <w:spacing w:line="240" w:lineRule="auto"/>
        <w:ind w:firstLine="640"/>
        <w:jc w:val="both"/>
      </w:pPr>
    </w:p>
    <w:p w14:paraId="09C5A4A8">
      <w:pPr>
        <w:spacing w:line="240" w:lineRule="auto"/>
        <w:ind w:firstLine="640"/>
        <w:jc w:val="both"/>
      </w:pPr>
    </w:p>
    <w:p w14:paraId="3C510C4F">
      <w:pPr>
        <w:spacing w:line="240" w:lineRule="auto"/>
        <w:ind w:firstLine="640"/>
        <w:jc w:val="both"/>
      </w:pPr>
    </w:p>
    <w:p w14:paraId="10180222">
      <w:pPr>
        <w:spacing w:line="240" w:lineRule="auto"/>
        <w:ind w:firstLine="640"/>
        <w:jc w:val="both"/>
      </w:pPr>
    </w:p>
    <w:p w14:paraId="7AC2F55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CFB6A5D-D9FE-450F-9F26-19EA89A0A0A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29A728D-F979-48B9-9320-9078386727AA}"/>
  </w:font>
  <w:font w:name="仿宋_GB2312">
    <w:panose1 w:val="02010609030101010101"/>
    <w:charset w:val="86"/>
    <w:family w:val="modern"/>
    <w:pitch w:val="default"/>
    <w:sig w:usb0="00000001" w:usb1="080E0000" w:usb2="00000000" w:usb3="00000000" w:csb0="00040000" w:csb1="00000000"/>
    <w:embedRegular r:id="rId3" w:fontKey="{64AB4238-8313-406E-97F4-D3CE1DB4FA89}"/>
  </w:font>
  <w:font w:name="楷体_GB2312">
    <w:panose1 w:val="02010609030101010101"/>
    <w:charset w:val="86"/>
    <w:family w:val="auto"/>
    <w:pitch w:val="default"/>
    <w:sig w:usb0="00000001" w:usb1="080E0000" w:usb2="00000000" w:usb3="00000000" w:csb0="00040000" w:csb1="00000000"/>
    <w:embedRegular r:id="rId4" w:fontKey="{C7CFDCCB-A419-4B05-BFEF-25D58239969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602D9C"/>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2E1814"/>
    <w:rsid w:val="464B7E04"/>
    <w:rsid w:val="464F7E64"/>
    <w:rsid w:val="46901EEE"/>
    <w:rsid w:val="469C74D2"/>
    <w:rsid w:val="47445515"/>
    <w:rsid w:val="4B4C0111"/>
    <w:rsid w:val="4BB23021"/>
    <w:rsid w:val="4F3F074E"/>
    <w:rsid w:val="50DB5F45"/>
    <w:rsid w:val="52F92565"/>
    <w:rsid w:val="543D17CB"/>
    <w:rsid w:val="55DA564E"/>
    <w:rsid w:val="56E07045"/>
    <w:rsid w:val="583059FA"/>
    <w:rsid w:val="58560415"/>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2187</Words>
  <Characters>2519</Characters>
  <Lines>0</Lines>
  <Paragraphs>0</Paragraphs>
  <TotalTime>3</TotalTime>
  <ScaleCrop>false</ScaleCrop>
  <LinksUpToDate>false</LinksUpToDate>
  <CharactersWithSpaces>2527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2025-09-12T10:07:25Z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