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both"/>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方正小标宋_GBK" w:eastAsia="方正小标宋_GBK" w:hAnsi="华文中宋" w:cs="宋体"/>
          <w:b/>
          <w:kern w:val="0"/>
          <w:sz w:val="44"/>
          <w:szCs w:val="44"/>
        </w:rPr>
      </w:pPr>
      <w:r>
        <w:rPr>
          <w:rFonts w:ascii="方正小标宋_GBK" w:eastAsia="方正小标宋_GBK" w:hAnsi="华文中宋" w:cs="宋体" w:hint="eastAsia"/>
          <w:b/>
          <w:kern w:val="0"/>
          <w:sz w:val="44"/>
          <w:szCs w:val="44"/>
        </w:rPr>
        <w:t xml:space="preserve"> 部门单位项目支出绩效评价报告</w:t>
      </w:r>
    </w:p>
    <w:p>
      <w:pPr>
        <w:spacing w:line="570" w:lineRule="exact"/>
        <w:jc w:val="center"/>
        <w:rPr>
          <w:rFonts w:ascii="华文中宋" w:eastAsia="华文中宋" w:hAnsi="华文中宋" w:cs="宋体"/>
          <w:b/>
          <w:kern w:val="0"/>
          <w:sz w:val="52"/>
          <w:szCs w:val="52"/>
        </w:rPr>
      </w:pPr>
    </w:p>
    <w:p>
      <w:pPr>
        <w:spacing w:line="57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仿宋_GB2312" w:eastAsia="仿宋_GB2312" w:hAnsi="楷体" w:hint="eastAsia"/>
          <w:spacing w:val="-4"/>
          <w:sz w:val="32"/>
          <w:szCs w:val="32"/>
        </w:rPr>
        <w:t xml:space="preserve">2024</w:t>
      </w:r>
      <w:r>
        <w:rPr>
          <w:rFonts w:ascii="方正仿宋_GBK" w:eastAsia="方正仿宋_GBK" w:hAnsi="宋体" w:cs="宋体" w:hint="eastAsia"/>
          <w:kern w:val="0"/>
          <w:sz w:val="36"/>
          <w:szCs w:val="36"/>
        </w:rPr>
        <w:t xml:space="preserve"> </w:t>
      </w:r>
      <w:r>
        <w:rPr>
          <w:rFonts w:eastAsia="仿宋_GB2312" w:hAnsi="宋体" w:cs="宋体" w:hint="eastAsia"/>
          <w:kern w:val="0"/>
          <w:sz w:val="36"/>
          <w:szCs w:val="36"/>
        </w:rPr>
        <w:t xml:space="preserve"> 年度）</w:t>
      </w: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70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项目名称：</w:t>
      </w:r>
      <w:r>
        <w:rPr>
          <w:rStyle w:val="Strong"/>
          <w:rFonts w:ascii="仿宋" w:eastAsia="仿宋" w:hAnsi="仿宋" w:cs="仿宋" w:hint="eastAsia"/>
          <w:b w:val="0"/>
          <w:bCs w:val="0"/>
          <w:spacing w:val="-4"/>
          <w:sz w:val="32"/>
          <w:szCs w:val="32"/>
        </w:rPr>
        <w:t xml:space="preserve">岳普湖县铸牢中华民族共同体意识交往交流交融(泰岳阳光·爱心结对活动)项目</w:t>
      </w:r>
    </w:p>
    <w:p>
      <w:pPr>
        <w:spacing w:line="57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实施单位（公章）：</w:t>
      </w:r>
      <w:r>
        <w:rPr>
          <w:rStyle w:val="Strong"/>
          <w:rFonts w:ascii="仿宋" w:eastAsia="仿宋" w:hAnsi="仿宋" w:cs="仿宋" w:hint="eastAsia"/>
          <w:b w:val="0"/>
          <w:bCs w:val="0"/>
          <w:spacing w:val="-4"/>
          <w:sz w:val="32"/>
          <w:szCs w:val="32"/>
        </w:rPr>
        <w:t xml:space="preserve">岳普湖县儿童福利院</w:t>
      </w:r>
    </w:p>
    <w:p>
      <w:pPr>
        <w:spacing w:line="540" w:lineRule="exact"/>
        <w:ind w:firstLine="360" w:firstLineChars="100"/>
        <w:rPr>
          <w:rFonts w:ascii="仿宋" w:eastAsia="仿宋" w:hAnsi="仿宋" w:cs="仿宋" w:hint="eastAsia"/>
          <w:spacing w:val="-4"/>
          <w:sz w:val="32"/>
          <w:szCs w:val="32"/>
        </w:rPr>
      </w:pPr>
      <w:r>
        <w:rPr>
          <w:rFonts w:ascii="仿宋" w:eastAsia="仿宋" w:hAnsi="仿宋" w:cs="仿宋" w:hint="eastAsia"/>
          <w:kern w:val="0"/>
          <w:sz w:val="36"/>
          <w:szCs w:val="36"/>
        </w:rPr>
        <w:t xml:space="preserve">主管部门（公章）：</w:t>
      </w:r>
      <w:r>
        <w:rPr>
          <w:rStyle w:val="Strong"/>
          <w:rFonts w:ascii="仿宋" w:eastAsia="仿宋" w:hAnsi="仿宋" w:cs="仿宋" w:hint="eastAsia"/>
          <w:b w:val="0"/>
          <w:bCs w:val="0"/>
          <w:spacing w:val="-4"/>
          <w:sz w:val="32"/>
          <w:szCs w:val="32"/>
        </w:rPr>
        <w:t xml:space="preserve">岳普湖县儿童福利院</w:t>
      </w:r>
    </w:p>
    <w:p>
      <w:pPr>
        <w:spacing w:line="570" w:lineRule="exact"/>
        <w:ind w:firstLine="360" w:firstLineChars="100"/>
        <w:rPr>
          <w:rFonts w:ascii="仿宋" w:eastAsia="仿宋" w:hAnsi="仿宋" w:cs="仿宋"/>
          <w:spacing w:val="-4"/>
          <w:sz w:val="32"/>
          <w:szCs w:val="32"/>
        </w:rPr>
      </w:pPr>
      <w:r>
        <w:rPr>
          <w:rFonts w:ascii="仿宋" w:eastAsia="仿宋" w:hAnsi="仿宋" w:cs="仿宋" w:hint="eastAsia"/>
          <w:kern w:val="0"/>
          <w:sz w:val="36"/>
          <w:szCs w:val="36"/>
        </w:rPr>
        <w:t xml:space="preserve">项目负责人（签章）：</w:t>
      </w:r>
      <w:r>
        <w:rPr>
          <w:rStyle w:val="Strong"/>
          <w:rFonts w:ascii="仿宋" w:eastAsia="仿宋" w:hAnsi="仿宋" w:cs="仿宋" w:hint="eastAsia"/>
          <w:b w:val="0"/>
          <w:bCs w:val="0"/>
          <w:spacing w:val="-4"/>
          <w:sz w:val="32"/>
          <w:szCs w:val="32"/>
        </w:rPr>
        <w:t xml:space="preserve">赵燕琴</w:t>
      </w:r>
    </w:p>
    <w:p>
      <w:pPr>
        <w:spacing w:line="540" w:lineRule="exact"/>
        <w:ind w:firstLine="360" w:firstLineChars="100"/>
        <w:rPr>
          <w:rStyle w:val="Strong"/>
          <w:rFonts w:ascii="仿宋" w:eastAsia="仿宋" w:hAnsi="仿宋" w:cs="仿宋" w:hint="eastAsia"/>
          <w:b w:val="0"/>
          <w:bCs w:val="0"/>
          <w:spacing w:val="-4"/>
          <w:sz w:val="32"/>
          <w:szCs w:val="32"/>
        </w:rPr>
      </w:pPr>
      <w:r>
        <w:rPr>
          <w:rFonts w:ascii="仿宋" w:eastAsia="仿宋" w:hAnsi="仿宋" w:cs="仿宋" w:hint="eastAsia"/>
          <w:kern w:val="0"/>
          <w:sz w:val="36"/>
          <w:szCs w:val="36"/>
        </w:rPr>
        <w:t xml:space="preserve">填报时间：</w:t>
      </w:r>
      <w:r>
        <w:rPr>
          <w:rStyle w:val="Strong"/>
          <w:rFonts w:ascii="仿宋" w:eastAsia="仿宋" w:hAnsi="仿宋" w:cs="仿宋" w:hint="eastAsia"/>
          <w:b w:val="0"/>
          <w:bCs w:val="0"/>
          <w:spacing w:val="-4"/>
          <w:sz w:val="32"/>
          <w:szCs w:val="32"/>
        </w:rPr>
        <w:t xml:space="preserve">2025年03月03日</w:t>
      </w:r>
    </w:p>
    <w:p>
      <w:pPr>
        <w:rPr>
          <w:rStyle w:val="Strong"/>
          <w:rFonts w:ascii="仿宋" w:eastAsia="仿宋" w:hAnsi="仿宋" w:cs="仿宋" w:hint="eastAsia"/>
          <w:b w:val="0"/>
          <w:bCs w:val="0"/>
          <w:spacing w:val="-4"/>
          <w:sz w:val="32"/>
          <w:szCs w:val="32"/>
        </w:rPr>
      </w:pPr>
      <w:r>
        <w:br w:type="page"/>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一、基本情况</w:t>
      </w:r>
    </w:p>
    <w:p>
      <w:pPr>
        <w:spacing w:line="570" w:lineRule="exact"/>
        <w:ind w:firstLine="640" w:firstLineChars="200"/>
        <w:rPr>
          <w:rStyle w:val="Strong"/>
          <w:rFonts w:ascii="方正楷体_GBK" w:eastAsia="方正楷体_GBK" w:hAnsi="方正楷体_GBK" w:cs="方正楷体_GBK"/>
          <w:bCs w:val="0"/>
          <w:spacing w:val="-4"/>
          <w:sz w:val="32"/>
          <w:szCs w:val="32"/>
        </w:rPr>
      </w:pPr>
      <w:r>
        <w:rPr>
          <w:rStyle w:val="Strong"/>
          <w:rFonts w:ascii="楷体" w:eastAsia="楷体" w:hAnsi="楷体" w:cs="楷体" w:hint="eastAsia"/>
          <w:bCs w:val="0"/>
          <w:spacing w:val="-4"/>
          <w:sz w:val="32"/>
          <w:szCs w:val="32"/>
        </w:rPr>
        <w:t xml:space="preserve">（一）项目概况。包括项目背景、主要内容及实施情况、资金投入和使用情况等。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1.项目背景</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遵循财政部《项目支出绩效评价管理办法》（财预〔2020〕10号）、自治区财政厅《自治区财政支出绩效评价管理暂行办法》（新财预〔2018〕189号）、喀什地区财政局《关于进一步加强和规范喀什地区项目支出“全过程”预算绩效管理结果应用的通知》（喀地财绩〔2022〕2号）等相关政策文件与规定，旨在评价本项目实施的过程及效果，评价财政预算资金使用的效率及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文化润疆”作为新时代党的治疆方略的关键构成部分，意义重大且深远。文化是民族的灵魂，通过文化的交流与融合，能够强化民族凝聚力，增进各民族间的相互理解与团结。正如党的二十届三中全会所提出，“必须增强文化自信，发展社会主义先进文化，弘扬革命文化，传承中华优秀传统文化”，中央着重强调以文化为纽带，将中华优秀传统文化、革命文化、社会主义先进文化深深根植于新疆大地，丰富各族群众的精神世界，铸牢中华民族共同体意识。在此宏观背景下，“青少年筑基工程”应运而生，青少年作为国家的未来与民族的希望，对其进行正确价值观引导与文化熏陶，是实现新疆长治久安和可持续发展的重要根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新疆维吾尔自治区积极响应中央号召，全力推进各项政策的细化落实。自治区深刻认识到文化交流在促进地区发展和民族团结中的重要作用，不断探索创新文化交流形式，鼓励各地开展丰富多彩的文化活动，加强与内地省市的文化互动。自治区党委十届十二次全会强调，“要健全铸牢中华民族共同体意识制度机制，扎实开展宣传教育、研究阐释工作，深入推进文化润疆，促进各民族交往交流交融”，通过多种途径提升新疆青少年的综合素质，为新疆的未来培育优秀人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泰岳阳光·安心结对”文化交流交融对于岳普湖县儿童福利院的孩子们来说，这次难得的机会将让他们走出熟悉的环境，亲身感受内地的蓬勃发展成果与多元文化魅力，极大地拓宽视野、增长见识，为他们的成长注入新的活力。同时，福利院的工作人员也能借助此次交流，与泰安的教育工作者深入交流合作，学习先进的教育理念与管理经验，进而提升我县福利院的教育教学与管理水平。这不仅为“文化润疆”治疆方略及“青少年筑基工程”的有效推进提供有力支撑，更是为福利院儿童创造更优质成长环境、助力岳普湖县教育文化事业发展、推动新疆地区稳定繁荣与民族团结贡献我们的力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2.主要内容及实施情况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（1）主要内容</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为泰安援疆指挥部及岳普湖县希望学校的28名人员提供“泰岳阳光·安心结对”文化交流交融经费保障。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该经费主要用于支持岳普湖县儿童福利院的孩子们与泰安援疆指挥部及岳普湖县儿童福利院的师生开展文化交流活动。具体包括交通往返费用、住宿和餐饮费用、活动组织费用用等。通过这些经费的支持，确保交流活动顺利开展，使每位参与者都能在活动中获得宝贵的经验和收获，进一步增进两地人民之间的友谊和理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（2）实施情况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实施前由项目负责人赵燕琴进行牵头，首先进行项目的前期调研。评估项目实施的相关性、预期绩效的可实现性、实施方案的有效性、财政资金投入可行性风险。其次在项目实施过程中结合本县的实际要求，严格按照相关文件的规定开展，在项目实施过程中不定期进行监督检查，发现问题及时整改。最后项目结束时实施单位及时进行成果验收，做好项目的后期管护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3.项目实施主体</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项目实施主体:岳普湖县儿童福利院。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项目实施时间：2024年3月-6月。</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实施主体基本情况：该项目实施主体单位为岳普湖县儿童福利院，岳普湖县儿童福利院是全额事业管理,隶属岳普湖县人民政府管理。是集中收养孤残儿童的场所,是地方政府对孤残儿童履行监护义务、承担养育责任,提供收养服务,弘扬救助精神的载体。岳普湖县儿童福利院无下属预算单位，下设4个处室，分别是：院长办公室，财务办公室，电子政务办公室，办公室。</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单位主要职能是：（1）贯彻执行国家、自治区、地区关于儿童福利工作的法律法规和政策规定，拟订本院儿童福利工作计划并组织实施。（2）承担民政部门监护的孤儿、弃婴、残疾儿童等困境儿童的收养、养护、教育、医疗、康复及安置工作，保障其合法权益。（3）负责儿童福利机构标准化建设，建立健全儿童养育、教育、医疗、康复等服务标准和工作规范。（4）开展儿童心理健康评估与干预，建立儿童成长档案，实施个性化帮扶计划。（5）协调推进儿童福利领域的对外交流合作，开展与内地福利机构的结对帮扶、文化交流等活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实施主体编制情况：岳普湖县儿童福利院编制内实有财政拨款开支人员9人。其中：事业管理人员和专业技术人员9人。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4.资金投入情况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（1）项目资金安排落实情况分析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根据《关于岳普湖县铸牢中华民族共同体意识交往交流交融(泰岳阳光·爱心结对活动)项目实施方案的批复》（岳发改〔2024〕75号）等文件，年初预算数47.00万元，全年预算数为47.00万元，其中：财政资金0.00万元，其他资金47.00万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（2）项目资金总投入情况分析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截止2024年12月31日，实际到位项目资金47.00万元，预算资金到位率为100%。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5.资金使用情况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截止2024年12月31日，本项目实际支付资金46.89万元，预算执行率99.8%。项目资金主要用于儿童、随行老师等工作人员赴山东泰安市交通费、外出研学等费用。</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（二）项目绩效目标。包括总体目标和阶段性目标。</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1.项目总体目标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为泰安援疆指挥部及岳普湖县希望学校的28名人员提供“泰岳阳光·安心结对”文化交流交融经费保障，资金主要用于儿童、随行老师等工作人员赴山东泰安市交通费、外出研学等费用。通过项目的实施贯彻落实“文化润疆”的治疆方略，扎实有效开展“青少年筑基工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2.项目阶段性目标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前期准备：通过制定项目实施方案，经项目负责人审核通过后，有序开展后续工作。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组织实施：资金一到位，立即根据项目要求实施项目。项目责任人按照项目实施方案要求逐一进行项目部署安排，提高项目质量及效率性。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项目投入：本项目预算安排总额为47.00万元，为援疆资金。</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项目产出：为泰安援疆指挥部及岳普湖县希望学校的28名人员提供“泰岳阳光·安心结对”文化交流交融经费保障，资金主要用于儿童、随行老师等工作人员赴山东泰安市交通费、外出研学等费用。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项目效果：通过项目的实施贯彻落实“文化润疆”的治疆方略，扎实有效开展“青少年筑基工程”。</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二、绩效评价工作开展情况</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（一）绩效评价目的、对象</w:t>
      </w:r>
      <w:r>
        <w:rPr>
          <w:rStyle w:val="Strong"/>
          <w:rFonts w:ascii="楷体" w:eastAsia="楷体" w:hAnsi="楷体" w:cs="楷体" w:hint="eastAsia"/>
          <w:bCs w:val="0"/>
          <w:spacing w:val="-4"/>
          <w:sz w:val="32"/>
          <w:szCs w:val="32"/>
          <w:lang w:eastAsia="zh-CN"/>
        </w:rPr>
        <w:t xml:space="preserve">、时间和</w:t>
      </w:r>
      <w:r>
        <w:rPr>
          <w:rStyle w:val="Strong"/>
          <w:rFonts w:ascii="楷体" w:eastAsia="楷体" w:hAnsi="楷体" w:cs="楷体" w:hint="eastAsia"/>
          <w:bCs w:val="0"/>
          <w:spacing w:val="-4"/>
          <w:sz w:val="32"/>
          <w:szCs w:val="32"/>
        </w:rPr>
        <w:t xml:space="preserve">范围。</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1.绩效评价完整性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完整性主要体现在绩效评价过程的全面性和系统性。涵盖了对项目全过程的完整生命周期的评价，确保评价行为持续性，有利于不同阶段的项目评价信息相互支撑和验证。保证评价结论的科学性和权威性。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项目绩效评价过程中，应全面考虑项目的各个方面，包括项目的目标设定、实施过程、资源利用、风险控制、产出效果等。此外，完整性要求评价充分考虑项目效益的发挥贡献。</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为了实现项目绩效评价的完整性，建立一套科学、合理、系统的评价指标体系。评价体系能够全面反映项目的特点和要求，确保评价的准确性和有效性。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2.绩效评价目的</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自治区财政厅《自治区财政支出绩效评价管理暂行办法》（新财预〔2018〕189号）、喀什地区财政局《关于进一步加强和规范喀什地区项目支出“全过程”预算绩效管理结果应用的通知》（喀地财绩〔2022〕2号）等相关政策文件的规定，对“岳普湖县铸牢中华民族共同体意识交往交流交融(泰岳阳光·爱心结对活动)项目”开展本次部门项目支出绩效评价工作旨在评价财政项目的实施前期、过程及效果，评价财政预算资金使用的效率及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的目的是发现预算资金在项目立项、执行管理中制度保障、实际操作方面的缺陷和薄弱环节，同时总结提炼项目和部门的经验做法，为预算部门改进、完善项目管理和预算管理提供可行性参考建议。也为下一年预算编制与项目评审提供充分有效的依据，以达到改进预算管理、优化资源配置、提高预算资金使用效益的目的。具体绩效评价的目的如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是通过部门项目支出绩效评价，进一步严格落实《中华人民共和国预算法》（2018年修正）以及党中央、国务院关于加强预算绩效管理的指示精神，建立健全“花钱必问效、无效必问责”的绩效预算管理机制、提升财政资金的使用效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二是通过部门项目支出绩效评价，进一步做实绩效目标，根据项目绩效目标设立情况，细化形成多维度绩效指标，保证项目绩效指标设置科学、规范、合理、可衡量。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四是通过部门项目支出绩效评价，从绩效的角度发现本项目在决策、实施和管理过程中存在的问题，寻求解决方案，为进一步深化项目管理工作提供依据，以促进项目进一步的推进和后期项目维护，为评价工作提供更深一步的技术支持。</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3.绩效评价对象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自治区财政厅《自治区财政支出绩效评价管理暂行办法》（新财预〔2018〕189号）、喀什地区财政局《关于进一步加强和规范喀什地区项目支出“全过程”预算绩效管理结果应用的通知》（喀地财绩〔2022〕2号）等相关政策文件的规定，以“岳普湖县铸牢中华民族共同体意识交往交流交融(泰岳阳光·爱心结对活动)项目”支出为对象所对应的预算资金，以本项目实施所带来的产出和效果为主要内容，以促进预算单位完成特定工作任务目标所组织开展的绩效评价。</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4.绩效评价时间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本次绩效评价工作开展时间为2025年1月16日至2025年2月28日。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5.绩效评价范围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本次评价范围涵盖项目总体绩效目标、各项绩效指标完成情况以及预算执行情况。对项目预算资金支出的所有内容进行评价。包括项目决策、项目实施和项目成果验收流程等。</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（二）绩效评价原则、评价指标体系（附表说明）、评价方法、评价标准等。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1.绩效评价原则</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本次绩效评价遵循的原则包括：</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（1）科学公正。绩效评价应当运用科学合理的方法，按照规范的程序，对项目绩效进行客观、公正的反映。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（4）公开透明。绩效评价结果应依法依规公开，并自觉接受社会监督。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2.绩效评价指标体系</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绩效评价指标体系根据《预算绩效评价共性指标体系框架》（财预〔2013〕53号）、《自治区党委 自治区人民政府关于全面实施预算绩效管理的实施意见》（新党发〔2018〕30号）、《关于印发&lt;项目支出绩效评价管理办法&gt;的通知》（财预﹝2020﹞10号）等文件精神，结合专项特点，在与专家组、绩效评价组充分协商的基础上，绩效评价组细化了该项目的绩效评价指标体系。详见附件1综合评分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一级指标为：决策、过程、产出、效益。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二级指标为：项目立项、绩效目标、资金投入、资金管理、组织实施、产出数量、产出质量、产出时效、产出成本、项目效益。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级指标为：立项依据充分性、立项程序规范性、绩效目标合理性、绩效指标明确性、预算编制科学性、资金分配合理性、资金到位率、预算执行率、资金使用合规性、管理制度健全性、制度执行有效性、项目实施管理规范性、资金保障人员数量、资金保障率、资金使用合规率、资金支付完成时间、资金支付及时性、人员文化交流交融支出平均预算控制数、贯彻落实“文化润疆”的治疆方略、参与文化交流人员满意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3.绩效评价方法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本次评价采用定量与定性评价相结合的比较法、文献法、公众评判法等方法，总分由各项指标得分汇总形成。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（1）项目决策方面：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立项依据充分性：比较法、文献法，查找法律法规政策以及规划，对比实际执行内容和政策支持内容是否匹配。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立项程序规范性：比较法、文献法，查找相关项目设立的政策和文件要求，对比分析实际执行程序是否按照政策及文件要求执行，分析立项程序的规范性。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绩效目标合理性：比较法，对比分析年初编制项目支出绩效目标表与项目内容的相关性、资金的匹配性等。</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绩效指标明确性：比较法，比较分析年初编制项目支出绩效目标表是否符合双七原则，是否可衡量。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预算编制科学性：成本效益分析法，分析在产出一定的情况下，成本取值是否有依据，是否经过询价，是否按照市场最低成本编制。</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资金分配合理性：因素分析法，综合分析资金的分配依据是否充分，分配金额是否与项目实施单位需求金额一致。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（2）项目过程方面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资金到位率：比较法，资金到位率预期指标值应为100%，通过实际计算，分析实际完成值和预期指标值之间的差距和原因。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预算执行率：比较法，预算执行率预期指标值应为100%，通过实际计算，分析实际完成值和预期指标值之间的差距和原因。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资金使用合规性：文献法、实地勘察法，一是查找资金管理办法，包括专项资金管理办法和单位自有资金管理办法；二是通过查账了解具体开支情况，是否专款专用，是否按照标准支出。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管理制度健全性：文献法、比较法，查阅项目实施人员提供的财务和业务管理制度，将已建立的制度与现行的法律法规和政策要求进行对比，分析项目制度的合法性、合规性、完整性。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制度执行有效性：比较法，结合项目实际实施过程性文件，根据已建设的财务管理制度和项目管理制度综合分析制度执行的有效性。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（3）项目产出方面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比较法：将实际完成值与年初指标值相比，完成指标值该指标赋全部分值；对完成值高于指标值较多的，要分析原因，如果是由于年初指标值设定明显偏低造成的，要按照偏离度适度调减分值；未完成指标值的，按照完成值与指标值的比例计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（4）项目效益方面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公众评判法、实地勘察法，通过实地勘察、问卷及抽样调查等方式评价本项目实施后社会公众或服务对象对项目实施效果的满意程度。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比较法：通过整理本项目相关资料和数据，评价数量指标的完成情况；通过分析项目的实施情况与绩效目标实现情况，评价项目实施的效果；通过分析项目资金使用情况及产生的效果，评价预算资金分配的合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公众评判法：评价组采用实地访谈、远程访谈相结合方式，对本项目的实施情况进行充分调研，了解掌握资金分配、资金管理、资金使用、制度建设、制度执行情况。采用问卷调查方式，对受益对象开展满意度调查，进行综合评价。</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4.绩效评价标准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综合评分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计划标准：指以预先制定的目标、计划、预算、定额等作为评价标准。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行业标准：指参照国家公布的行业指标数据制定的评价标准。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历史标准：指参照历史数据制定的评价标准，为体现绩效改进的原则，在可实现的条件下应当确定相对较高的评价标准。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岳普湖县铸牢中华民族共同体意识交往交流交融(泰岳阳光·爱心结对活动)项目”采用的是计划标准，以事先制定的目标、计划、预算、定额等预计数据作为评价财政支出绩效的标准。通过将实际完成值与预定数据进行对比，发现偏差及时通知实施单位进行限期整改并反馈整改情况。</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（三）绩效评价工作过程。</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本次评价设计了评价方案、评价指标体系，通过资料分析、调研、访谈满意度调查等方式形成评价结论，在与项目单位沟通后确定评价意见，并出具评价报告。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1.前期准备阶段（2025年1月16日—1月18日）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根据《项目支出绩效评价管理办法》（财预〔2020〕10号）文件精神，认真学习相关要求与规定，成立绩效评价组。绩效评价组开展项目绩效评价工作，首先开展前期调研；其次明确项目绩效目标，设计绩效评价指标体系并确定绩效评价方法；接着确定现场和非现场评价范围，设计资料清单；最后制定评价实施方案并进行论证。</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作为绩效评价工作具体实施机构，绩效评价组成员构成如下：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赵燕琴任绩效评价组组长，绩效评价工作职责为负责全盘工作，对项目实施情况进行实地调查。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哈尼克孜·毛拉、布海丽且·克热木任绩效评价组成员，绩效评价工作职责对项目实施情况进行实地调查，负责资料审核等工作。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2.组织实施阶段（2025年1月19日—2月10日）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组组长制定绩效评价工作方案，具体包括项目概况、评价思路、方法手段、组织实施、进度安排等。绩效评价组成员收集项目立项依据、相关会议纪要、实施方案、财政资金分配方案、支付管理情况等相关评价资料并进行梳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3.分析评价阶段（2025年2月11日—2月15日）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绩效评价组根据收集梳理的资料围绕项目立项、资金落实、业务管理、财务管理、项目产出、项目效益等内容，对照已确定的绩效评价指标进行详细全面的分析评价，逐项打分并形成绩效评价最终结果。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4.撰写与提交评价报告阶段（2025年2月16日-2月21日）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绩效评价组根据收集项目评价资料撰写绩效评价报告。按照新疆维吾尔自治区财政绩效管理信息系统绩效评价模块中的统一格式及文本框架撰写绩效评价报告并提交审核。</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5.归集档案阶段（2025年2月22日-2月28日）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建立和落实档案管理制度，由绩效评价组将项目相关资料存档，包括但不限于：评价项目基本情况和相关文件、评价实施方案、项目支付资料等相关档案。</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三、综合评价情况及评价结论</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（一）综合评价情况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经绩效评价组通过实地调研、综合分析法、问卷调查法等方式，主要采用综合分析法对项目的决策、实施、产出、效益进行综合评价分析。项目总体组织规范，在项目实施过程做到认真履职，监督到位。按照相关制度的要求，项目负责人对项目绩效监控执行情况进行跟踪监督，有效完成了本项目的工作目标，确保资金使用安全和最大效益的发挥，保障项目如期按要求完成。规范了项目档案资料的整理。项目的实施达到项目预期效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在项目决策方面：立项符合国家法律法规、国民经济发展规划和相关政策，项目立项依据充分。项目按照规定的程序申请，经过必要的研究、论证和评估，立项程序规范。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项目管理方面：本项目预算安排47.00万元，实际支出46.89万元，预算执行率99.8%。项目资金使用合规，项目财务管理制度健全，财务监控到位，所有资金支付均按照支付制度严格执行，现有项目管理制度执行情况良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项目效果方面：“泰岳阳光·安心结对”文化交流交融活动已经按期顺利完成，参加文化交流交融人员达到了28人，已经按期支付了儿童、随行老师等工作人员赴山东泰安市交通费、外出研学等费用。项目预算执行率为99.8%，项目已完成，剩余资金结余。通过项目的实施有效贯彻落实了“文化润疆”的治疆方略，促进了“青少年筑基工程”扎实有效开展。参与文化交流人员满意度达到了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（二）综合评价结论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运用绩效评价组制定的评价指标体系以及财政部《项目支出绩效评价管理办法》（财预〔2020〕10号）、喀什地区财政局《关于进一步加强和规范喀什地区项目支出“全过程”预算绩效管理结果应用的通知》（喀地财绩〔2022〕2号）等文件的评分标准，通过数据采集、问卷调查及访谈等方式，对本项目进行客观评价，总分一般设置为100分，其中项目决策20分、项目过程15分、项目产出35分、项目效益30分。评价结果分为优、良、中、差四个等级：优（90分（含）—100分）；良（80分（含）—90分）；中（70分（含）—80分）；差（70分以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本项目最终评分结果：总得分为99.99分，绩效评级为“优”。</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具体得分情况如下: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1.项目决策指标权重为20分，得分为20分，得分率为100%。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2.项目过程指标权重为15分，得分为14.99分，得分率为99.93%。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3.项目产出指标权重为35分，得分为35分，得分率为100%。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4.项目效益指标权重为20分，得分为20分，得分率为100%。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5.项目满意度指标权重为10分，得分为10分，得分率为100%。具体打分情况详见：附件1综合评分表。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项目绩效评价评分情况表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指  标 A.项目决策 B.项目过程 C.项目产出 D.项目效益 E.项目满意度 合  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权  重    20.00    15.00    35.00    20.00    10.00 100.00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得  分    20.00    14.99    35.00    20.00    10.00 99.99</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得分率   100.00%   99.93%   100.00%   100.00%   100.00% 99.99%</w:t>
      </w:r>
    </w:p>
    <w:p>
      <w:pPr>
        <w:spacing w:line="570" w:lineRule="exact"/>
        <w:ind w:firstLine="640" w:firstLineChars="200"/>
        <w:rPr>
          <w:rStyle w:val="Strong"/>
          <w:rFonts w:ascii="黑体" w:eastAsia="黑体" w:hAnsi="黑体" w:cs="黑体"/>
          <w:b w:val="0"/>
          <w:sz w:val="32"/>
          <w:szCs w:val="32"/>
        </w:rPr>
      </w:pPr>
      <w:r>
        <w:rPr>
          <w:rStyle w:val="Strong"/>
          <w:rFonts w:ascii="黑体" w:eastAsia="黑体" w:hAnsi="黑体" w:cs="黑体" w:hint="eastAsia"/>
          <w:b w:val="0"/>
          <w:spacing w:val="-4"/>
          <w:sz w:val="32"/>
          <w:szCs w:val="32"/>
        </w:rPr>
        <w:t xml:space="preserve">四、绩效评价指标分析 </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（一）项目决策情况。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决策类指标包括项目立项、绩效目标和资金投入三方面的内容，由6个三级指标构成，权重分值为20分，实际得分20分，得分率为100%。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1.项目立项</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项目立项指标从立项依据充分性、立项程序规范性2个方面进行评价，权重分值8分，实际得分8分。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（1）立项依据充分性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该项目立项符合国家相关法律法规及发展政策，符合行业规划要求，根据《关于岳普湖县铸牢中华民族共同体意识交往交流交融(泰岳阳光·爱心结对活动)项目实施方案的批复》（岳发改〔2024〕75号）为立项依据，结合单位的管理职责和履职效能组织实施，围绕单位的本年度工作重点和工作计划制定经费预算，属于公共财政支持范围。本项目与部门内部其他相关项目不重复。部门发展规划及职能文件等归档完整。根据评分标准，该指标不扣分，实际得分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（2）立项程序规范性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根据决算依据编制工作计划和经费预算，经过与部门项目分管领导沟通、筛选确定经费预算计划，确定最终预算方案。项目的审批文件、材料符合相关要求，项目事前经过必要的专家论证、评估及集体决策，保障了程序的规范性。根据评价标准，该指标不扣分，实际得分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2.绩效目标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绩效目标指标从绩效目标合理性、绩效指标明确性2个方面进行评价，权重分值5分，实际得分5分。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（1）绩效目标合理性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定了《岳普湖县铸牢中华民族共同体意识交往交流交融(泰岳阳光·爱心结对活动)项目实施方案》，明确了总体思路及目标。绩效目标表经过审核，绩效目标与实际工作内容具有相关性，预算与确定的项目投资额相匹配，对项目任务进行了详细分解。项目预期产出效益及效果符合正常的业绩水平。根据评价标准，该指标不扣分，实际得分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（2）绩效指标明确性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设置了明确的预期产出效益和效果，将绩效目标细化分解为具体的绩效指标，项目的三级指标设置与项目目标任务数相对应，绩效目标设定的绩效指标清晰、细化、可衡量。根据评价标准，该指标不扣分，实际得分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3.资金投入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资金投入指标从预算编制科学性、资金分配合理性2个方面进行评价，权重分值7分，实际得分7分。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（1）预算编制科学性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为年中追加预算，根据项目需求编制，预算编制与单位职能相匹配，预算编制经过科学论证，提供充分的测算依据佐证资料，编制准确可靠的数据和信息。确保预算内容与项目内容相匹配。项目投资额为47.00万元，主要用于儿童、随行老师等工作人员赴山东泰安市交通费、外出研学等费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项目投资额与工作任务相匹配。预算编制的程序规范、透明，确保预算的公正性和公平性。根据评价标准，该指标不扣分，实际得分5分。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（2）资金分配合理性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项目进行全面的评估和分析，确定各个环节和部门的资金需求，确保资金的使用与项目的进展和目标实现紧密相关。通过合理的资金分配，确保项目的顺利进行，避免资金短缺或浪费，提高项目的整体效益。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分配时，优先满足关键任务的资金需求，确保项目按照计划和时间表进行。资金分配情况：人员文化交流交融支出平均预算控制数为每人16785.71元。资金分配额度与项目单位实际工作内容相适应，资金分配额度合理，资金分配依据充分。根据评价标准，该指标不扣分，实际得分2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（二）项目过程情况。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过程类指标包括资金管理和组织实施两方面的内容，由6个三级指标构成，权重分值为15分，实际得分14.99分，得分率为99.93%。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1.资金管理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资金管理指标从资金到位率、预算执行率、资金使用合规性3个方面进行评价，权重分值8分，实际得分7.99分。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（1）资金到位率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财政资金及时足额到位，牵头单位能够及时足额按照合同约定将专项资金拨付给联合体单位，资金到位率为100%。预算资金按计划进度执行。根据评分标准，该指标不扣分，实际得分3分。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（2）预算执行率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预算编制较为详细，项目资金支出总体能够按照预算执行，预算执行率为99.8%。根据评分标准，该指标扣0.01分，实际得分2.99分。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（3）资金使用合规性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定了相关的制度和管理规定，对项目经费使用进行规范管理，财务制度健全、执行严格，资金的拨付有完整的审批程序和手续，资金使用符合该项目的立项批复。资金不存在截留、挤占、挪用、虚列支出等情况。根据评分标准，该指标不扣分，实际得分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2.组织实施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组织实施指标从管理制度健全性、制度执行有效性、项目实施管理规范性3个方面进行评价，权重分值7分，实际得分7分。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（1）管理制度健全性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定了《岳普湖县儿童福利院项目经费管理办法》等相关管理办法，对财政资金进行严格管理，做到专款专用。项目的执行符合《岳普湖县儿童福利院项目管理办法》等相关法律法规和管理规定。根据评分标准，该指标不扣分，实际得分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（2）制度执行有效性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对资金使用的合法合规性进行监督，年末对资金使用效果进行评价。项目管理、实施人员落实到位，有效按照计划执行。项目执行情况等资料齐全，项目相关手续完备，及时进行归档。根据评分标准，该指标不扣分，实际得分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（3）项目实施管理规范性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①承接主体项目管理制度健全，项目实施符合相关项目管理规定；</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②建立了实施领导机制并建立了完善的实施方案；</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③建立了项目台账，台账记录全面、完整；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④能接受和配合相关部门的监督检查及绩效评价。</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根据评分标准，该指标不扣分，实际得分3分。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（三）项目产出情况。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产出类指标包括产出数量、产出质量、产出时效、产出成本四方面的内容，由6个三级指标构成，权重分为35分，实际得分35分，得分率为100%。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1.产出数量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资金保障人员数量年度指标值为大于等于28人，实际完成值为28人，完成预期目标，根据评分标准，该指标不扣分。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产出数量三级指标共计1个，指标从实际完成情况方面进行评价，权重分值9分，实际得分9分。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2.产出质量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资金保障率年度指标值为等于100%，实际完成值为100%，完成预期目标，根据评分标准，该指标不扣分。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资金使用合规率年度指标值为等于100%，实际完成值为100%，完成预期目标，根据评分标准，该指标不扣分。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产出质量三级指标共计2个，指标从质量达标方面进行评价，权重分值9分，实际得分9分。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3.产出时效</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资金支付完成时间年度指标值为等于2024年6月30日前，实际完成值为2024年6月13日，完成预期目标，根据评分标准，该指标不扣分。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资金支付及时性年度指标值为等于100%，实际完成值为100%，完成预期目标，根据评分标准，该指标不扣分。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产出时效三级指标共计2个，指标从完成及时性方面进行评价，权重分值8分，实际得分8分。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4.产出成本</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人员文化交流交融支出平均预算控制数年度指标值为小于16785.71元/人，实际完成值为16746.42元/人，完成预期目标，根据评分标准，该指标不扣分。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产出成本三级指标共计1个，指标从成本节约情况进行评价，权重分值9分，实际得分9分。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（四）项目效益情况。</w:t>
      </w:r>
    </w:p>
    <w:p>
      <w:pPr>
        <w:spacing w:line="540" w:lineRule="exact"/>
        <w:ind w:firstLine="567"/>
        <w:rPr>
          <w:rStyle w:val="Strong"/>
          <w:rFonts w:ascii="仿宋" w:eastAsia="仿宋" w:hAnsi="仿宋" w:cs="仿宋" w:hint="eastAsia"/>
          <w:b w:val="0"/>
          <w:bCs w:val="0"/>
          <w:spacing w:val="-4"/>
          <w:sz w:val="32"/>
          <w:szCs w:val="32"/>
        </w:rPr>
      </w:pPr>
      <w:r>
        <w:rPr>
          <w:rStyle w:val="Strong"/>
          <w:rFonts w:ascii="仿宋" w:eastAsia="仿宋" w:hAnsi="仿宋" w:cs="仿宋" w:hint="eastAsia"/>
          <w:b w:val="0"/>
          <w:bCs w:val="0"/>
          <w:spacing w:val="-4"/>
          <w:sz w:val="32"/>
          <w:szCs w:val="32"/>
        </w:rPr>
        <w:t xml:space="preserve">效益类指标包括项目效益1个方面的内容，由1个三级指标构成，权重分为20分，实际得分20分，得分率为100%。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（1）实施效益指标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实施效益指标从项目实施所产生的效益方面进行评价，权重分值20分，实际得分20分。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①项目实施的经济效益分析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本项目无此指标。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②项目实施的社会效益分析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贯彻落实“文化润疆”的治疆方略年度指标值为有效贯彻，实际完成值为有效贯彻，完成预期目标，根据评分标准，该指标不扣分。实际得20分。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③项目实施的生态效益分析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本项目无此指标。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④项目实施的可持续影响分析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本项目无此指标。</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w:t>
      </w:r>
      <w:r>
        <w:rPr>
          <w:rFonts w:ascii="楷体" w:eastAsia="楷体" w:hAnsi="楷体" w:cs="楷体" w:hint="eastAsia"/>
          <w:b/>
          <w:spacing w:val="-4"/>
          <w:sz w:val="32"/>
          <w:szCs w:val="32"/>
          <w:lang w:val="en-US" w:eastAsia="zh-CN"/>
        </w:rPr>
        <w:t xml:space="preserve">五</w:t>
      </w:r>
      <w:r>
        <w:rPr>
          <w:rFonts w:ascii="楷体" w:eastAsia="楷体" w:hAnsi="楷体" w:cs="楷体" w:hint="eastAsia"/>
          <w:b/>
          <w:spacing w:val="-4"/>
          <w:sz w:val="32"/>
          <w:szCs w:val="32"/>
        </w:rPr>
        <w:t xml:space="preserve">）满意度指标完成情况分析。</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项目满意度指标包括满意度指标1个方面的内容，由1个三级指标构成，权重分为10分，实际得分10分，得分率为100%。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1.满意度指标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满意度指标完成情况分析从关注社会公众或服务对象对项目实施效果的满意程度方面进行评价，权重分值10分，实际得分10分。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①参与文化交流人员满意度完成情况分析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采用线下纸质调查问卷的方式，旨在客观评价调查对象对本项目实施情况的满意度。每项指标的满意度分为三档，即“满意”、“基本满意”、“不满意”。各档次对应的分值比例为100%、80%、0%，通过加权计算得出各项指标的满意度比例。依据已回收问卷汇总，其中：满意度=∑样本数（“满意”×1.0+“基本满意”×0.8+“不满意”×0）/总样本数×100%。本项目关于满意度调查共设置6个问题，本项目总体满意度的计算公式=∑6个问题的满意度/6。</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评分规则设定为：满意度大于等于98%得10分；不足98%的大于等于80%得8分；不足80%的大于等于60%得5分；不足60%的不得分。该指标得分=满意度*该指标权重分值。</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综合来看，受访对象的满意度分析结果为100%。因此按满意度权重计分：100%*10分=10分，满意度指标实际得分10分。</w:t>
      </w:r>
    </w:p>
    <w:p>
      <w:pPr>
        <w:spacing w:line="570" w:lineRule="exact"/>
        <w:ind w:firstLine="640" w:firstLineChars="200"/>
        <w:rPr>
          <w:rStyle w:val="Strong"/>
          <w:rFonts w:ascii="黑体" w:eastAsia="黑体" w:hAnsi="黑体" w:cs="黑体"/>
          <w:b w:val="0"/>
          <w:spacing w:val="-4"/>
          <w:sz w:val="32"/>
          <w:szCs w:val="32"/>
        </w:rPr>
      </w:pPr>
      <w:bookmarkStart w:id="0" w:name="_GoBack"/>
      <w:bookmarkEnd w:id="0"/>
      <w:r>
        <w:rPr>
          <w:rStyle w:val="Strong"/>
          <w:rFonts w:ascii="黑体" w:eastAsia="黑体" w:hAnsi="黑体" w:cs="黑体" w:hint="eastAsia"/>
          <w:b w:val="0"/>
          <w:spacing w:val="-4"/>
          <w:sz w:val="32"/>
          <w:szCs w:val="32"/>
        </w:rPr>
        <w:t xml:space="preserve">五、预算执行进度与绩效指标偏差</w:t>
      </w:r>
    </w:p>
    <w:p>
      <w:pPr>
        <w:spacing w:line="540" w:lineRule="exact"/>
        <w:ind w:firstLine="567"/>
        <w:rPr>
          <w:rFonts w:ascii="仿宋" w:eastAsia="仿宋" w:hAnsi="仿宋" w:cs="仿宋"/>
          <w:spacing w:val="-4"/>
          <w:sz w:val="32"/>
          <w:szCs w:val="32"/>
        </w:rPr>
      </w:pPr>
      <w:r>
        <w:rPr>
          <w:rStyle w:val="Strong"/>
          <w:rFonts w:ascii="仿宋" w:eastAsia="仿宋" w:hAnsi="仿宋" w:cs="仿宋" w:hint="eastAsia"/>
          <w:b w:val="0"/>
          <w:bCs w:val="0"/>
          <w:spacing w:val="-4"/>
          <w:sz w:val="32"/>
          <w:szCs w:val="32"/>
        </w:rPr>
        <w:t xml:space="preserve">“岳普湖县铸牢中华民族共同体意识交往交流交融(泰岳阳光·爱心结对活动)项目”预算执行率与绩效指标完成率存在偏差，项目预算执行率为99.8%，项目绩效指标总体完成率100.3%，偏差率为0.50%。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1.项目预算执行未达年初预期。</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未完成原因：项目执行效率较高，实际成本低于预算，从而形成结余，造成预算执行实际完成较预期出现负偏差。</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改进措施：建立预算动态调整机制，根据项目进展和实际支出情况及时调整预算分配，提高资金使用效率。完善结余资金管理机制，将结余资金统筹用于项目后续发展或其他急需领域，避免资金沉淀。</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2.满意度指标实际完成值优于预期值，指标实际完成较预期出现正偏差。</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偏差原因：首先，项目初期，对受益对象需求的理解存在偏差，导致预期值设置偏低。其次，项目在实际执行过程中有效地满足了项目预期目标，造成实际完成情况超出受益对象的期望。</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改进措施：对偏差进行深入分析，充分了解受益对象的需求变化，明确造成实际完成值高于预期的具体原因，以便在未来的项目中更好地把握和预测。</w:t>
      </w:r>
    </w:p>
    <w:p>
      <w:pPr>
        <w:spacing w:line="570" w:lineRule="exact"/>
        <w:ind w:firstLine="640" w:firstLineChars="200"/>
        <w:rPr>
          <w:rStyle w:val="Strong"/>
          <w:rFonts w:ascii="黑体" w:eastAsia="黑体" w:hAnsi="黑体" w:cs="黑体" w:hint="eastAsia"/>
          <w:b w:val="0"/>
          <w:spacing w:val="-4"/>
          <w:sz w:val="32"/>
          <w:szCs w:val="32"/>
          <w:lang w:eastAsia="zh-CN"/>
        </w:rPr>
      </w:pPr>
      <w:r>
        <w:rPr>
          <w:rStyle w:val="Strong"/>
          <w:rFonts w:ascii="黑体" w:eastAsia="黑体" w:hAnsi="黑体" w:cs="黑体" w:hint="eastAsia"/>
          <w:b w:val="0"/>
          <w:spacing w:val="-4"/>
          <w:sz w:val="32"/>
          <w:szCs w:val="32"/>
        </w:rPr>
        <w:t xml:space="preserve">六、主要经验及做法、存在的问题及原因分析</w:t>
      </w:r>
      <w:r>
        <w:rPr>
          <w:rStyle w:val="Strong"/>
          <w:rFonts w:ascii="黑体" w:eastAsia="黑体" w:hAnsi="黑体" w:cs="黑体" w:hint="eastAsia"/>
          <w:b w:val="0"/>
          <w:spacing w:val="-4"/>
          <w:sz w:val="32"/>
          <w:szCs w:val="32"/>
          <w:lang w:eastAsia="zh-CN"/>
        </w:rPr>
        <w:t xml:space="preserve">、下一步改进措施</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（一）主要经验及做法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制定个性化研学路线。泰安援疆指挥部与岳普湖县儿童福利院紧密合作，在项目开展前调研学生及教师需求。通过问卷调查、师生座谈会等形式，了解学生的兴趣爱好、知识储备以及教师期望提升的教学技能方向。基于调研结果，制定个性化研学路线。</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2.多元合作拓展资源。积极拓展合作渠道，整合多方资源保障项目实施。与山东泰安的各类教育基地、科研机构、文化场馆建立合作关系，为师生提供丰富的研学场所，丰富项目内涵。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文化融合体验式学习。在研学过程中，注重文化融合体验。组织学生参与山东传统民俗活动，让学生亲身感受山东地域文化魅力。同时，安排学生与泰安当地学生开展文化交流活动，通过互相介绍家乡文化、共同表演节目等形式，增进两地青少年对彼此文化的了解，在互动中促进文化交融，深入贯彻“文化润疆”治疆方略，扎实推进 “青少年筑基工程”。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（二）存在的问题及原因分析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行程安排紧凑，学生体验深度不足。由于项目时间有限，为了让学生尽可能多地参观学习，行程安排较为紧凑。行程规划前期，对各研学场所的参观时间、讲解深度预估不足，未能充分考虑学生的学习节奏和接受能力，导致学生在高强度的行程中感到疲惫，一定程度上影响了学习效果和文化体验的深度，难以充分理解和吸收研学内容。</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后续跟踪反馈机制不完善。项目结束后，对学生和教师在研学交流后的成长变化跟踪不够及时全面。缺乏有效的反馈渠道，难以了解学生在知识增长、视野拓宽、价值观塑造等方面的实际收获，也无法及时掌握教师在教学理念更新、教学方法改进方面的应用情况。这使得项目成果评估不够精准，不利于总结经验教训，对后续项目优化形成阻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（三）下一步改进措施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优化行程设计。在行程规划阶段，邀请教育专家、学生代表参与讨论，充分考虑学生的学习特点和兴趣需求。合理安排各研学场所的停留时间，增加互动体验环节和深度讲解内容。例如，在参观博物馆时，安排专家讲座、小组讨论等活动，让学生深入了解展品背后的历史文化知识。采用分段式研学设计，将整个行程划分为若干主题模块，每个模块之间设置适当的休息时间，让学生有时间消化吸收所学知识，提升研学体验深度，确保学生在轻松愉悦的氛围中实现知识与文化的积累。</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完善跟踪反馈机制。建立项目跟踪反馈信息系统，利用信息化手段对学生和教师进行长期跟踪。定期通过线上问卷、线下回访等方式收集反馈信息，了解学生在学习、生活中的变化以及教师在教学实践中的改进情况。组织开展研学成果汇报会，让学生和教师分享交流收获与体会，对表现优秀的学生和教师给予表彰奖励。根据反馈信息，总结项目实施过程中的经验教训，为后续项目优化提供依据，不断提升项目质量，更好地推动“文化润疆”和“青少年筑基工程”的深入实施。</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七、有关建议</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建议打造文化交流主题系列活动。围绕新疆与山东的特色文化元素，设计一系列主题活动。比如开展“鲁疆文化对比探究”主题周，组织学生和教师深入研究两地在民俗节日、传统艺术、饮食文化等方面的差异与共性。通过实地调研、专家讲座、小组研讨等形式，让参与者不仅停留在表面的文化体验，而是深入理解文化背后的历史脉络与社会根源，增强文化认知深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建议培养学生文化交流小使者。在参与项目的学生中选拔培养文化交流小使者，对他们进行系统的培训，包括文化知识讲解、沟通技巧、团队协作等方面。小使者们回到学校后，通过组织班级文化分享会、社团活动等形式，将在山东的研学收获传递给更多同学，带动全校学生积极参与文化交流活动，形成良好的文化交流氛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建议举办项目成果巡回展览。在新疆喀什地区以及山东泰安等地举办项目成果巡回展览。展览内容包括学生的研学作品、教师的教学反思、两地文化交流的精彩照片和视频等。通过展览，展示项目成果，加强项目与社会各界的互动，进一步扩大项目的影响力，为项目的持续发展创造更有利的社会环境。</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八、其他需要说明的问题</w:t>
      </w:r>
    </w:p>
    <w:p>
      <w:pPr>
        <w:spacing w:line="540" w:lineRule="exact"/>
        <w:ind w:firstLine="567"/>
        <w:rPr>
          <w:rStyle w:val="Strong"/>
          <w:rFonts w:ascii="仿宋" w:eastAsia="仿宋" w:hAnsi="仿宋"/>
          <w:b w:val="0"/>
          <w:spacing w:val="-4"/>
          <w:sz w:val="32"/>
          <w:szCs w:val="32"/>
        </w:rPr>
      </w:pPr>
      <w:r>
        <w:rPr>
          <w:rStyle w:val="Strong"/>
          <w:rFonts w:ascii="仿宋" w:eastAsia="仿宋" w:hAnsi="仿宋" w:cs="仿宋" w:hint="eastAsia"/>
          <w:b w:val="0"/>
          <w:bCs w:val="0"/>
          <w:spacing w:val="-4"/>
          <w:sz w:val="32"/>
          <w:szCs w:val="32"/>
        </w:rPr>
        <w:t xml:space="preserve">我单位对上述项目支出绩效评价报告内反映内容的真实性、完整性负责，接受上级部门及社会公众监督。</w:t>
      </w:r>
    </w:p>
    <w:sectPr>
      <w:footerReference w:type="default" r:id="rId2"/>
      <w:pgSz w:w="11906" w:h="16838" w:orient="portrait"/>
      <w:pgMar w:top="1440" w:right="1558" w:bottom="1440" w:left="1800" w:header="851" w:footer="992" w:gutter="0"/>
      <w:pgBorders/>
      <w:cols w:num="1" w:space="425">
        <w:col w:w="8548"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pPr>
        <w:r>
          <w:fldChar w:fldCharType="begin"/>
        </w:r>
        <w:r>
          <w:instrText xml:space="preserve">PAGE   \* MERGEFORMAT</w:instrText>
        </w:r>
        <w:r>
          <w:fldChar w:fldCharType="separate"/>
        </w:r>
        <w:r>
          <w:rPr>
            <w:lang w:val="zh-CN"/>
          </w:rPr>
          <w:t xml:space="preserve">1</w:t>
        </w:r>
        <w:r>
          <w:fldChar w:fldCharType="end"/>
        </w:r>
      </w:p>
    </w:sdtContent>
  </w:sdt>
  <w:p>
    <w:pPr>
      <w:pStyle w:val="Foo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3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OTc0ZGFmZGVlMTU2YmFlODYzODJmYzUzZGI2NmMwNGE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alloonText">
    <w:name w:val="Balloon Text"/>
    <w:basedOn w:val="Normal"/>
    <w:link w:val="批注框文本字符"/>
    <w:uiPriority w:val="99"/>
    <w:semiHidden/>
    <w:unhideWhenUsed/>
    <w:qFormat/>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qFormat/>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qFormat/>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qFormat/>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qFormat/>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qFormat/>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qFormat/>
    <w:rPr>
      <w:rFonts w:ascii="Calibri" w:eastAsia="宋体" w:hAnsi="Calibri"/>
      <w:kern w:val="2"/>
      <w:sz w:val="18"/>
      <w:szCs w:val="18"/>
    </w:rPr>
  </w:style>
  <w:style w:type="character" w:customStyle="1" w:styleId="页脚字符">
    <w:name w:val="页脚 字符"/>
    <w:basedOn w:val="DefaultParagraphFont"/>
    <w:link w:val="Footer"/>
    <w:uiPriority w:val="99"/>
    <w:qFormat/>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299A846E7742483FADE25949A45A48D3_12</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Template>
  <TotalTime>0</TotalTime>
  <Pages>3</Pages>
  <Words>341</Words>
  <Characters>646</Characters>
  <Application>WPS Office_11.1.0.14036_F1E327BC-269C-435d-A152-05C5408002CA</Application>
  <DocSecurity>0</DocSecurity>
  <Lines>5</Lines>
  <Paragraphs>1</Paragraphs>
  <Company>Microsoft</Company>
  <CharactersWithSpaces>652</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ksjx-admin</cp:lastModifiedBy>
  <cp:revision>19</cp:revision>
  <cp:lastPrinted>2018-12-31T10:56:00Z</cp:lastPrinted>
  <dcterms:created xsi:type="dcterms:W3CDTF">2022-01-14T05:11:00Z</dcterms:created>
  <dcterms:modified xsi:type="dcterms:W3CDTF">2025-03-26T11:27:46Z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2052-11.1.0.14036</vt:lpwstr>
  </property>
  <property fmtid="{D5CDD505-2E9C-101B-9397-08002B2CF9AE}" pid="3" name="ICV">
    <vt:lpwstr>299A846E7742483FADE25949A45A48D3_12</vt:lpwstr>
  </property>
</Properties>
</file>