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岳普湖县也克先拜巴扎镇中心卫生院2024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11A875">
      <w:r>
        <w:br w:type="page"/>
      </w:r>
    </w:p>
    <w:p w14:paraId="612B66D1">
      <w:pPr>
        <w:spacing w:line="640" w:lineRule="exact"/>
        <w:jc w:val="center"/>
        <w:outlineLvl w:val="1"/>
      </w:pPr>
      <w:r>
        <w:rPr>
          <w:rFonts w:ascii="黑体" w:hAnsi="黑体" w:eastAsia="黑体"/>
          <w:sz w:val="32"/>
        </w:rPr>
        <w:t>第一部分 单位概况</w:t>
      </w:r>
    </w:p>
    <w:p w14:paraId="2D14F8E6">
      <w:pPr>
        <w:spacing w:line="640" w:lineRule="exact"/>
        <w:ind w:firstLine="640"/>
        <w:jc w:val="both"/>
        <w:outlineLvl w:val="2"/>
      </w:pPr>
      <w:r>
        <w:rPr>
          <w:rFonts w:ascii="黑体" w:hAnsi="黑体" w:eastAsia="黑体"/>
          <w:sz w:val="32"/>
        </w:rPr>
        <w:t>一、主要职能</w:t>
      </w:r>
    </w:p>
    <w:p w14:paraId="59584DF4">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2D924022">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41C61725">
      <w:pPr>
        <w:spacing w:line="580" w:lineRule="exact"/>
        <w:ind w:firstLine="640"/>
        <w:jc w:val="both"/>
      </w:pPr>
      <w:r>
        <w:rPr>
          <w:rFonts w:ascii="仿宋_GB2312" w:hAnsi="仿宋_GB2312" w:eastAsia="仿宋_GB2312"/>
          <w:sz w:val="32"/>
        </w:rPr>
        <w:t>（3）认真执行儿童计划免疫。积极开展慢性病非传染性疾病的工作。</w:t>
      </w:r>
    </w:p>
    <w:p w14:paraId="46636C8E">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0D6AB91E">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79624B9E">
      <w:pPr>
        <w:spacing w:line="640" w:lineRule="exact"/>
        <w:ind w:firstLine="640"/>
        <w:jc w:val="both"/>
        <w:outlineLvl w:val="2"/>
      </w:pPr>
      <w:r>
        <w:rPr>
          <w:rFonts w:ascii="黑体" w:hAnsi="黑体" w:eastAsia="黑体"/>
          <w:sz w:val="32"/>
        </w:rPr>
        <w:t>二、机构设置及人员情况</w:t>
      </w:r>
    </w:p>
    <w:p w14:paraId="61D5F29A">
      <w:pPr>
        <w:spacing w:line="580" w:lineRule="exact"/>
        <w:ind w:firstLine="640"/>
        <w:jc w:val="both"/>
      </w:pPr>
      <w:r>
        <w:rPr>
          <w:rFonts w:ascii="仿宋_GB2312" w:hAnsi="仿宋_GB2312" w:eastAsia="仿宋_GB2312"/>
          <w:sz w:val="32"/>
        </w:rPr>
        <w:t>岳普湖县也克先拜巴扎镇中心卫生院2024年度，实有人数40人，其中：在职人员30人，增加0人；离休人员0人，增加0人；退休人员10人,增加0人。</w:t>
      </w:r>
    </w:p>
    <w:p w14:paraId="6B475A46">
      <w:pPr>
        <w:spacing w:line="580" w:lineRule="exact"/>
        <w:ind w:firstLine="640"/>
        <w:jc w:val="both"/>
      </w:pPr>
      <w:r>
        <w:rPr>
          <w:rFonts w:ascii="仿宋_GB2312" w:hAnsi="仿宋_GB2312" w:eastAsia="仿宋_GB2312"/>
          <w:sz w:val="32"/>
        </w:rPr>
        <w:t>岳普湖县也克先拜巴扎镇中心卫生院无下属预算单位，下设7个科室，分别是：财务科、公共卫生科、院办、门诊医生办公室、住院医生办公室、护士站、药房。</w:t>
      </w:r>
    </w:p>
    <w:p w14:paraId="5A471F12">
      <w:r>
        <w:br w:type="page"/>
      </w:r>
    </w:p>
    <w:p w14:paraId="0B41C266">
      <w:pPr>
        <w:spacing w:line="240" w:lineRule="auto"/>
        <w:jc w:val="center"/>
        <w:outlineLvl w:val="1"/>
      </w:pPr>
      <w:r>
        <w:rPr>
          <w:rFonts w:ascii="黑体" w:hAnsi="黑体" w:eastAsia="黑体"/>
          <w:sz w:val="32"/>
        </w:rPr>
        <w:t>第二部分 部门决算情况说明</w:t>
      </w:r>
    </w:p>
    <w:p w14:paraId="41B15CB8">
      <w:pPr>
        <w:spacing w:line="640" w:lineRule="exact"/>
        <w:ind w:firstLine="640"/>
        <w:jc w:val="both"/>
        <w:outlineLvl w:val="2"/>
      </w:pPr>
      <w:r>
        <w:rPr>
          <w:rFonts w:ascii="黑体" w:hAnsi="黑体" w:eastAsia="黑体"/>
          <w:sz w:val="32"/>
        </w:rPr>
        <w:t>一、收入支出决算总体情况说明</w:t>
      </w:r>
    </w:p>
    <w:p w14:paraId="7919D3A6">
      <w:pPr>
        <w:spacing w:line="580" w:lineRule="exact"/>
        <w:ind w:firstLine="640"/>
        <w:jc w:val="both"/>
      </w:pPr>
      <w:r>
        <w:rPr>
          <w:rFonts w:ascii="仿宋_GB2312" w:hAnsi="仿宋_GB2312" w:eastAsia="仿宋_GB2312"/>
          <w:b/>
          <w:sz w:val="32"/>
        </w:rPr>
        <w:t>2024年度收入总计1,240.64万元，</w:t>
      </w:r>
      <w:r>
        <w:rPr>
          <w:rFonts w:ascii="仿宋_GB2312" w:hAnsi="仿宋_GB2312" w:eastAsia="仿宋_GB2312"/>
          <w:b w:val="0"/>
          <w:sz w:val="32"/>
        </w:rPr>
        <w:t>其中：本年收入合计1,238.45万元，使用非财政拨款结余（含专用结余）0.00万元，年初结转和结余2.19万元。</w:t>
      </w:r>
    </w:p>
    <w:p w14:paraId="131C77EA">
      <w:pPr>
        <w:spacing w:line="580" w:lineRule="exact"/>
        <w:ind w:firstLine="640"/>
        <w:jc w:val="both"/>
      </w:pPr>
      <w:r>
        <w:rPr>
          <w:rFonts w:ascii="仿宋_GB2312" w:hAnsi="仿宋_GB2312" w:eastAsia="仿宋_GB2312"/>
          <w:b/>
          <w:sz w:val="32"/>
        </w:rPr>
        <w:t>2024年度支出总计1,240.64万元，</w:t>
      </w:r>
      <w:r>
        <w:rPr>
          <w:rFonts w:ascii="仿宋_GB2312" w:hAnsi="仿宋_GB2312" w:eastAsia="仿宋_GB2312"/>
          <w:b w:val="0"/>
          <w:sz w:val="32"/>
        </w:rPr>
        <w:t>其中：本年支出合计1,206.89万元，结余分配0.00万元，年末结转和结余33.75万元。</w:t>
      </w:r>
    </w:p>
    <w:p w14:paraId="0287E310">
      <w:pPr>
        <w:spacing w:line="580" w:lineRule="exact"/>
        <w:ind w:firstLine="640"/>
        <w:jc w:val="both"/>
      </w:pPr>
      <w:r>
        <w:rPr>
          <w:rFonts w:ascii="仿宋_GB2312" w:hAnsi="仿宋_GB2312" w:eastAsia="仿宋_GB2312"/>
          <w:b w:val="0"/>
          <w:sz w:val="32"/>
        </w:rPr>
        <w:t>收入支出总体与上年相比，减少119.88万元，下降8.81%，主要原因是：本年度减少村医工资项目，医疗能力提升建设项目。</w:t>
      </w:r>
    </w:p>
    <w:p w14:paraId="3BD490B8">
      <w:pPr>
        <w:spacing w:line="640" w:lineRule="exact"/>
        <w:ind w:firstLine="640"/>
        <w:jc w:val="both"/>
        <w:outlineLvl w:val="2"/>
      </w:pPr>
      <w:r>
        <w:rPr>
          <w:rFonts w:ascii="黑体" w:hAnsi="黑体" w:eastAsia="黑体"/>
          <w:sz w:val="32"/>
        </w:rPr>
        <w:t>二、收入决算情况说明</w:t>
      </w:r>
    </w:p>
    <w:p w14:paraId="3374E52D">
      <w:pPr>
        <w:spacing w:line="580" w:lineRule="exact"/>
        <w:ind w:firstLine="640"/>
        <w:jc w:val="both"/>
      </w:pPr>
      <w:r>
        <w:rPr>
          <w:rFonts w:ascii="仿宋_GB2312" w:hAnsi="仿宋_GB2312" w:eastAsia="仿宋_GB2312"/>
          <w:b/>
          <w:sz w:val="32"/>
        </w:rPr>
        <w:t>本年收入1,238.45万元，</w:t>
      </w:r>
      <w:r>
        <w:rPr>
          <w:rFonts w:ascii="仿宋_GB2312" w:hAnsi="仿宋_GB2312" w:eastAsia="仿宋_GB2312"/>
          <w:b w:val="0"/>
          <w:sz w:val="32"/>
        </w:rPr>
        <w:t>其中：财政拨款收入641.65万元，占51.81%；上级补助收入0.00万元，占0.00%；事业收入596.67万元，占48.18%；经营收入0.00万元，占0.00%；附属单位上缴收入0.00万元，占0.00%；其他收入0.13万元，占0.01%。</w:t>
      </w:r>
    </w:p>
    <w:p w14:paraId="053925DB">
      <w:pPr>
        <w:spacing w:line="640" w:lineRule="exact"/>
        <w:ind w:firstLine="640"/>
        <w:jc w:val="both"/>
        <w:outlineLvl w:val="2"/>
      </w:pPr>
      <w:r>
        <w:rPr>
          <w:rFonts w:ascii="黑体" w:hAnsi="黑体" w:eastAsia="黑体"/>
          <w:sz w:val="32"/>
        </w:rPr>
        <w:t>三、支出决算情况说明</w:t>
      </w:r>
    </w:p>
    <w:p w14:paraId="06863ACA">
      <w:pPr>
        <w:spacing w:line="580" w:lineRule="exact"/>
        <w:ind w:firstLine="640"/>
        <w:jc w:val="both"/>
      </w:pPr>
      <w:r>
        <w:rPr>
          <w:rFonts w:ascii="仿宋_GB2312" w:hAnsi="仿宋_GB2312" w:eastAsia="仿宋_GB2312"/>
          <w:b/>
          <w:sz w:val="32"/>
        </w:rPr>
        <w:t>本年支出1,206.89万元，</w:t>
      </w:r>
      <w:r>
        <w:rPr>
          <w:rFonts w:ascii="仿宋_GB2312" w:hAnsi="仿宋_GB2312" w:eastAsia="仿宋_GB2312"/>
          <w:b w:val="0"/>
          <w:sz w:val="32"/>
        </w:rPr>
        <w:t>其中：基本支出1,043.95万元，占86.50%；项目支出162.94万元，占13.50%；上缴上级支出0.00万元，占0.00%；经营支出0.00万元，占0.00%；对附属单位补助支出0.00万元，占0.00%。</w:t>
      </w:r>
    </w:p>
    <w:p w14:paraId="7DA765CD">
      <w:pPr>
        <w:spacing w:line="640" w:lineRule="exact"/>
        <w:ind w:firstLine="640"/>
        <w:jc w:val="both"/>
        <w:outlineLvl w:val="2"/>
      </w:pPr>
      <w:r>
        <w:rPr>
          <w:rFonts w:ascii="黑体" w:hAnsi="黑体" w:eastAsia="黑体"/>
          <w:sz w:val="32"/>
        </w:rPr>
        <w:t>四、财政拨款收入支出决算总体情况说明</w:t>
      </w:r>
    </w:p>
    <w:p w14:paraId="212F6AFF">
      <w:pPr>
        <w:spacing w:line="580" w:lineRule="exact"/>
        <w:ind w:firstLine="640"/>
        <w:jc w:val="both"/>
      </w:pPr>
      <w:r>
        <w:rPr>
          <w:rFonts w:ascii="仿宋_GB2312" w:hAnsi="仿宋_GB2312" w:eastAsia="仿宋_GB2312"/>
          <w:b/>
          <w:sz w:val="32"/>
        </w:rPr>
        <w:t>2024年度财政拨款收入总计641.65万元，</w:t>
      </w:r>
      <w:r>
        <w:rPr>
          <w:rFonts w:ascii="仿宋_GB2312" w:hAnsi="仿宋_GB2312" w:eastAsia="仿宋_GB2312"/>
          <w:b w:val="0"/>
          <w:sz w:val="32"/>
        </w:rPr>
        <w:t>其中：年初财政拨款结转和结余0.00万元，本年财政拨款收入641.65万元。</w:t>
      </w:r>
      <w:r>
        <w:rPr>
          <w:rFonts w:ascii="仿宋_GB2312" w:hAnsi="仿宋_GB2312" w:eastAsia="仿宋_GB2312"/>
          <w:b/>
          <w:sz w:val="32"/>
        </w:rPr>
        <w:t>财政拨款支出总计641.65万元，</w:t>
      </w:r>
      <w:r>
        <w:rPr>
          <w:rFonts w:ascii="仿宋_GB2312" w:hAnsi="仿宋_GB2312" w:eastAsia="仿宋_GB2312"/>
          <w:b w:val="0"/>
          <w:sz w:val="32"/>
        </w:rPr>
        <w:t>其中：年末财政拨款结转和结余0.00万元，本年财政拨款支出641.65万元。</w:t>
      </w:r>
    </w:p>
    <w:p w14:paraId="530F820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减少96.95万元，下降13.13%，主要原因是：本年度减少村医工资项目，医疗能力提升建设项目。</w:t>
      </w:r>
      <w:r>
        <w:rPr>
          <w:rFonts w:ascii="仿宋_GB2312" w:hAnsi="仿宋_GB2312" w:eastAsia="仿宋_GB2312"/>
          <w:b/>
          <w:sz w:val="32"/>
        </w:rPr>
        <w:t>与年初预算相比，</w:t>
      </w:r>
      <w:r>
        <w:rPr>
          <w:rFonts w:ascii="仿宋_GB2312" w:hAnsi="仿宋_GB2312" w:eastAsia="仿宋_GB2312"/>
          <w:b w:val="0"/>
          <w:sz w:val="32"/>
        </w:rPr>
        <w:t>年初预算数488.58万元，决算数641.65万元，预决算差异率31.33%，主要原因是：年中追加2024年基本药物制度补助项目、2024年基本公共卫生服务补助项目、2024年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免费技术服务补助项目、中央专项彩票公益金支持地方社会公益事业发展（医疗救助）资金失能老年人健康评估项目，导致预决算存在差异。</w:t>
      </w:r>
    </w:p>
    <w:p w14:paraId="7D583D4C">
      <w:pPr>
        <w:spacing w:line="640" w:lineRule="exact"/>
        <w:ind w:firstLine="640"/>
        <w:jc w:val="both"/>
        <w:outlineLvl w:val="2"/>
      </w:pPr>
      <w:r>
        <w:rPr>
          <w:rFonts w:ascii="黑体" w:hAnsi="黑体" w:eastAsia="黑体"/>
          <w:sz w:val="32"/>
        </w:rPr>
        <w:t>五、一般公共预算财政拨款支出决算情况说明</w:t>
      </w:r>
    </w:p>
    <w:p w14:paraId="36993077">
      <w:pPr>
        <w:spacing w:line="640" w:lineRule="exact"/>
        <w:ind w:firstLine="640"/>
        <w:jc w:val="both"/>
        <w:outlineLvl w:val="3"/>
      </w:pPr>
      <w:r>
        <w:rPr>
          <w:rFonts w:ascii="楷体_GB2312" w:hAnsi="楷体_GB2312" w:eastAsia="楷体_GB2312"/>
          <w:b/>
          <w:sz w:val="32"/>
        </w:rPr>
        <w:t>（一）一般公共预算财政拨款支出决算总体情况</w:t>
      </w:r>
    </w:p>
    <w:p w14:paraId="5A7A1D66">
      <w:pPr>
        <w:spacing w:line="580" w:lineRule="exact"/>
        <w:ind w:firstLine="640"/>
        <w:jc w:val="both"/>
      </w:pPr>
      <w:r>
        <w:rPr>
          <w:rFonts w:ascii="仿宋_GB2312" w:hAnsi="仿宋_GB2312" w:eastAsia="仿宋_GB2312"/>
          <w:b/>
          <w:sz w:val="32"/>
        </w:rPr>
        <w:t>2024年度一般公共预算财政拨款支出638.82万元，</w:t>
      </w:r>
      <w:r>
        <w:rPr>
          <w:rFonts w:ascii="仿宋_GB2312" w:hAnsi="仿宋_GB2312" w:eastAsia="仿宋_GB2312"/>
          <w:b w:val="0"/>
          <w:sz w:val="32"/>
        </w:rPr>
        <w:t>占本年支出合计的52.93%。</w:t>
      </w:r>
      <w:r>
        <w:rPr>
          <w:rFonts w:ascii="仿宋_GB2312" w:hAnsi="仿宋_GB2312" w:eastAsia="仿宋_GB2312"/>
          <w:b/>
          <w:sz w:val="32"/>
        </w:rPr>
        <w:t>与上年相比，</w:t>
      </w:r>
      <w:r>
        <w:rPr>
          <w:rFonts w:ascii="仿宋_GB2312" w:hAnsi="仿宋_GB2312" w:eastAsia="仿宋_GB2312"/>
          <w:b w:val="0"/>
          <w:sz w:val="32"/>
        </w:rPr>
        <w:t>减少99.78万元，下降13.51%，主要原因是：本年度减少村医工资项目，医疗能力提升建设项目。</w:t>
      </w:r>
      <w:r>
        <w:rPr>
          <w:rFonts w:ascii="仿宋_GB2312" w:hAnsi="仿宋_GB2312" w:eastAsia="仿宋_GB2312"/>
          <w:b/>
          <w:sz w:val="32"/>
        </w:rPr>
        <w:t>与年初预算相比,</w:t>
      </w:r>
      <w:r>
        <w:rPr>
          <w:rFonts w:ascii="仿宋_GB2312" w:hAnsi="仿宋_GB2312" w:eastAsia="仿宋_GB2312"/>
          <w:b w:val="0"/>
          <w:sz w:val="32"/>
        </w:rPr>
        <w:t>年初预算数488.58万元，决算数638.82万元，预决算差异率30.75%，主要原因是：年中追加2024年基本药物制度补助项目、2024年基本公共卫生服务补助项目、2024年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60A1A73B">
      <w:pPr>
        <w:spacing w:line="640" w:lineRule="exact"/>
        <w:ind w:firstLine="640"/>
        <w:jc w:val="both"/>
        <w:outlineLvl w:val="3"/>
      </w:pPr>
      <w:r>
        <w:rPr>
          <w:rFonts w:ascii="楷体_GB2312" w:hAnsi="楷体_GB2312" w:eastAsia="楷体_GB2312"/>
          <w:b/>
          <w:sz w:val="32"/>
        </w:rPr>
        <w:t>（二）一般公共预算财政拨款支出决算结构情况</w:t>
      </w:r>
    </w:p>
    <w:p w14:paraId="739C6FD8">
      <w:pPr>
        <w:spacing w:line="580" w:lineRule="exact"/>
        <w:ind w:firstLine="640"/>
        <w:jc w:val="both"/>
      </w:pPr>
      <w:r>
        <w:rPr>
          <w:rFonts w:ascii="仿宋_GB2312" w:hAnsi="仿宋_GB2312" w:eastAsia="仿宋_GB2312"/>
          <w:b w:val="0"/>
          <w:sz w:val="32"/>
        </w:rPr>
        <w:t>1.社会保障和就业支出(类)44.83万元,占7.02%。</w:t>
      </w:r>
    </w:p>
    <w:p w14:paraId="751FA504">
      <w:pPr>
        <w:spacing w:line="580" w:lineRule="exact"/>
        <w:ind w:firstLine="640"/>
        <w:jc w:val="both"/>
      </w:pPr>
      <w:r>
        <w:rPr>
          <w:rFonts w:ascii="仿宋_GB2312" w:hAnsi="仿宋_GB2312" w:eastAsia="仿宋_GB2312"/>
          <w:b w:val="0"/>
          <w:sz w:val="32"/>
        </w:rPr>
        <w:t>2.卫生健康支出(类)593.99万元,占92.98%。</w:t>
      </w:r>
    </w:p>
    <w:p w14:paraId="65AAF3D6">
      <w:pPr>
        <w:spacing w:line="640" w:lineRule="exact"/>
        <w:ind w:firstLine="640"/>
        <w:jc w:val="both"/>
        <w:outlineLvl w:val="3"/>
      </w:pPr>
      <w:r>
        <w:rPr>
          <w:rFonts w:ascii="楷体_GB2312" w:hAnsi="楷体_GB2312" w:eastAsia="楷体_GB2312"/>
          <w:b/>
          <w:sz w:val="32"/>
        </w:rPr>
        <w:t>（三）一般公共预算财政拨款支出决算具体情况</w:t>
      </w:r>
    </w:p>
    <w:p w14:paraId="6957CB92">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44.83万元，比上年决算增加3.15万元，增长7.56%,主要原因是：本年在职人员工资基数调增，养老缴费基数上涨，相应支出增加。</w:t>
      </w:r>
    </w:p>
    <w:p w14:paraId="6043E860">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2.卫生健康支出(类)卫生健康管理事务(款)其他卫生健康管理事务支出(项):支出决算数为0.00万元，比上年决算减少79.23万元，下降100.00%,主要原因是：本年减少建设医疗服务与保障能力提升项目，村医工资项目。</w:t>
      </w:r>
    </w:p>
    <w:p w14:paraId="1365AD03">
      <w:pPr>
        <w:spacing w:line="580" w:lineRule="exact"/>
        <w:ind w:firstLine="640"/>
        <w:jc w:val="both"/>
      </w:pPr>
      <w:r>
        <w:rPr>
          <w:rFonts w:ascii="仿宋_GB2312" w:hAnsi="仿宋_GB2312" w:eastAsia="仿宋_GB2312"/>
          <w:b w:val="0"/>
          <w:sz w:val="32"/>
        </w:rPr>
        <w:t>3.卫生健康支出(类)基层医疗卫生机构(款)乡镇卫生院(项):支出决算数为434.01万元，比上年决算减少9.50万元，下降2.14%,主要原因是：本年人员调入调出，工资基数不同，缴费基数不同，导致经费减少。</w:t>
      </w:r>
    </w:p>
    <w:p w14:paraId="49C855B5">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17.52万元，比上年决算减少3.73万元，下降17.55%,主要原因是：本年度基本药物制度补助个人发放部分由卫健委发放。相关支出减少。</w:t>
      </w:r>
    </w:p>
    <w:p w14:paraId="5E0F38B3">
      <w:pPr>
        <w:spacing w:line="580" w:lineRule="exact"/>
        <w:ind w:firstLine="640"/>
        <w:jc w:val="both"/>
      </w:pPr>
      <w:r>
        <w:rPr>
          <w:rFonts w:ascii="仿宋_GB2312" w:hAnsi="仿宋_GB2312" w:eastAsia="仿宋_GB2312"/>
          <w:b w:val="0"/>
          <w:sz w:val="32"/>
        </w:rPr>
        <w:t>5.卫生健康支出(类)公共卫生(款)基本公共卫生服务(项):支出决算数为138.79万元，比上年决算减少12.33万元，下降8.16%,主要原因是：本年度基本公共卫生服务补助项目个人发放部分由卫健委发放，相关支出减少。</w:t>
      </w:r>
    </w:p>
    <w:p w14:paraId="4655AE7E">
      <w:pPr>
        <w:spacing w:line="580" w:lineRule="exact"/>
        <w:ind w:firstLine="640"/>
        <w:jc w:val="both"/>
      </w:pPr>
      <w:r>
        <w:rPr>
          <w:rFonts w:ascii="仿宋_GB2312" w:hAnsi="仿宋_GB2312" w:eastAsia="仿宋_GB2312"/>
          <w:b w:val="0"/>
          <w:sz w:val="32"/>
        </w:rPr>
        <w:t>6.卫生健康支出(类)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事务(款)计划生育服务(项):支出决算数为3.68万元，比上年决算增加1.88万元，增长104.44%,主要原因是：本年度JHSY免费技术服务补助项目增加。</w:t>
      </w:r>
    </w:p>
    <w:p w14:paraId="5E8B0BE7">
      <w:pPr>
        <w:spacing w:line="640" w:lineRule="exact"/>
        <w:ind w:firstLine="640"/>
        <w:jc w:val="both"/>
        <w:outlineLvl w:val="2"/>
      </w:pPr>
      <w:r>
        <w:rPr>
          <w:rFonts w:ascii="黑体" w:hAnsi="黑体" w:eastAsia="黑体"/>
          <w:sz w:val="32"/>
        </w:rPr>
        <w:t>六、一般公共预算财政拨款基本支出决算情况说明</w:t>
      </w:r>
    </w:p>
    <w:p w14:paraId="53055590">
      <w:pPr>
        <w:spacing w:line="580" w:lineRule="exact"/>
        <w:ind w:firstLine="640"/>
        <w:jc w:val="both"/>
      </w:pPr>
      <w:r>
        <w:rPr>
          <w:rFonts w:ascii="仿宋_GB2312" w:hAnsi="仿宋_GB2312" w:eastAsia="仿宋_GB2312"/>
          <w:b w:val="0"/>
          <w:sz w:val="32"/>
        </w:rPr>
        <w:t>2024年度一般公共预算财政拨款基本支出478.84万元，其中：</w:t>
      </w:r>
      <w:r>
        <w:rPr>
          <w:rFonts w:ascii="仿宋_GB2312" w:hAnsi="仿宋_GB2312" w:eastAsia="仿宋_GB2312"/>
          <w:b/>
          <w:sz w:val="32"/>
        </w:rPr>
        <w:t>人员经费478.84万元，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0CA4594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B28865B">
      <w:pPr>
        <w:spacing w:line="640" w:lineRule="exact"/>
        <w:ind w:firstLine="640"/>
        <w:jc w:val="both"/>
        <w:outlineLvl w:val="2"/>
      </w:pPr>
      <w:r>
        <w:rPr>
          <w:rFonts w:ascii="黑体" w:hAnsi="黑体" w:eastAsia="黑体"/>
          <w:sz w:val="32"/>
        </w:rPr>
        <w:t>七、政府性基金预算财政拨款收入支出决算情况说明</w:t>
      </w:r>
    </w:p>
    <w:p w14:paraId="271C0C62">
      <w:pPr>
        <w:spacing w:line="580" w:lineRule="exact"/>
        <w:ind w:firstLine="640"/>
        <w:jc w:val="both"/>
      </w:pPr>
      <w:r>
        <w:rPr>
          <w:rFonts w:ascii="仿宋_GB2312" w:hAnsi="仿宋_GB2312" w:eastAsia="仿宋_GB2312"/>
          <w:b/>
          <w:sz w:val="32"/>
        </w:rPr>
        <w:t>2024年度政府性基金预算财政拨款收入总计2.83万元，</w:t>
      </w:r>
      <w:r>
        <w:rPr>
          <w:rFonts w:ascii="仿宋_GB2312" w:hAnsi="仿宋_GB2312" w:eastAsia="仿宋_GB2312"/>
          <w:b w:val="0"/>
          <w:sz w:val="32"/>
        </w:rPr>
        <w:t>其中：年初结转和结余0.00万元，本年收入2.83万元。</w:t>
      </w:r>
      <w:r>
        <w:rPr>
          <w:rFonts w:ascii="仿宋_GB2312" w:hAnsi="仿宋_GB2312" w:eastAsia="仿宋_GB2312"/>
          <w:b/>
          <w:sz w:val="32"/>
        </w:rPr>
        <w:t>政府性基金预算财政拨款支出总计2.83万元，</w:t>
      </w:r>
      <w:r>
        <w:rPr>
          <w:rFonts w:ascii="仿宋_GB2312" w:hAnsi="仿宋_GB2312" w:eastAsia="仿宋_GB2312"/>
          <w:b w:val="0"/>
          <w:sz w:val="32"/>
        </w:rPr>
        <w:t>其中：年末结转和结余0.00万元，本年支出2.83万元。</w:t>
      </w:r>
    </w:p>
    <w:p w14:paraId="373BB9E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增加2.83万元，增长100.00%，主要原因是：本年增加中央专项彩票公益金支持地方社会公益事业发展（医疗救助）资金失能老年人健康评估项目。</w:t>
      </w:r>
      <w:r>
        <w:rPr>
          <w:rFonts w:ascii="仿宋_GB2312" w:hAnsi="仿宋_GB2312" w:eastAsia="仿宋_GB2312"/>
          <w:b/>
          <w:sz w:val="32"/>
        </w:rPr>
        <w:t>与年初预算相比，</w:t>
      </w:r>
      <w:r>
        <w:rPr>
          <w:rFonts w:ascii="仿宋_GB2312" w:hAnsi="仿宋_GB2312" w:eastAsia="仿宋_GB2312"/>
          <w:b w:val="0"/>
          <w:sz w:val="32"/>
        </w:rPr>
        <w:t>年初预算数0.00万元，决算数2.83万元，预决算差异率100.00%，主要原因是：年中追加中央专项彩票公益金支持地方社会公益事业发展（医疗救助）资金失能老年人健康评估项目，导致预决算存在差异。</w:t>
      </w:r>
    </w:p>
    <w:p w14:paraId="07E45CCF">
      <w:pPr>
        <w:spacing w:line="580" w:lineRule="exact"/>
        <w:ind w:firstLine="640"/>
        <w:jc w:val="both"/>
      </w:pPr>
      <w:r>
        <w:rPr>
          <w:rFonts w:ascii="仿宋_GB2312" w:hAnsi="仿宋_GB2312" w:eastAsia="仿宋_GB2312"/>
          <w:b w:val="0"/>
          <w:sz w:val="32"/>
        </w:rPr>
        <w:t>政府性基金预算财政拨款支出2.83万元。</w:t>
      </w:r>
    </w:p>
    <w:p w14:paraId="110B7946">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1.其他支出(类)彩票公益金安排的支出(款)用于社会福利的彩票公益金支出(项):支出决算数为2.30万元，比上年决算增加2.30万元，增长100.00%,主要原因是：本年增加失能老年人听力筛查补助项目。</w:t>
      </w:r>
    </w:p>
    <w:p w14:paraId="21969633">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2.其他支出(类)彩票公益金安排的支出(款)用于城乡医疗救助的彩票公益金支出(项):支出决算数为0.53万元，比上年决算增加0.53万元，增长100.00%,主要原因是：本年增加失能老年人健康评估服务项目。</w:t>
      </w:r>
    </w:p>
    <w:p w14:paraId="4EB93FF2">
      <w:pPr>
        <w:spacing w:line="640" w:lineRule="exact"/>
        <w:ind w:firstLine="640"/>
        <w:jc w:val="both"/>
        <w:outlineLvl w:val="2"/>
      </w:pPr>
      <w:r>
        <w:rPr>
          <w:rFonts w:ascii="黑体" w:hAnsi="黑体" w:eastAsia="黑体"/>
          <w:sz w:val="32"/>
        </w:rPr>
        <w:t>八、国有资本经营预算财政拨款收入支出决算情况说明</w:t>
      </w:r>
    </w:p>
    <w:p w14:paraId="14165C3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0602466">
      <w:pPr>
        <w:spacing w:line="640" w:lineRule="exact"/>
        <w:ind w:firstLine="640"/>
        <w:jc w:val="both"/>
        <w:outlineLvl w:val="2"/>
      </w:pPr>
      <w:r>
        <w:rPr>
          <w:rFonts w:ascii="黑体" w:hAnsi="黑体" w:eastAsia="黑体"/>
          <w:sz w:val="32"/>
        </w:rPr>
        <w:t>九、财政拨款“三公”经费支出决算情况说明</w:t>
      </w:r>
    </w:p>
    <w:p w14:paraId="6B186E9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9FA53B8">
      <w:pPr>
        <w:spacing w:line="580" w:lineRule="exact"/>
        <w:ind w:firstLine="640"/>
        <w:jc w:val="both"/>
      </w:pPr>
      <w:r>
        <w:rPr>
          <w:rFonts w:ascii="仿宋_GB2312" w:hAnsi="仿宋_GB2312" w:eastAsia="仿宋_GB2312"/>
          <w:b/>
          <w:sz w:val="32"/>
        </w:rPr>
        <w:t>具体情况如下：</w:t>
      </w:r>
    </w:p>
    <w:p w14:paraId="241D30B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244BFD">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单位自有资金保障。</w:t>
      </w:r>
    </w:p>
    <w:p w14:paraId="30882DC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310E5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83BC849">
      <w:pPr>
        <w:spacing w:line="640" w:lineRule="exact"/>
        <w:ind w:firstLine="640"/>
        <w:jc w:val="both"/>
        <w:outlineLvl w:val="2"/>
      </w:pPr>
      <w:r>
        <w:rPr>
          <w:rFonts w:ascii="黑体" w:hAnsi="黑体" w:eastAsia="黑体"/>
          <w:sz w:val="32"/>
        </w:rPr>
        <w:t>十、其他重要事项的情况说明</w:t>
      </w:r>
    </w:p>
    <w:p w14:paraId="25F597F0">
      <w:pPr>
        <w:spacing w:line="640" w:lineRule="exact"/>
        <w:ind w:firstLine="640"/>
        <w:jc w:val="both"/>
        <w:outlineLvl w:val="3"/>
      </w:pPr>
      <w:r>
        <w:rPr>
          <w:rFonts w:ascii="楷体_GB2312" w:hAnsi="楷体_GB2312" w:eastAsia="楷体_GB2312"/>
          <w:b/>
          <w:sz w:val="32"/>
        </w:rPr>
        <w:t>（一）机关运行经费及公用经费支出情况</w:t>
      </w:r>
    </w:p>
    <w:p w14:paraId="35EC911F">
      <w:pPr>
        <w:spacing w:line="580" w:lineRule="exact"/>
        <w:ind w:firstLine="640"/>
        <w:jc w:val="both"/>
      </w:pPr>
      <w:r>
        <w:rPr>
          <w:rFonts w:ascii="仿宋_GB2312" w:hAnsi="仿宋_GB2312" w:eastAsia="仿宋_GB2312"/>
          <w:b w:val="0"/>
          <w:sz w:val="32"/>
        </w:rPr>
        <w:t>2024年度岳普湖县也克先拜巴扎镇中心卫生院（事业单位）公用经费支出0.00万元，比上年增加0.00万元，增长0.00%，主要原因是：2023年与2024年均未安排公用经费支出。</w:t>
      </w:r>
    </w:p>
    <w:p w14:paraId="50B0BE2E">
      <w:pPr>
        <w:spacing w:line="640" w:lineRule="exact"/>
        <w:ind w:firstLine="640"/>
        <w:jc w:val="both"/>
        <w:outlineLvl w:val="3"/>
      </w:pPr>
      <w:r>
        <w:rPr>
          <w:rFonts w:ascii="楷体_GB2312" w:hAnsi="楷体_GB2312" w:eastAsia="楷体_GB2312"/>
          <w:b/>
          <w:sz w:val="32"/>
        </w:rPr>
        <w:t>（二）政府采购情况</w:t>
      </w:r>
    </w:p>
    <w:p w14:paraId="458AF8E0">
      <w:pPr>
        <w:spacing w:line="580" w:lineRule="exact"/>
        <w:ind w:firstLine="640"/>
        <w:jc w:val="both"/>
      </w:pPr>
      <w:r>
        <w:rPr>
          <w:rFonts w:ascii="仿宋_GB2312" w:hAnsi="仿宋_GB2312" w:eastAsia="仿宋_GB2312"/>
          <w:b w:val="0"/>
          <w:sz w:val="32"/>
        </w:rPr>
        <w:t>2024年度政府采购支出总额17.90万元，其中：政府采购货物支出3.70万元、政府采购工程支出0.00万元、政府采购服务支出14.20万元。</w:t>
      </w:r>
    </w:p>
    <w:p w14:paraId="1C6B3FCF">
      <w:pPr>
        <w:spacing w:line="580" w:lineRule="exact"/>
        <w:ind w:firstLine="640"/>
        <w:jc w:val="both"/>
      </w:pPr>
      <w:r>
        <w:rPr>
          <w:rFonts w:ascii="仿宋_GB2312" w:hAnsi="仿宋_GB2312" w:eastAsia="仿宋_GB2312"/>
          <w:b w:val="0"/>
          <w:sz w:val="32"/>
        </w:rPr>
        <w:t>授予中小企业合同金额17.90万元，占政府采购支出总额的100.00%，其中：授予小微企业合同金额17.90万元，占政府采购支出总额的100.00%。</w:t>
      </w:r>
    </w:p>
    <w:p w14:paraId="11568989">
      <w:pPr>
        <w:spacing w:line="640" w:lineRule="exact"/>
        <w:ind w:firstLine="640"/>
        <w:jc w:val="both"/>
        <w:outlineLvl w:val="3"/>
      </w:pPr>
      <w:r>
        <w:rPr>
          <w:rFonts w:ascii="楷体_GB2312" w:hAnsi="楷体_GB2312" w:eastAsia="楷体_GB2312"/>
          <w:b/>
          <w:sz w:val="32"/>
        </w:rPr>
        <w:t>（三）国有资产占用情况说明</w:t>
      </w:r>
    </w:p>
    <w:p w14:paraId="130980AE">
      <w:pPr>
        <w:spacing w:line="580" w:lineRule="exact"/>
        <w:ind w:firstLine="640"/>
        <w:jc w:val="both"/>
      </w:pPr>
      <w:r>
        <w:rPr>
          <w:rFonts w:ascii="仿宋_GB2312" w:hAnsi="仿宋_GB2312" w:eastAsia="仿宋_GB2312"/>
          <w:b w:val="0"/>
          <w:sz w:val="32"/>
        </w:rPr>
        <w:t>截至2024年12月31日，房屋2,058.00平方米，价值390.21万元。车辆2辆，价值26.70万元，其中：副部（省）级及以上领导用车0辆、主要负责人用车0辆、机要通信用车0辆、应急保障用车0辆、执法执勤用车0辆、特种专业技术用车1辆、离退休干部服务用车0辆、其他用车1辆，其他用车主要是：单位业务用车。单价100万元（含）以上设备（不含车辆）1台（套）。</w:t>
      </w:r>
    </w:p>
    <w:p w14:paraId="7F34FA5B">
      <w:pPr>
        <w:spacing w:line="640" w:lineRule="exact"/>
        <w:ind w:firstLine="640"/>
        <w:jc w:val="both"/>
        <w:outlineLvl w:val="2"/>
      </w:pPr>
      <w:r>
        <w:rPr>
          <w:rFonts w:ascii="黑体" w:hAnsi="黑体" w:eastAsia="黑体"/>
          <w:sz w:val="32"/>
        </w:rPr>
        <w:t>十一、预算绩效的情况说明</w:t>
      </w:r>
    </w:p>
    <w:p w14:paraId="5837332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3FFC686">
      <w:r>
        <w:br w:type="page"/>
      </w:r>
    </w:p>
    <w:p w14:paraId="4E170683">
      <w:pPr>
        <w:spacing w:line="640" w:lineRule="exact"/>
        <w:ind w:firstLine="640"/>
        <w:jc w:val="both"/>
        <w:outlineLvl w:val="2"/>
      </w:pPr>
      <w:r>
        <w:rPr>
          <w:rFonts w:ascii="黑体" w:hAnsi="黑体" w:eastAsia="黑体"/>
          <w:sz w:val="32"/>
        </w:rPr>
        <w:t>十二、其他需说明的事项</w:t>
      </w:r>
    </w:p>
    <w:p w14:paraId="4618C38C">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584D6CFA">
      <w:r>
        <w:br w:type="page"/>
      </w:r>
    </w:p>
    <w:p w14:paraId="583C3922">
      <w:pPr>
        <w:spacing w:line="240" w:lineRule="auto"/>
        <w:jc w:val="center"/>
        <w:outlineLvl w:val="1"/>
      </w:pPr>
      <w:r>
        <w:rPr>
          <w:rFonts w:ascii="黑体" w:hAnsi="黑体" w:eastAsia="黑体"/>
          <w:sz w:val="32"/>
        </w:rPr>
        <w:t>第三部分 专业名词解释</w:t>
      </w:r>
    </w:p>
    <w:p w14:paraId="523513D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70EB5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698F4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322BE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5DFAC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B32E46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BD682E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D0D782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610A8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3D61F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B9E612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E9B6E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22C756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12270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4857220">
      <w:r>
        <w:br w:type="page"/>
      </w:r>
    </w:p>
    <w:p w14:paraId="4749D263">
      <w:pPr>
        <w:spacing w:line="240" w:lineRule="auto"/>
        <w:jc w:val="center"/>
        <w:outlineLvl w:val="1"/>
      </w:pPr>
      <w:r>
        <w:rPr>
          <w:rFonts w:ascii="黑体" w:hAnsi="黑体" w:eastAsia="黑体"/>
          <w:sz w:val="32"/>
        </w:rPr>
        <w:t>第四部分 部门决算报表（见附表）</w:t>
      </w:r>
    </w:p>
    <w:p w14:paraId="314392CB">
      <w:pPr>
        <w:spacing w:line="240" w:lineRule="auto"/>
        <w:ind w:firstLine="640"/>
        <w:jc w:val="both"/>
      </w:pPr>
      <w:r>
        <w:rPr>
          <w:rFonts w:ascii="仿宋_GB2312" w:hAnsi="仿宋_GB2312" w:eastAsia="仿宋_GB2312"/>
          <w:b w:val="0"/>
          <w:sz w:val="32"/>
        </w:rPr>
        <w:t>一、《收入支出决算总表》</w:t>
      </w:r>
    </w:p>
    <w:p w14:paraId="71E0EB4C">
      <w:pPr>
        <w:spacing w:line="240" w:lineRule="auto"/>
        <w:ind w:firstLine="640"/>
        <w:jc w:val="both"/>
      </w:pPr>
      <w:r>
        <w:rPr>
          <w:rFonts w:ascii="仿宋_GB2312" w:hAnsi="仿宋_GB2312" w:eastAsia="仿宋_GB2312"/>
          <w:b w:val="0"/>
          <w:sz w:val="32"/>
        </w:rPr>
        <w:t>二、《收入决算表》</w:t>
      </w:r>
    </w:p>
    <w:p w14:paraId="6C475A51">
      <w:pPr>
        <w:spacing w:line="240" w:lineRule="auto"/>
        <w:ind w:firstLine="640"/>
        <w:jc w:val="both"/>
      </w:pPr>
      <w:r>
        <w:rPr>
          <w:rFonts w:ascii="仿宋_GB2312" w:hAnsi="仿宋_GB2312" w:eastAsia="仿宋_GB2312"/>
          <w:b w:val="0"/>
          <w:sz w:val="32"/>
        </w:rPr>
        <w:t>三、《支出决算表》</w:t>
      </w:r>
    </w:p>
    <w:p w14:paraId="36057504">
      <w:pPr>
        <w:spacing w:line="240" w:lineRule="auto"/>
        <w:ind w:firstLine="640"/>
        <w:jc w:val="both"/>
      </w:pPr>
      <w:r>
        <w:rPr>
          <w:rFonts w:ascii="仿宋_GB2312" w:hAnsi="仿宋_GB2312" w:eastAsia="仿宋_GB2312"/>
          <w:b w:val="0"/>
          <w:sz w:val="32"/>
        </w:rPr>
        <w:t>四、《财政拨款收入支出决算总表》</w:t>
      </w:r>
    </w:p>
    <w:p w14:paraId="335AE6EE">
      <w:pPr>
        <w:spacing w:line="240" w:lineRule="auto"/>
        <w:ind w:firstLine="640"/>
        <w:jc w:val="both"/>
      </w:pPr>
      <w:r>
        <w:rPr>
          <w:rFonts w:ascii="仿宋_GB2312" w:hAnsi="仿宋_GB2312" w:eastAsia="仿宋_GB2312"/>
          <w:b w:val="0"/>
          <w:sz w:val="32"/>
        </w:rPr>
        <w:t>五、《一般公共预算财政拨款支出决算表》</w:t>
      </w:r>
    </w:p>
    <w:p w14:paraId="40B4943C">
      <w:pPr>
        <w:spacing w:line="240" w:lineRule="auto"/>
        <w:ind w:firstLine="640"/>
        <w:jc w:val="both"/>
      </w:pPr>
      <w:r>
        <w:rPr>
          <w:rFonts w:ascii="仿宋_GB2312" w:hAnsi="仿宋_GB2312" w:eastAsia="仿宋_GB2312"/>
          <w:b w:val="0"/>
          <w:sz w:val="32"/>
        </w:rPr>
        <w:t>六、《一般公共预算财政拨款基本支出决算表》</w:t>
      </w:r>
    </w:p>
    <w:p w14:paraId="5B91B7BD">
      <w:pPr>
        <w:spacing w:line="240" w:lineRule="auto"/>
        <w:ind w:firstLine="640"/>
        <w:jc w:val="both"/>
      </w:pPr>
      <w:r>
        <w:rPr>
          <w:rFonts w:ascii="仿宋_GB2312" w:hAnsi="仿宋_GB2312" w:eastAsia="仿宋_GB2312"/>
          <w:b w:val="0"/>
          <w:sz w:val="32"/>
        </w:rPr>
        <w:t>七、《政府性基金预算财政拨款收入支出决算表》</w:t>
      </w:r>
    </w:p>
    <w:p w14:paraId="71BDB155">
      <w:pPr>
        <w:spacing w:line="240" w:lineRule="auto"/>
        <w:ind w:firstLine="640"/>
        <w:jc w:val="both"/>
      </w:pPr>
      <w:r>
        <w:rPr>
          <w:rFonts w:ascii="仿宋_GB2312" w:hAnsi="仿宋_GB2312" w:eastAsia="仿宋_GB2312"/>
          <w:b w:val="0"/>
          <w:sz w:val="32"/>
        </w:rPr>
        <w:t>八、《国有资本经营预算财政拨款收入支出决算表》</w:t>
      </w:r>
    </w:p>
    <w:p w14:paraId="53D3E2E3">
      <w:pPr>
        <w:spacing w:line="240" w:lineRule="auto"/>
        <w:ind w:firstLine="640"/>
        <w:jc w:val="both"/>
      </w:pPr>
      <w:r>
        <w:rPr>
          <w:rFonts w:ascii="仿宋_GB2312" w:hAnsi="仿宋_GB2312" w:eastAsia="仿宋_GB2312"/>
          <w:b w:val="0"/>
          <w:sz w:val="32"/>
        </w:rPr>
        <w:t>九、《财政拨款“三公”经费支出决算表》</w:t>
      </w:r>
    </w:p>
    <w:p w14:paraId="14753EE4">
      <w:pPr>
        <w:spacing w:line="240" w:lineRule="auto"/>
        <w:ind w:firstLine="640"/>
        <w:jc w:val="both"/>
      </w:pPr>
    </w:p>
    <w:p w14:paraId="198F24A6">
      <w:pPr>
        <w:spacing w:line="240" w:lineRule="auto"/>
        <w:ind w:firstLine="640"/>
        <w:jc w:val="both"/>
      </w:pPr>
    </w:p>
    <w:p w14:paraId="5565DD36">
      <w:pPr>
        <w:spacing w:line="240" w:lineRule="auto"/>
        <w:ind w:firstLine="640"/>
        <w:jc w:val="both"/>
      </w:pPr>
    </w:p>
    <w:p w14:paraId="0E744B83">
      <w:pPr>
        <w:spacing w:line="240" w:lineRule="auto"/>
        <w:ind w:firstLine="640"/>
        <w:jc w:val="both"/>
      </w:pPr>
    </w:p>
    <w:p w14:paraId="69B5EB2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30665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5464</Words>
  <Characters>6178</Characters>
  <Lines>0</Lines>
  <Paragraphs>0</Paragraphs>
  <TotalTime>1</TotalTime>
  <ScaleCrop>false</ScaleCrop>
  <LinksUpToDate>false</LinksUpToDate>
  <CharactersWithSpaces>6188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