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岳普湖县人民医院2024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E31EB27">
      <w:r>
        <w:br w:type="page"/>
      </w:r>
    </w:p>
    <w:p w14:paraId="105F1589">
      <w:pPr>
        <w:spacing w:line="640" w:lineRule="exact"/>
        <w:jc w:val="center"/>
        <w:outlineLvl w:val="1"/>
      </w:pPr>
      <w:r>
        <w:rPr>
          <w:rFonts w:ascii="黑体" w:hAnsi="黑体" w:eastAsia="黑体"/>
          <w:sz w:val="32"/>
        </w:rPr>
        <w:t>第一部分 单位概况</w:t>
      </w:r>
    </w:p>
    <w:p w14:paraId="6817741A">
      <w:pPr>
        <w:spacing w:line="640" w:lineRule="exact"/>
        <w:ind w:firstLine="640"/>
        <w:jc w:val="both"/>
        <w:outlineLvl w:val="2"/>
      </w:pPr>
      <w:r>
        <w:rPr>
          <w:rFonts w:ascii="黑体" w:hAnsi="黑体" w:eastAsia="黑体"/>
          <w:sz w:val="32"/>
        </w:rPr>
        <w:t>一、主要职能</w:t>
      </w:r>
    </w:p>
    <w:p w14:paraId="48300E6C">
      <w:pPr>
        <w:spacing w:line="580" w:lineRule="exact"/>
        <w:ind w:firstLine="640"/>
        <w:jc w:val="both"/>
      </w:pPr>
      <w:r>
        <w:rPr>
          <w:rFonts w:ascii="仿宋_GB2312" w:hAnsi="仿宋_GB2312" w:eastAsia="仿宋_GB2312"/>
          <w:sz w:val="32"/>
        </w:rPr>
        <w:t>岳普湖县人民医院差额拨款事业单位，医院的主要职能为人民身体健康提供医疗与护理保健服务，医疗与护理，医学教学，医学研究，卫生技术人员继续教育，保健与健康教育。</w:t>
      </w:r>
    </w:p>
    <w:p w14:paraId="3B3646E4">
      <w:pPr>
        <w:spacing w:line="640" w:lineRule="exact"/>
        <w:ind w:firstLine="640"/>
        <w:jc w:val="both"/>
        <w:outlineLvl w:val="2"/>
      </w:pPr>
      <w:r>
        <w:rPr>
          <w:rFonts w:ascii="黑体" w:hAnsi="黑体" w:eastAsia="黑体"/>
          <w:sz w:val="32"/>
        </w:rPr>
        <w:t>二、机构设置及人员情况</w:t>
      </w:r>
    </w:p>
    <w:p w14:paraId="020A2708">
      <w:pPr>
        <w:spacing w:line="580" w:lineRule="exact"/>
        <w:ind w:firstLine="640"/>
        <w:jc w:val="both"/>
      </w:pPr>
      <w:r>
        <w:rPr>
          <w:rFonts w:ascii="仿宋_GB2312" w:hAnsi="仿宋_GB2312" w:eastAsia="仿宋_GB2312"/>
          <w:sz w:val="32"/>
        </w:rPr>
        <w:t>岳普湖县人民医院2024年度，实有人数279人，其中：在职人员185人，减少7人；离休人员0人，增加0人；退休人员94人,增加8人。</w:t>
      </w:r>
    </w:p>
    <w:p w14:paraId="1F8932E6">
      <w:pPr>
        <w:spacing w:line="580" w:lineRule="exact"/>
        <w:ind w:firstLine="640"/>
        <w:jc w:val="both"/>
      </w:pPr>
      <w:r>
        <w:rPr>
          <w:rFonts w:ascii="仿宋_GB2312" w:hAnsi="仿宋_GB2312" w:eastAsia="仿宋_GB2312"/>
          <w:sz w:val="32"/>
        </w:rPr>
        <w:t>岳普湖县人民医院无下属预算单位，下设21个科室，分别是：财务科、放射科、信息科、采购办、项目办、公共卫生科、外一科、外二科、内二科、内一科、康复科、中医科、妇产科、五官科、B超室、眼科、人事科、医务科、采购办、总务科、保卫科。</w:t>
      </w:r>
    </w:p>
    <w:p w14:paraId="0B10B399">
      <w:r>
        <w:br w:type="page"/>
      </w:r>
    </w:p>
    <w:p w14:paraId="75F53EF8">
      <w:pPr>
        <w:spacing w:line="240" w:lineRule="auto"/>
        <w:jc w:val="center"/>
        <w:outlineLvl w:val="1"/>
      </w:pPr>
      <w:r>
        <w:rPr>
          <w:rFonts w:ascii="黑体" w:hAnsi="黑体" w:eastAsia="黑体"/>
          <w:sz w:val="32"/>
        </w:rPr>
        <w:t>第二部分 部门决算情况说明</w:t>
      </w:r>
    </w:p>
    <w:p w14:paraId="550D2ABD">
      <w:pPr>
        <w:spacing w:line="640" w:lineRule="exact"/>
        <w:ind w:firstLine="640"/>
        <w:jc w:val="both"/>
        <w:outlineLvl w:val="2"/>
      </w:pPr>
      <w:r>
        <w:rPr>
          <w:rFonts w:ascii="黑体" w:hAnsi="黑体" w:eastAsia="黑体"/>
          <w:sz w:val="32"/>
        </w:rPr>
        <w:t>一、收入支出决算总体情况说明</w:t>
      </w:r>
    </w:p>
    <w:p w14:paraId="50E667E7">
      <w:pPr>
        <w:spacing w:line="580" w:lineRule="exact"/>
        <w:ind w:firstLine="640"/>
        <w:jc w:val="both"/>
      </w:pPr>
      <w:r>
        <w:rPr>
          <w:rFonts w:ascii="仿宋_GB2312" w:hAnsi="仿宋_GB2312" w:eastAsia="仿宋_GB2312"/>
          <w:b/>
          <w:sz w:val="32"/>
        </w:rPr>
        <w:t>2024年度收入总计21,250.59万元，</w:t>
      </w:r>
      <w:r>
        <w:rPr>
          <w:rFonts w:ascii="仿宋_GB2312" w:hAnsi="仿宋_GB2312" w:eastAsia="仿宋_GB2312"/>
          <w:b w:val="0"/>
          <w:sz w:val="32"/>
        </w:rPr>
        <w:t>其中：本年收入合计19,050.47万元，使用非财政拨款结余（含专用结余）2,200.13万元，年初结转和结余0.00万元。</w:t>
      </w:r>
    </w:p>
    <w:p w14:paraId="2753FA58">
      <w:pPr>
        <w:spacing w:line="580" w:lineRule="exact"/>
        <w:ind w:firstLine="640"/>
        <w:jc w:val="both"/>
      </w:pPr>
      <w:r>
        <w:rPr>
          <w:rFonts w:ascii="仿宋_GB2312" w:hAnsi="仿宋_GB2312" w:eastAsia="仿宋_GB2312"/>
          <w:b/>
          <w:sz w:val="32"/>
        </w:rPr>
        <w:t>2024年度支出总计21,250.59万元，</w:t>
      </w:r>
      <w:r>
        <w:rPr>
          <w:rFonts w:ascii="仿宋_GB2312" w:hAnsi="仿宋_GB2312" w:eastAsia="仿宋_GB2312"/>
          <w:b w:val="0"/>
          <w:sz w:val="32"/>
        </w:rPr>
        <w:t>其中：本年支出合计21,250.59万元，结余分配0.00万元，年末结转和结余0.00万元。</w:t>
      </w:r>
    </w:p>
    <w:p w14:paraId="3F5D4823">
      <w:pPr>
        <w:spacing w:line="580" w:lineRule="exact"/>
        <w:ind w:firstLine="640"/>
        <w:jc w:val="both"/>
      </w:pPr>
      <w:r>
        <w:rPr>
          <w:rFonts w:ascii="仿宋_GB2312" w:hAnsi="仿宋_GB2312" w:eastAsia="仿宋_GB2312"/>
          <w:b w:val="0"/>
          <w:sz w:val="32"/>
        </w:rPr>
        <w:t>收入支出总体与上年相比，增加3,018.22万元，增长16.55%，主要原因是：就诊患者增加，事业收入增加。</w:t>
      </w:r>
    </w:p>
    <w:p w14:paraId="0818765E">
      <w:pPr>
        <w:spacing w:line="640" w:lineRule="exact"/>
        <w:ind w:firstLine="640"/>
        <w:jc w:val="both"/>
        <w:outlineLvl w:val="2"/>
      </w:pPr>
      <w:r>
        <w:rPr>
          <w:rFonts w:ascii="黑体" w:hAnsi="黑体" w:eastAsia="黑体"/>
          <w:sz w:val="32"/>
        </w:rPr>
        <w:t>二、收入决算情况说明</w:t>
      </w:r>
    </w:p>
    <w:p w14:paraId="4D30222E">
      <w:pPr>
        <w:spacing w:line="580" w:lineRule="exact"/>
        <w:ind w:firstLine="640"/>
        <w:jc w:val="both"/>
      </w:pPr>
      <w:r>
        <w:rPr>
          <w:rFonts w:ascii="仿宋_GB2312" w:hAnsi="仿宋_GB2312" w:eastAsia="仿宋_GB2312"/>
          <w:b/>
          <w:sz w:val="32"/>
        </w:rPr>
        <w:t>本年收入19,050.47万元，</w:t>
      </w:r>
      <w:r>
        <w:rPr>
          <w:rFonts w:ascii="仿宋_GB2312" w:hAnsi="仿宋_GB2312" w:eastAsia="仿宋_GB2312"/>
          <w:b w:val="0"/>
          <w:sz w:val="32"/>
        </w:rPr>
        <w:t>其中：财政拨款收入3,202.71万元，占16.81%；上级补助收入0.00万元，占0.00%；事业收入15,550.50万元，占81.63%；经营收入0.00万元，占0.00%；附属单位上缴收入0.00万元，占0.00%；其他收入297.26万元，占1.56%。</w:t>
      </w:r>
    </w:p>
    <w:p w14:paraId="3162CC63">
      <w:pPr>
        <w:spacing w:line="640" w:lineRule="exact"/>
        <w:ind w:firstLine="640"/>
        <w:jc w:val="both"/>
        <w:outlineLvl w:val="2"/>
      </w:pPr>
      <w:r>
        <w:rPr>
          <w:rFonts w:ascii="黑体" w:hAnsi="黑体" w:eastAsia="黑体"/>
          <w:sz w:val="32"/>
        </w:rPr>
        <w:t>三、支出决算情况说明</w:t>
      </w:r>
    </w:p>
    <w:p w14:paraId="75C49B4C">
      <w:pPr>
        <w:spacing w:line="580" w:lineRule="exact"/>
        <w:ind w:firstLine="640"/>
        <w:jc w:val="both"/>
      </w:pPr>
      <w:r>
        <w:rPr>
          <w:rFonts w:ascii="仿宋_GB2312" w:hAnsi="仿宋_GB2312" w:eastAsia="仿宋_GB2312"/>
          <w:b/>
          <w:sz w:val="32"/>
        </w:rPr>
        <w:t>本年支出21,250.59万元，</w:t>
      </w:r>
      <w:r>
        <w:rPr>
          <w:rFonts w:ascii="仿宋_GB2312" w:hAnsi="仿宋_GB2312" w:eastAsia="仿宋_GB2312"/>
          <w:b w:val="0"/>
          <w:sz w:val="32"/>
        </w:rPr>
        <w:t>其中：基本支出20,663.42万元，占97.24%；项目支出587.17万元，占2.76%；上缴上级支出0.00万元，占0.00%；经营支出0.00万元，占0.00%；对附属单位补助支出0.00万元，占0.00%。</w:t>
      </w:r>
    </w:p>
    <w:p w14:paraId="62E3AB39">
      <w:pPr>
        <w:spacing w:line="640" w:lineRule="exact"/>
        <w:ind w:firstLine="640"/>
        <w:jc w:val="both"/>
        <w:outlineLvl w:val="2"/>
      </w:pPr>
      <w:r>
        <w:rPr>
          <w:rFonts w:ascii="黑体" w:hAnsi="黑体" w:eastAsia="黑体"/>
          <w:sz w:val="32"/>
        </w:rPr>
        <w:t>四、财政拨款收入支出决算总体情况说明</w:t>
      </w:r>
    </w:p>
    <w:p w14:paraId="190FE56C">
      <w:pPr>
        <w:spacing w:line="580" w:lineRule="exact"/>
        <w:ind w:firstLine="640"/>
        <w:jc w:val="both"/>
      </w:pPr>
      <w:r>
        <w:rPr>
          <w:rFonts w:ascii="仿宋_GB2312" w:hAnsi="仿宋_GB2312" w:eastAsia="仿宋_GB2312"/>
          <w:b/>
          <w:sz w:val="32"/>
        </w:rPr>
        <w:t>2024年度财政拨款收入总计3,202.71万元，</w:t>
      </w:r>
      <w:r>
        <w:rPr>
          <w:rFonts w:ascii="仿宋_GB2312" w:hAnsi="仿宋_GB2312" w:eastAsia="仿宋_GB2312"/>
          <w:b w:val="0"/>
          <w:sz w:val="32"/>
        </w:rPr>
        <w:t>其中：年初财政拨款结转和结余0.00万元，本年财政拨款收入3,202.71万元。</w:t>
      </w:r>
      <w:r>
        <w:rPr>
          <w:rFonts w:ascii="仿宋_GB2312" w:hAnsi="仿宋_GB2312" w:eastAsia="仿宋_GB2312"/>
          <w:b/>
          <w:sz w:val="32"/>
        </w:rPr>
        <w:t>财政拨款支出总计3,202.71万元，</w:t>
      </w:r>
      <w:r>
        <w:rPr>
          <w:rFonts w:ascii="仿宋_GB2312" w:hAnsi="仿宋_GB2312" w:eastAsia="仿宋_GB2312"/>
          <w:b w:val="0"/>
          <w:sz w:val="32"/>
        </w:rPr>
        <w:t>其中：年末财政拨款结转和结余0.00万元，本年财政拨款支出3,202.71万元。</w:t>
      </w:r>
    </w:p>
    <w:p w14:paraId="2E125C8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减少360.39万元，下降10.11%，主要原因是：本年度中央医疗服务与保障能力提升项目减少；基本公共卫生服务补助资金减少。</w:t>
      </w:r>
      <w:r>
        <w:rPr>
          <w:rFonts w:ascii="仿宋_GB2312" w:hAnsi="仿宋_GB2312" w:eastAsia="仿宋_GB2312"/>
          <w:b/>
          <w:sz w:val="32"/>
        </w:rPr>
        <w:t>与年初预算相比，</w:t>
      </w:r>
      <w:r>
        <w:rPr>
          <w:rFonts w:ascii="仿宋_GB2312" w:hAnsi="仿宋_GB2312" w:eastAsia="仿宋_GB2312"/>
          <w:b w:val="0"/>
          <w:sz w:val="32"/>
        </w:rPr>
        <w:t>年初预算数3,111.41万元，决算数3,202.71万元，预决算差异率2.93%，主要原因是：年中追加人员工资、社保、公积金基数调增部分资金，导致预决算存在差异；年中追加2024年中央专项彩票公益金老年听力障碍测听筛查项目和儿童护齿项目，导致预决算存在差异。</w:t>
      </w:r>
    </w:p>
    <w:p w14:paraId="53FD7FD7">
      <w:pPr>
        <w:spacing w:line="640" w:lineRule="exact"/>
        <w:ind w:firstLine="640"/>
        <w:jc w:val="both"/>
        <w:outlineLvl w:val="2"/>
      </w:pPr>
      <w:r>
        <w:rPr>
          <w:rFonts w:ascii="黑体" w:hAnsi="黑体" w:eastAsia="黑体"/>
          <w:sz w:val="32"/>
        </w:rPr>
        <w:t>五、一般公共预算财政拨款支出决算情况说明</w:t>
      </w:r>
    </w:p>
    <w:p w14:paraId="72AB5E55">
      <w:pPr>
        <w:spacing w:line="640" w:lineRule="exact"/>
        <w:ind w:firstLine="640"/>
        <w:jc w:val="both"/>
        <w:outlineLvl w:val="3"/>
      </w:pPr>
      <w:r>
        <w:rPr>
          <w:rFonts w:ascii="楷体_GB2312" w:hAnsi="楷体_GB2312" w:eastAsia="楷体_GB2312"/>
          <w:b/>
          <w:sz w:val="32"/>
        </w:rPr>
        <w:t>（一）一般公共预算财政拨款支出决算总体情况</w:t>
      </w:r>
    </w:p>
    <w:p w14:paraId="20CADBCE">
      <w:pPr>
        <w:spacing w:line="580" w:lineRule="exact"/>
        <w:ind w:firstLine="640"/>
        <w:jc w:val="both"/>
      </w:pPr>
      <w:r>
        <w:rPr>
          <w:rFonts w:ascii="仿宋_GB2312" w:hAnsi="仿宋_GB2312" w:eastAsia="仿宋_GB2312"/>
          <w:b/>
          <w:sz w:val="32"/>
        </w:rPr>
        <w:t>2024年度一般公共预算财政拨款支出3,196.41万元，</w:t>
      </w:r>
      <w:r>
        <w:rPr>
          <w:rFonts w:ascii="仿宋_GB2312" w:hAnsi="仿宋_GB2312" w:eastAsia="仿宋_GB2312"/>
          <w:b w:val="0"/>
          <w:sz w:val="32"/>
        </w:rPr>
        <w:t>占本年支出合计的15.04%。</w:t>
      </w:r>
      <w:r>
        <w:rPr>
          <w:rFonts w:ascii="仿宋_GB2312" w:hAnsi="仿宋_GB2312" w:eastAsia="仿宋_GB2312"/>
          <w:b/>
          <w:sz w:val="32"/>
        </w:rPr>
        <w:t>与上年相比，</w:t>
      </w:r>
      <w:r>
        <w:rPr>
          <w:rFonts w:ascii="仿宋_GB2312" w:hAnsi="仿宋_GB2312" w:eastAsia="仿宋_GB2312"/>
          <w:b w:val="0"/>
          <w:sz w:val="32"/>
        </w:rPr>
        <w:t>减少366.69万元，下降10.29%，主要原因是：本年度中央医疗服务与保障能力提升项目减少；基本公共卫生服务补助资金减少。</w:t>
      </w:r>
      <w:r>
        <w:rPr>
          <w:rFonts w:ascii="仿宋_GB2312" w:hAnsi="仿宋_GB2312" w:eastAsia="仿宋_GB2312"/>
          <w:b/>
          <w:sz w:val="32"/>
        </w:rPr>
        <w:t>与年初预算相比,</w:t>
      </w:r>
      <w:r>
        <w:rPr>
          <w:rFonts w:ascii="仿宋_GB2312" w:hAnsi="仿宋_GB2312" w:eastAsia="仿宋_GB2312"/>
          <w:b w:val="0"/>
          <w:sz w:val="32"/>
        </w:rPr>
        <w:t>年初预算数3,111.41万元，决算数3,196.41万元，预决算差异率2.73%，主要原因是：年中追加人员工资、社保、公积金基数调增部分资金，导致预决算存在差异。</w:t>
      </w:r>
    </w:p>
    <w:p w14:paraId="57A0D3A6">
      <w:pPr>
        <w:spacing w:line="640" w:lineRule="exact"/>
        <w:ind w:firstLine="640"/>
        <w:jc w:val="both"/>
        <w:outlineLvl w:val="3"/>
      </w:pPr>
      <w:r>
        <w:rPr>
          <w:rFonts w:ascii="楷体_GB2312" w:hAnsi="楷体_GB2312" w:eastAsia="楷体_GB2312"/>
          <w:b/>
          <w:sz w:val="32"/>
        </w:rPr>
        <w:t>（二）一般公共预算财政拨款支出决算结构情况</w:t>
      </w:r>
    </w:p>
    <w:p w14:paraId="08DF1C20">
      <w:pPr>
        <w:spacing w:line="580" w:lineRule="exact"/>
        <w:ind w:firstLine="640"/>
        <w:jc w:val="both"/>
      </w:pPr>
      <w:r>
        <w:rPr>
          <w:rFonts w:ascii="仿宋_GB2312" w:hAnsi="仿宋_GB2312" w:eastAsia="仿宋_GB2312"/>
          <w:b w:val="0"/>
          <w:sz w:val="32"/>
        </w:rPr>
        <w:t>1.科学技术支出(类)24.00万元,占0.75%。</w:t>
      </w:r>
    </w:p>
    <w:p w14:paraId="60FC05A7">
      <w:pPr>
        <w:spacing w:line="580" w:lineRule="exact"/>
        <w:ind w:firstLine="640"/>
        <w:jc w:val="both"/>
      </w:pPr>
      <w:r>
        <w:rPr>
          <w:rFonts w:ascii="仿宋_GB2312" w:hAnsi="仿宋_GB2312" w:eastAsia="仿宋_GB2312"/>
          <w:b w:val="0"/>
          <w:sz w:val="32"/>
        </w:rPr>
        <w:t>2.社会保障和就业支出(类)415.16万元,占12.99%。</w:t>
      </w:r>
    </w:p>
    <w:p w14:paraId="1E0B8AAE">
      <w:pPr>
        <w:spacing w:line="580" w:lineRule="exact"/>
        <w:ind w:firstLine="640"/>
        <w:jc w:val="both"/>
      </w:pPr>
      <w:r>
        <w:rPr>
          <w:rFonts w:ascii="仿宋_GB2312" w:hAnsi="仿宋_GB2312" w:eastAsia="仿宋_GB2312"/>
          <w:b w:val="0"/>
          <w:sz w:val="32"/>
        </w:rPr>
        <w:t>3.卫生健康支出(类)2,757.25万元,占86.26%。</w:t>
      </w:r>
    </w:p>
    <w:p w14:paraId="7BF13027">
      <w:pPr>
        <w:spacing w:line="640" w:lineRule="exact"/>
        <w:ind w:firstLine="640"/>
        <w:jc w:val="both"/>
        <w:outlineLvl w:val="3"/>
      </w:pPr>
      <w:r>
        <w:rPr>
          <w:rFonts w:ascii="楷体_GB2312" w:hAnsi="楷体_GB2312" w:eastAsia="楷体_GB2312"/>
          <w:b/>
          <w:sz w:val="32"/>
        </w:rPr>
        <w:t>（三）一般公共预算财政拨款支出决算具体情况</w:t>
      </w:r>
    </w:p>
    <w:p w14:paraId="165723CE">
      <w:pPr>
        <w:spacing w:line="580" w:lineRule="exact"/>
        <w:ind w:firstLine="640"/>
        <w:jc w:val="both"/>
      </w:pPr>
      <w:r>
        <w:rPr>
          <w:rFonts w:ascii="仿宋_GB2312" w:hAnsi="仿宋_GB2312" w:eastAsia="仿宋_GB2312"/>
          <w:b w:val="0"/>
          <w:sz w:val="32"/>
        </w:rPr>
        <w:t>1.科学技术支出(类)基础研究(款)科技人才队伍建设(项):支出决算数为24.00万元，比上年决算增加24.00万元，增长100.00%,主要原因是：本年度增加2024年智力援疆创新拓展人才计划项目。</w:t>
      </w:r>
    </w:p>
    <w:p w14:paraId="269FA604">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278.49万元，比上年决算增加23.81万元，增长9.35%,主要原因是：本年在职人员工资基数调增，养老缴费基数上涨，相应支出增加。</w:t>
      </w:r>
    </w:p>
    <w:p w14:paraId="5815F80A">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3.社会保障和就业支出(类)行政事业单位养老支出(款)机关事业单位职业年金缴费支出(项):支出决算数为136.68万元，比上年决算增加9.28万元，增长7.28%,主要原因是：本年新增退休人员，职业年金缴费支出增加。</w:t>
      </w:r>
    </w:p>
    <w:p w14:paraId="7F549AF7">
      <w:pPr>
        <w:spacing w:line="580" w:lineRule="exact"/>
        <w:ind w:firstLine="640"/>
        <w:jc w:val="both"/>
      </w:pPr>
      <w:r>
        <w:rPr>
          <w:rFonts w:ascii="仿宋_GB2312" w:hAnsi="仿宋_GB2312" w:eastAsia="仿宋_GB2312"/>
          <w:b w:val="0"/>
          <w:sz w:val="32"/>
        </w:rPr>
        <w:t>4.卫生健康支出(类)公立医院(款)综合医院(项):支出决算数为2,456.40万元，比上年决算减少374.52万元，下降13.23%,主要原因是：本年基本公共卫生服务补助资金减少。</w:t>
      </w:r>
    </w:p>
    <w:p w14:paraId="1FE9C450">
      <w:pPr>
        <w:spacing w:line="580" w:lineRule="exact"/>
        <w:ind w:firstLine="640"/>
        <w:jc w:val="both"/>
      </w:pPr>
      <w:r>
        <w:rPr>
          <w:rFonts w:ascii="仿宋_GB2312" w:hAnsi="仿宋_GB2312" w:eastAsia="仿宋_GB2312"/>
          <w:b w:val="0"/>
          <w:sz w:val="32"/>
        </w:rPr>
        <w:t>5.卫生健康支出(类)公立医院(款)其他公立医院支出(项):支出决算数为287.65万元，比上年决算增加287.65万元，增长100.00%,主要原因是：本年增加2024年干部人才选派项目、医疗机构能力建设项目。</w:t>
      </w:r>
    </w:p>
    <w:p w14:paraId="3C53E28F">
      <w:pPr>
        <w:spacing w:line="580" w:lineRule="exact"/>
        <w:ind w:firstLine="640"/>
        <w:jc w:val="both"/>
      </w:pPr>
      <w:r>
        <w:rPr>
          <w:rFonts w:ascii="仿宋_GB2312" w:hAnsi="仿宋_GB2312" w:eastAsia="仿宋_GB2312"/>
          <w:b w:val="0"/>
          <w:sz w:val="32"/>
        </w:rPr>
        <w:t>6.卫生健康支出(类)公共卫生(款)应急救治机构(项):支出决算数为0.00万元，比上年决算减少34.48万元，下降100.00%,主要原因是：本年度中央医疗服务与保障能力提升项目减少。</w:t>
      </w:r>
    </w:p>
    <w:p w14:paraId="4DEDCF77">
      <w:pPr>
        <w:spacing w:line="580" w:lineRule="exact"/>
        <w:ind w:firstLine="640"/>
        <w:jc w:val="both"/>
      </w:pPr>
      <w:r>
        <w:rPr>
          <w:rFonts w:ascii="仿宋_GB2312" w:hAnsi="仿宋_GB2312" w:eastAsia="仿宋_GB2312"/>
          <w:b w:val="0"/>
          <w:sz w:val="32"/>
        </w:rPr>
        <w:t>7.卫生健康支出(类)公共卫生(款)基本公共卫生服务(项):支出决算数为2.21万元，比上年决算减少223.00万元，下降99.02%,主要原因是：本年基本公共卫生服务补助资金减少。</w:t>
      </w:r>
    </w:p>
    <w:p w14:paraId="628D2A96">
      <w:pPr>
        <w:spacing w:line="580" w:lineRule="exact"/>
        <w:ind w:firstLine="640"/>
        <w:jc w:val="both"/>
      </w:pPr>
      <w:r>
        <w:rPr>
          <w:rFonts w:ascii="仿宋_GB2312" w:hAnsi="仿宋_GB2312" w:eastAsia="仿宋_GB2312"/>
          <w:b w:val="0"/>
          <w:sz w:val="32"/>
        </w:rPr>
        <w:t>8.卫生健康支出(类)公共卫生(款)重大公共卫生服务(项):支出决算数为11.00万元，比上年决算增加5.90万元，增长115.69%,主要原因是：本年度重大传染病防控补助项目增加。</w:t>
      </w:r>
    </w:p>
    <w:p w14:paraId="54828173">
      <w:pPr>
        <w:spacing w:line="580" w:lineRule="exact"/>
        <w:ind w:firstLine="640"/>
        <w:jc w:val="both"/>
      </w:pPr>
      <w:r>
        <w:rPr>
          <w:rFonts w:ascii="仿宋_GB2312" w:hAnsi="仿宋_GB2312" w:eastAsia="仿宋_GB2312"/>
          <w:b w:val="0"/>
          <w:sz w:val="32"/>
        </w:rPr>
        <w:t>9.卫生健康支出(类)公共卫生(款)突发公共卫生事件应急处理(项):支出决算数为0.00万元，比上年决算减少85.32万元，下降100.00%,主要原因是：本年减少YQ防控补助资金。</w:t>
      </w:r>
    </w:p>
    <w:p w14:paraId="70E8A709">
      <w:pPr>
        <w:spacing w:line="640" w:lineRule="exact"/>
        <w:ind w:firstLine="640"/>
        <w:jc w:val="both"/>
        <w:outlineLvl w:val="2"/>
      </w:pPr>
      <w:r>
        <w:rPr>
          <w:rFonts w:ascii="黑体" w:hAnsi="黑体" w:eastAsia="黑体"/>
          <w:sz w:val="32"/>
        </w:rPr>
        <w:t>六、一般公共预算财政拨款基本支出决算情况说明</w:t>
      </w:r>
    </w:p>
    <w:p w14:paraId="1B0EA4F8">
      <w:pPr>
        <w:spacing w:line="580" w:lineRule="exact"/>
        <w:ind w:firstLine="640"/>
        <w:jc w:val="both"/>
      </w:pPr>
      <w:r>
        <w:rPr>
          <w:rFonts w:ascii="仿宋_GB2312" w:hAnsi="仿宋_GB2312" w:eastAsia="仿宋_GB2312"/>
          <w:b w:val="0"/>
          <w:sz w:val="32"/>
        </w:rPr>
        <w:t>2024年度一般公共预算财政拨款基本支出2,871.56万元，其中：</w:t>
      </w:r>
      <w:r>
        <w:rPr>
          <w:rFonts w:ascii="仿宋_GB2312" w:hAnsi="仿宋_GB2312" w:eastAsia="仿宋_GB2312"/>
          <w:b/>
          <w:sz w:val="32"/>
        </w:rPr>
        <w:t>人员经费2,871.56万元，</w:t>
      </w:r>
      <w:r>
        <w:rPr>
          <w:rFonts w:ascii="仿宋_GB2312" w:hAnsi="仿宋_GB2312" w:eastAsia="仿宋_GB2312"/>
          <w:b w:val="0"/>
          <w:sz w:val="32"/>
        </w:rPr>
        <w:t>包括：基本工资、津贴补贴、绩效工资、机关事业单位基本养老保险缴费、职业年金缴费、职工基本医疗保险缴费、其他社会保障缴费、住房公积金、退休费、抚恤金、生活补助。</w:t>
      </w:r>
    </w:p>
    <w:p w14:paraId="2C9EA80A">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115A25D6">
      <w:pPr>
        <w:spacing w:line="640" w:lineRule="exact"/>
        <w:ind w:firstLine="640"/>
        <w:jc w:val="both"/>
        <w:outlineLvl w:val="2"/>
      </w:pPr>
      <w:r>
        <w:rPr>
          <w:rFonts w:ascii="黑体" w:hAnsi="黑体" w:eastAsia="黑体"/>
          <w:sz w:val="32"/>
        </w:rPr>
        <w:t>七、政府性基金预算财政拨款收入支出决算情况说明</w:t>
      </w:r>
    </w:p>
    <w:p w14:paraId="4D48A03A">
      <w:pPr>
        <w:spacing w:line="580" w:lineRule="exact"/>
        <w:ind w:firstLine="640"/>
        <w:jc w:val="both"/>
      </w:pPr>
      <w:r>
        <w:rPr>
          <w:rFonts w:ascii="仿宋_GB2312" w:hAnsi="仿宋_GB2312" w:eastAsia="仿宋_GB2312"/>
          <w:b/>
          <w:sz w:val="32"/>
        </w:rPr>
        <w:t>2024年度政府性基金预算财政拨款收入总计6.30万元，</w:t>
      </w:r>
      <w:r>
        <w:rPr>
          <w:rFonts w:ascii="仿宋_GB2312" w:hAnsi="仿宋_GB2312" w:eastAsia="仿宋_GB2312"/>
          <w:b w:val="0"/>
          <w:sz w:val="32"/>
        </w:rPr>
        <w:t>其中：年初结转和结余0.00万元，本年收入6.30万元。</w:t>
      </w:r>
      <w:r>
        <w:rPr>
          <w:rFonts w:ascii="仿宋_GB2312" w:hAnsi="仿宋_GB2312" w:eastAsia="仿宋_GB2312"/>
          <w:b/>
          <w:sz w:val="32"/>
        </w:rPr>
        <w:t>政府性基金预算财政拨款支出总计6.30万元，</w:t>
      </w:r>
      <w:r>
        <w:rPr>
          <w:rFonts w:ascii="仿宋_GB2312" w:hAnsi="仿宋_GB2312" w:eastAsia="仿宋_GB2312"/>
          <w:b w:val="0"/>
          <w:sz w:val="32"/>
        </w:rPr>
        <w:t>其中：年末结转和结余0.00万元，本年支出6.30万元。</w:t>
      </w:r>
    </w:p>
    <w:p w14:paraId="6E4013D2">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增加6.30万元，增长100.00%，主要原因是：2024年增加中央专项彩票公益金老年听力障碍测听筛查项目和儿童护齿项目资金。</w:t>
      </w:r>
      <w:r>
        <w:rPr>
          <w:rFonts w:ascii="仿宋_GB2312" w:hAnsi="仿宋_GB2312" w:eastAsia="仿宋_GB2312"/>
          <w:b/>
          <w:sz w:val="32"/>
        </w:rPr>
        <w:t>与年初预算相比，</w:t>
      </w:r>
      <w:r>
        <w:rPr>
          <w:rFonts w:ascii="仿宋_GB2312" w:hAnsi="仿宋_GB2312" w:eastAsia="仿宋_GB2312"/>
          <w:b w:val="0"/>
          <w:sz w:val="32"/>
        </w:rPr>
        <w:t>年初预算数0.00万元，决算数6.30万元，预决算差异率100.00%，主要原因是：年中追加2024年中央专项彩票公益金老年听力障碍测听筛查项目和儿童护齿项目，导致预决算存在差异。</w:t>
      </w:r>
    </w:p>
    <w:p w14:paraId="1D3C4D73">
      <w:pPr>
        <w:spacing w:line="580" w:lineRule="exact"/>
        <w:ind w:firstLine="640"/>
        <w:jc w:val="both"/>
      </w:pPr>
      <w:r>
        <w:rPr>
          <w:rFonts w:ascii="仿宋_GB2312" w:hAnsi="仿宋_GB2312" w:eastAsia="仿宋_GB2312"/>
          <w:b w:val="0"/>
          <w:sz w:val="32"/>
        </w:rPr>
        <w:t>政府性基金预算财政拨款支出6.30万元。</w:t>
      </w:r>
    </w:p>
    <w:p w14:paraId="7E12FBCE">
      <w:pPr>
        <w:spacing w:line="580" w:lineRule="exact"/>
        <w:ind w:firstLine="640"/>
        <w:jc w:val="both"/>
      </w:pPr>
      <w:r>
        <w:rPr>
          <w:rFonts w:ascii="仿宋_GB2312" w:hAnsi="仿宋_GB2312" w:eastAsia="仿宋_GB2312"/>
          <w:b w:val="0"/>
          <w:sz w:val="32"/>
        </w:rPr>
        <w:t>1.其他支出(类)彩票公益金安排的支出(款)用于城乡医疗救助的彩票公益金支出(项):支出决算数为6.30万元，比上年决算增加6.30万元，增长100.00%,主要原因是：2024年增加中央专项彩票公益金老年听力障碍测听筛查项目和儿童护齿项目资金。</w:t>
      </w:r>
    </w:p>
    <w:p w14:paraId="0738D11C">
      <w:pPr>
        <w:spacing w:line="640" w:lineRule="exact"/>
        <w:ind w:firstLine="640"/>
        <w:jc w:val="both"/>
        <w:outlineLvl w:val="2"/>
      </w:pPr>
      <w:r>
        <w:rPr>
          <w:rFonts w:ascii="黑体" w:hAnsi="黑体" w:eastAsia="黑体"/>
          <w:sz w:val="32"/>
        </w:rPr>
        <w:t>八、国有资本经营预算财政拨款收入支出决算情况说明</w:t>
      </w:r>
    </w:p>
    <w:p w14:paraId="73D6B90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8E2D367">
      <w:pPr>
        <w:spacing w:line="640" w:lineRule="exact"/>
        <w:ind w:firstLine="640"/>
        <w:jc w:val="both"/>
        <w:outlineLvl w:val="2"/>
      </w:pPr>
      <w:r>
        <w:rPr>
          <w:rFonts w:ascii="黑体" w:hAnsi="黑体" w:eastAsia="黑体"/>
          <w:sz w:val="32"/>
        </w:rPr>
        <w:t>九、财政拨款“三公”经费支出决算情况说明</w:t>
      </w:r>
    </w:p>
    <w:p w14:paraId="0477383D">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72EC79E">
      <w:pPr>
        <w:spacing w:line="580" w:lineRule="exact"/>
        <w:ind w:firstLine="640"/>
        <w:jc w:val="both"/>
      </w:pPr>
      <w:r>
        <w:rPr>
          <w:rFonts w:ascii="仿宋_GB2312" w:hAnsi="仿宋_GB2312" w:eastAsia="仿宋_GB2312"/>
          <w:b/>
          <w:sz w:val="32"/>
        </w:rPr>
        <w:t>具体情况如下：</w:t>
      </w:r>
    </w:p>
    <w:p w14:paraId="68D8591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8B29918">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12辆，与公务用车保有量差异原因是：差异车辆为</w:t>
      </w:r>
      <w:bookmarkStart w:id="0" w:name="_GoBack"/>
      <w:r>
        <w:rPr>
          <w:rFonts w:hint="eastAsia" w:ascii="仿宋_GB2312" w:hAnsi="仿宋_GB2312" w:eastAsia="仿宋_GB2312"/>
          <w:b w:val="0"/>
          <w:sz w:val="32"/>
          <w:lang w:eastAsia="zh-CN"/>
        </w:rPr>
        <w:t>本单位</w:t>
      </w:r>
      <w:bookmarkEnd w:id="0"/>
      <w:r>
        <w:rPr>
          <w:rFonts w:ascii="仿宋_GB2312" w:hAnsi="仿宋_GB2312" w:eastAsia="仿宋_GB2312"/>
          <w:b w:val="0"/>
          <w:sz w:val="32"/>
        </w:rPr>
        <w:t>救护车，车辆费用未使用财政拨款公务用车运行维护费支付，使用自有资金运行维护。</w:t>
      </w:r>
    </w:p>
    <w:p w14:paraId="15B9FD6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9F2801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8FDBCB9">
      <w:pPr>
        <w:spacing w:line="640" w:lineRule="exact"/>
        <w:ind w:firstLine="640"/>
        <w:jc w:val="both"/>
        <w:outlineLvl w:val="2"/>
      </w:pPr>
      <w:r>
        <w:rPr>
          <w:rFonts w:ascii="黑体" w:hAnsi="黑体" w:eastAsia="黑体"/>
          <w:sz w:val="32"/>
        </w:rPr>
        <w:t>十、其他重要事项的情况说明</w:t>
      </w:r>
    </w:p>
    <w:p w14:paraId="5DEF384F">
      <w:pPr>
        <w:spacing w:line="640" w:lineRule="exact"/>
        <w:ind w:firstLine="640"/>
        <w:jc w:val="both"/>
        <w:outlineLvl w:val="3"/>
      </w:pPr>
      <w:r>
        <w:rPr>
          <w:rFonts w:ascii="楷体_GB2312" w:hAnsi="楷体_GB2312" w:eastAsia="楷体_GB2312"/>
          <w:b/>
          <w:sz w:val="32"/>
        </w:rPr>
        <w:t>（一）机关运行经费及公用经费支出情况</w:t>
      </w:r>
    </w:p>
    <w:p w14:paraId="0311636D">
      <w:pPr>
        <w:spacing w:line="580" w:lineRule="exact"/>
        <w:ind w:firstLine="640"/>
        <w:jc w:val="both"/>
      </w:pPr>
      <w:r>
        <w:rPr>
          <w:rFonts w:ascii="仿宋_GB2312" w:hAnsi="仿宋_GB2312" w:eastAsia="仿宋_GB2312"/>
          <w:b w:val="0"/>
          <w:sz w:val="32"/>
        </w:rPr>
        <w:t>2024年度岳普湖县人民医院（事业单位）公用经费支出0.00万元，比上年增加0.00万元，增长0.00%，主要原因是：2023年与2024年均未安排公用经费支出。</w:t>
      </w:r>
    </w:p>
    <w:p w14:paraId="12437149">
      <w:pPr>
        <w:spacing w:line="640" w:lineRule="exact"/>
        <w:ind w:firstLine="640"/>
        <w:jc w:val="both"/>
        <w:outlineLvl w:val="3"/>
      </w:pPr>
      <w:r>
        <w:rPr>
          <w:rFonts w:ascii="楷体_GB2312" w:hAnsi="楷体_GB2312" w:eastAsia="楷体_GB2312"/>
          <w:b/>
          <w:sz w:val="32"/>
        </w:rPr>
        <w:t>（二）政府采购情况</w:t>
      </w:r>
    </w:p>
    <w:p w14:paraId="1E566831">
      <w:pPr>
        <w:spacing w:line="580" w:lineRule="exact"/>
        <w:ind w:firstLine="640"/>
        <w:jc w:val="both"/>
      </w:pPr>
      <w:r>
        <w:rPr>
          <w:rFonts w:ascii="仿宋_GB2312" w:hAnsi="仿宋_GB2312" w:eastAsia="仿宋_GB2312"/>
          <w:b w:val="0"/>
          <w:sz w:val="32"/>
        </w:rPr>
        <w:t>2024年度政府采购支出总额779.54万元，其中：政府采购货物支出625.90万元、政府采购工程支出67.90万元、政府采购服务支出85.74万元。</w:t>
      </w:r>
    </w:p>
    <w:p w14:paraId="356DA3CD">
      <w:pPr>
        <w:spacing w:line="580" w:lineRule="exact"/>
        <w:ind w:firstLine="640"/>
        <w:jc w:val="both"/>
      </w:pPr>
      <w:r>
        <w:rPr>
          <w:rFonts w:ascii="仿宋_GB2312" w:hAnsi="仿宋_GB2312" w:eastAsia="仿宋_GB2312"/>
          <w:b w:val="0"/>
          <w:sz w:val="32"/>
        </w:rPr>
        <w:t>授予中小企业合同金额498.84万元，占政府采购支出总额的63.99%，其中：授予小微企业合同金额254.92万元，占政府采购支出总额的32.70%。</w:t>
      </w:r>
    </w:p>
    <w:p w14:paraId="7BFE2575">
      <w:pPr>
        <w:spacing w:line="640" w:lineRule="exact"/>
        <w:ind w:firstLine="640"/>
        <w:jc w:val="both"/>
        <w:outlineLvl w:val="3"/>
      </w:pPr>
      <w:r>
        <w:rPr>
          <w:rFonts w:ascii="楷体_GB2312" w:hAnsi="楷体_GB2312" w:eastAsia="楷体_GB2312"/>
          <w:b/>
          <w:sz w:val="32"/>
        </w:rPr>
        <w:t>（三）国有资产占用情况说明</w:t>
      </w:r>
    </w:p>
    <w:p w14:paraId="5C88DB60">
      <w:pPr>
        <w:spacing w:line="580" w:lineRule="exact"/>
        <w:ind w:firstLine="640"/>
        <w:jc w:val="both"/>
      </w:pPr>
      <w:r>
        <w:rPr>
          <w:rFonts w:ascii="仿宋_GB2312" w:hAnsi="仿宋_GB2312" w:eastAsia="仿宋_GB2312"/>
          <w:b w:val="0"/>
          <w:sz w:val="32"/>
        </w:rPr>
        <w:t>截至2024年12月31日，房屋35,501.29平方米，价值14,898.35万元。车辆12辆，价值390.26万元，其中：副部（省）级及以上领导用车0辆、主要负责人用车0辆、机要通信用车0辆、应急保障用车0辆、执法执勤用车0辆、特种专业技术用车11辆、离退休干部服务用车0辆、其他用车1辆，其他用车主要是：医疗救护车。单价100万元（含）以上设备（不含车辆）30台（套）。</w:t>
      </w:r>
    </w:p>
    <w:p w14:paraId="06BFD01A">
      <w:pPr>
        <w:spacing w:line="640" w:lineRule="exact"/>
        <w:ind w:firstLine="640"/>
        <w:jc w:val="both"/>
        <w:outlineLvl w:val="2"/>
      </w:pPr>
      <w:r>
        <w:rPr>
          <w:rFonts w:ascii="黑体" w:hAnsi="黑体" w:eastAsia="黑体"/>
          <w:sz w:val="32"/>
        </w:rPr>
        <w:t>十一、预算绩效的情况说明</w:t>
      </w:r>
    </w:p>
    <w:p w14:paraId="5336CA12">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单位2024年无预算绩效项目。发现的问题及原因：单位2024年无预算绩效项目。下一步改进措施：单位2024年无预算绩效项目。</w:t>
      </w:r>
    </w:p>
    <w:p w14:paraId="6922DD91">
      <w:r>
        <w:br w:type="page"/>
      </w:r>
    </w:p>
    <w:p w14:paraId="45FD76CC">
      <w:pPr>
        <w:spacing w:line="640" w:lineRule="exact"/>
        <w:ind w:firstLine="640"/>
        <w:jc w:val="both"/>
        <w:outlineLvl w:val="2"/>
      </w:pPr>
      <w:r>
        <w:rPr>
          <w:rFonts w:ascii="黑体" w:hAnsi="黑体" w:eastAsia="黑体"/>
          <w:sz w:val="32"/>
        </w:rPr>
        <w:t>十二、其他需说明的事项</w:t>
      </w:r>
    </w:p>
    <w:p w14:paraId="35218456">
      <w:pPr>
        <w:spacing w:line="580" w:lineRule="exact"/>
        <w:ind w:firstLine="640"/>
        <w:jc w:val="both"/>
      </w:pPr>
      <w:r>
        <w:rPr>
          <w:rFonts w:ascii="仿宋_GB2312" w:hAnsi="仿宋_GB2312" w:eastAsia="仿宋_GB2312"/>
          <w:b w:val="0"/>
          <w:sz w:val="32"/>
        </w:rPr>
        <w:t>本年度本单位整体绩效自评表由岳普湖县卫生健康委员会编报并公开。</w:t>
      </w:r>
    </w:p>
    <w:p w14:paraId="27E1361D">
      <w:r>
        <w:br w:type="page"/>
      </w:r>
    </w:p>
    <w:p w14:paraId="0C453F0C">
      <w:pPr>
        <w:spacing w:line="240" w:lineRule="auto"/>
        <w:jc w:val="center"/>
        <w:outlineLvl w:val="1"/>
      </w:pPr>
      <w:r>
        <w:rPr>
          <w:rFonts w:ascii="黑体" w:hAnsi="黑体" w:eastAsia="黑体"/>
          <w:sz w:val="32"/>
        </w:rPr>
        <w:t>第三部分 专业名词解释</w:t>
      </w:r>
    </w:p>
    <w:p w14:paraId="40A7876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3A08EF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4972FE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6C18E2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07383E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EFB5F3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E06D31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FAB7EF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E452F4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1F2360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0B7580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0F6B03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81BD2B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80566B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2BB6FDB">
      <w:r>
        <w:br w:type="page"/>
      </w:r>
    </w:p>
    <w:p w14:paraId="534CE32D">
      <w:pPr>
        <w:spacing w:line="240" w:lineRule="auto"/>
        <w:jc w:val="center"/>
        <w:outlineLvl w:val="1"/>
      </w:pPr>
      <w:r>
        <w:rPr>
          <w:rFonts w:ascii="黑体" w:hAnsi="黑体" w:eastAsia="黑体"/>
          <w:sz w:val="32"/>
        </w:rPr>
        <w:t>第四部分 部门决算报表（见附表）</w:t>
      </w:r>
    </w:p>
    <w:p w14:paraId="7FA47762">
      <w:pPr>
        <w:spacing w:line="240" w:lineRule="auto"/>
        <w:ind w:firstLine="640"/>
        <w:jc w:val="both"/>
      </w:pPr>
      <w:r>
        <w:rPr>
          <w:rFonts w:ascii="仿宋_GB2312" w:hAnsi="仿宋_GB2312" w:eastAsia="仿宋_GB2312"/>
          <w:b w:val="0"/>
          <w:sz w:val="32"/>
        </w:rPr>
        <w:t>一、《收入支出决算总表》</w:t>
      </w:r>
    </w:p>
    <w:p w14:paraId="5193E060">
      <w:pPr>
        <w:spacing w:line="240" w:lineRule="auto"/>
        <w:ind w:firstLine="640"/>
        <w:jc w:val="both"/>
      </w:pPr>
      <w:r>
        <w:rPr>
          <w:rFonts w:ascii="仿宋_GB2312" w:hAnsi="仿宋_GB2312" w:eastAsia="仿宋_GB2312"/>
          <w:b w:val="0"/>
          <w:sz w:val="32"/>
        </w:rPr>
        <w:t>二、《收入决算表》</w:t>
      </w:r>
    </w:p>
    <w:p w14:paraId="090DE09B">
      <w:pPr>
        <w:spacing w:line="240" w:lineRule="auto"/>
        <w:ind w:firstLine="640"/>
        <w:jc w:val="both"/>
      </w:pPr>
      <w:r>
        <w:rPr>
          <w:rFonts w:ascii="仿宋_GB2312" w:hAnsi="仿宋_GB2312" w:eastAsia="仿宋_GB2312"/>
          <w:b w:val="0"/>
          <w:sz w:val="32"/>
        </w:rPr>
        <w:t>三、《支出决算表》</w:t>
      </w:r>
    </w:p>
    <w:p w14:paraId="07EF3DAB">
      <w:pPr>
        <w:spacing w:line="240" w:lineRule="auto"/>
        <w:ind w:firstLine="640"/>
        <w:jc w:val="both"/>
      </w:pPr>
      <w:r>
        <w:rPr>
          <w:rFonts w:ascii="仿宋_GB2312" w:hAnsi="仿宋_GB2312" w:eastAsia="仿宋_GB2312"/>
          <w:b w:val="0"/>
          <w:sz w:val="32"/>
        </w:rPr>
        <w:t>四、《财政拨款收入支出决算总表》</w:t>
      </w:r>
    </w:p>
    <w:p w14:paraId="5AB5E3BE">
      <w:pPr>
        <w:spacing w:line="240" w:lineRule="auto"/>
        <w:ind w:firstLine="640"/>
        <w:jc w:val="both"/>
      </w:pPr>
      <w:r>
        <w:rPr>
          <w:rFonts w:ascii="仿宋_GB2312" w:hAnsi="仿宋_GB2312" w:eastAsia="仿宋_GB2312"/>
          <w:b w:val="0"/>
          <w:sz w:val="32"/>
        </w:rPr>
        <w:t>五、《一般公共预算财政拨款支出决算表》</w:t>
      </w:r>
    </w:p>
    <w:p w14:paraId="31A638DA">
      <w:pPr>
        <w:spacing w:line="240" w:lineRule="auto"/>
        <w:ind w:firstLine="640"/>
        <w:jc w:val="both"/>
      </w:pPr>
      <w:r>
        <w:rPr>
          <w:rFonts w:ascii="仿宋_GB2312" w:hAnsi="仿宋_GB2312" w:eastAsia="仿宋_GB2312"/>
          <w:b w:val="0"/>
          <w:sz w:val="32"/>
        </w:rPr>
        <w:t>六、《一般公共预算财政拨款基本支出决算表》</w:t>
      </w:r>
    </w:p>
    <w:p w14:paraId="23D11BAD">
      <w:pPr>
        <w:spacing w:line="240" w:lineRule="auto"/>
        <w:ind w:firstLine="640"/>
        <w:jc w:val="both"/>
      </w:pPr>
      <w:r>
        <w:rPr>
          <w:rFonts w:ascii="仿宋_GB2312" w:hAnsi="仿宋_GB2312" w:eastAsia="仿宋_GB2312"/>
          <w:b w:val="0"/>
          <w:sz w:val="32"/>
        </w:rPr>
        <w:t>七、《政府性基金预算财政拨款收入支出决算表》</w:t>
      </w:r>
    </w:p>
    <w:p w14:paraId="500A7FCC">
      <w:pPr>
        <w:spacing w:line="240" w:lineRule="auto"/>
        <w:ind w:firstLine="640"/>
        <w:jc w:val="both"/>
      </w:pPr>
      <w:r>
        <w:rPr>
          <w:rFonts w:ascii="仿宋_GB2312" w:hAnsi="仿宋_GB2312" w:eastAsia="仿宋_GB2312"/>
          <w:b w:val="0"/>
          <w:sz w:val="32"/>
        </w:rPr>
        <w:t>八、《国有资本经营预算财政拨款收入支出决算表》</w:t>
      </w:r>
    </w:p>
    <w:p w14:paraId="075D5944">
      <w:pPr>
        <w:spacing w:line="240" w:lineRule="auto"/>
        <w:ind w:firstLine="640"/>
        <w:jc w:val="both"/>
      </w:pPr>
      <w:r>
        <w:rPr>
          <w:rFonts w:ascii="仿宋_GB2312" w:hAnsi="仿宋_GB2312" w:eastAsia="仿宋_GB2312"/>
          <w:b w:val="0"/>
          <w:sz w:val="32"/>
        </w:rPr>
        <w:t>九、《财政拨款“三公”经费支出决算表》</w:t>
      </w:r>
    </w:p>
    <w:p w14:paraId="055119EE">
      <w:pPr>
        <w:spacing w:line="240" w:lineRule="auto"/>
        <w:ind w:firstLine="640"/>
        <w:jc w:val="both"/>
      </w:pPr>
    </w:p>
    <w:p w14:paraId="55BAEE34">
      <w:pPr>
        <w:spacing w:line="240" w:lineRule="auto"/>
        <w:ind w:firstLine="640"/>
        <w:jc w:val="both"/>
      </w:pPr>
    </w:p>
    <w:p w14:paraId="3CE7A7E3">
      <w:pPr>
        <w:spacing w:line="240" w:lineRule="auto"/>
        <w:ind w:firstLine="640"/>
        <w:jc w:val="both"/>
      </w:pPr>
    </w:p>
    <w:p w14:paraId="7ED603FC">
      <w:pPr>
        <w:spacing w:line="240" w:lineRule="auto"/>
        <w:ind w:firstLine="640"/>
        <w:jc w:val="both"/>
      </w:pPr>
    </w:p>
    <w:p w14:paraId="5AC781D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216656E"/>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5438</Words>
  <Characters>6275</Characters>
  <Lines>0</Lines>
  <Paragraphs>0</Paragraphs>
  <TotalTime>0</TotalTime>
  <ScaleCrop>false</ScaleCrop>
  <LinksUpToDate>false</LinksUpToDate>
  <CharactersWithSpaces>6285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2025-09-12T10:15:56Z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