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岳普湖县儿童福利院2024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0F9034D">
      <w:r>
        <w:br w:type="page"/>
      </w:r>
    </w:p>
    <w:p w14:paraId="05E8AFC6">
      <w:pPr>
        <w:spacing w:line="640" w:lineRule="exact"/>
        <w:jc w:val="center"/>
        <w:outlineLvl w:val="1"/>
      </w:pPr>
      <w:r>
        <w:rPr>
          <w:rFonts w:ascii="黑体" w:hAnsi="黑体" w:eastAsia="黑体"/>
          <w:sz w:val="32"/>
        </w:rPr>
        <w:t>第一部分 单位概况</w:t>
      </w:r>
    </w:p>
    <w:p w14:paraId="2C403429">
      <w:pPr>
        <w:spacing w:line="640" w:lineRule="exact"/>
        <w:ind w:firstLine="640"/>
        <w:jc w:val="both"/>
        <w:outlineLvl w:val="2"/>
      </w:pPr>
      <w:r>
        <w:rPr>
          <w:rFonts w:ascii="黑体" w:hAnsi="黑体" w:eastAsia="黑体"/>
          <w:sz w:val="32"/>
        </w:rPr>
        <w:t>一、主要职能</w:t>
      </w:r>
    </w:p>
    <w:p w14:paraId="6E53E0F2">
      <w:pPr>
        <w:spacing w:line="580" w:lineRule="exact"/>
        <w:ind w:firstLine="640"/>
        <w:jc w:val="both"/>
      </w:pPr>
      <w:r>
        <w:rPr>
          <w:rFonts w:ascii="仿宋_GB2312" w:hAnsi="仿宋_GB2312" w:eastAsia="仿宋_GB2312"/>
          <w:sz w:val="32"/>
        </w:rPr>
        <w:t>主要以孤弃儿童、特困儿童、集中养育为主题，打造儿童衣、食、住、行、学、医等更好的需求，落实“生活关爱，学习关爱”制度。加强专业化、标准化建设，密切关注儿童身心发育和性格培养，促进他们的健康成长；密切关注儿童行为和学习习惯的培养，促进他们德、智、体、美、劳全面发展，为他们成年后融入社会打下良好基础，促进儿童福利事业发展。</w:t>
      </w:r>
    </w:p>
    <w:p w14:paraId="50AD593B">
      <w:pPr>
        <w:spacing w:line="640" w:lineRule="exact"/>
        <w:ind w:firstLine="640"/>
        <w:jc w:val="both"/>
        <w:outlineLvl w:val="2"/>
      </w:pPr>
      <w:r>
        <w:rPr>
          <w:rFonts w:ascii="黑体" w:hAnsi="黑体" w:eastAsia="黑体"/>
          <w:sz w:val="32"/>
        </w:rPr>
        <w:t>二、机构设置及人员情况</w:t>
      </w:r>
    </w:p>
    <w:p w14:paraId="1CFFD83D">
      <w:pPr>
        <w:spacing w:line="580" w:lineRule="exact"/>
        <w:ind w:firstLine="640"/>
        <w:jc w:val="both"/>
      </w:pPr>
      <w:r>
        <w:rPr>
          <w:rFonts w:ascii="仿宋_GB2312" w:hAnsi="仿宋_GB2312" w:eastAsia="仿宋_GB2312"/>
          <w:sz w:val="32"/>
        </w:rPr>
        <w:t>岳普湖县儿童福利院2024年度，实有人数18人，其中：在职人员9人，增加0人；离休人员0人，增加0人；退休人员9人,增加0人。</w:t>
      </w:r>
    </w:p>
    <w:p w14:paraId="01D61CB8">
      <w:pPr>
        <w:spacing w:line="580" w:lineRule="exact"/>
        <w:ind w:firstLine="640"/>
        <w:jc w:val="both"/>
      </w:pPr>
      <w:r>
        <w:rPr>
          <w:rFonts w:ascii="仿宋_GB2312" w:hAnsi="仿宋_GB2312" w:eastAsia="仿宋_GB2312"/>
          <w:sz w:val="32"/>
        </w:rPr>
        <w:t>岳普湖县儿童福利院无下属预算单位，下设2个科室，分别是：财务室、办公室。</w:t>
      </w:r>
    </w:p>
    <w:p w14:paraId="01C2E581">
      <w:r>
        <w:br w:type="page"/>
      </w:r>
    </w:p>
    <w:p w14:paraId="7FE87917">
      <w:pPr>
        <w:spacing w:line="240" w:lineRule="auto"/>
        <w:jc w:val="center"/>
        <w:outlineLvl w:val="1"/>
      </w:pPr>
      <w:r>
        <w:rPr>
          <w:rFonts w:ascii="黑体" w:hAnsi="黑体" w:eastAsia="黑体"/>
          <w:sz w:val="32"/>
        </w:rPr>
        <w:t>第二部分 部门决算情况说明</w:t>
      </w:r>
    </w:p>
    <w:p w14:paraId="058D8B78">
      <w:pPr>
        <w:spacing w:line="640" w:lineRule="exact"/>
        <w:ind w:firstLine="640"/>
        <w:jc w:val="both"/>
        <w:outlineLvl w:val="2"/>
      </w:pPr>
      <w:r>
        <w:rPr>
          <w:rFonts w:ascii="黑体" w:hAnsi="黑体" w:eastAsia="黑体"/>
          <w:sz w:val="32"/>
        </w:rPr>
        <w:t>一、收入支出决算总体情况说明</w:t>
      </w:r>
    </w:p>
    <w:p w14:paraId="3BA62817">
      <w:pPr>
        <w:spacing w:line="580" w:lineRule="exact"/>
        <w:ind w:firstLine="640"/>
        <w:jc w:val="both"/>
      </w:pPr>
      <w:r>
        <w:rPr>
          <w:rFonts w:ascii="仿宋_GB2312" w:hAnsi="仿宋_GB2312" w:eastAsia="仿宋_GB2312"/>
          <w:b/>
          <w:sz w:val="32"/>
        </w:rPr>
        <w:t>2024年度收入总计291.06万元，</w:t>
      </w:r>
      <w:r>
        <w:rPr>
          <w:rFonts w:ascii="仿宋_GB2312" w:hAnsi="仿宋_GB2312" w:eastAsia="仿宋_GB2312"/>
          <w:b w:val="0"/>
          <w:sz w:val="32"/>
        </w:rPr>
        <w:t>其中：本年收入合计291.06万元，使用非财政拨款结余（含专用结余）0.00万元，年初结转和结余0.00万元。</w:t>
      </w:r>
    </w:p>
    <w:p w14:paraId="22CC3627">
      <w:pPr>
        <w:spacing w:line="580" w:lineRule="exact"/>
        <w:ind w:firstLine="640"/>
        <w:jc w:val="both"/>
      </w:pPr>
      <w:r>
        <w:rPr>
          <w:rFonts w:ascii="仿宋_GB2312" w:hAnsi="仿宋_GB2312" w:eastAsia="仿宋_GB2312"/>
          <w:b/>
          <w:sz w:val="32"/>
        </w:rPr>
        <w:t>2024年度支出总计291.06万元，</w:t>
      </w:r>
      <w:r>
        <w:rPr>
          <w:rFonts w:ascii="仿宋_GB2312" w:hAnsi="仿宋_GB2312" w:eastAsia="仿宋_GB2312"/>
          <w:b w:val="0"/>
          <w:sz w:val="32"/>
        </w:rPr>
        <w:t>其中：本年支出合计291.06万元，结余分配0.00万元，年末结转和结余0.00万元。</w:t>
      </w:r>
    </w:p>
    <w:p w14:paraId="0C284C1F">
      <w:pPr>
        <w:spacing w:line="580" w:lineRule="exact"/>
        <w:ind w:firstLine="640"/>
        <w:jc w:val="both"/>
      </w:pPr>
      <w:r>
        <w:rPr>
          <w:rFonts w:ascii="仿宋_GB2312" w:hAnsi="仿宋_GB2312" w:eastAsia="仿宋_GB2312"/>
          <w:b w:val="0"/>
          <w:sz w:val="32"/>
        </w:rPr>
        <w:t>收入支出总体与上年相比，减少300.97万元，下降50.84%，主要原因是：本年减少岳普湖县未成年人服务机构改扩建项目，导致经费较上年减少</w:t>
      </w:r>
      <w:r>
        <w:rPr>
          <w:rFonts w:hint="eastAsia" w:ascii="仿宋_GB2312" w:hAnsi="仿宋_GB2312" w:eastAsia="仿宋_GB2312"/>
          <w:b w:val="0"/>
          <w:sz w:val="32"/>
          <w:lang w:eastAsia="zh-CN"/>
        </w:rPr>
        <w:t>；</w:t>
      </w:r>
      <w:r>
        <w:rPr>
          <w:rFonts w:ascii="仿宋_GB2312" w:hAnsi="仿宋_GB2312" w:eastAsia="仿宋_GB2312"/>
          <w:b w:val="0"/>
          <w:sz w:val="32"/>
        </w:rPr>
        <w:t>本年儿童减少，儿童生活补助费减少</w:t>
      </w:r>
      <w:bookmarkStart w:id="0" w:name="_GoBack"/>
      <w:bookmarkEnd w:id="0"/>
      <w:r>
        <w:rPr>
          <w:rFonts w:ascii="仿宋_GB2312" w:hAnsi="仿宋_GB2312" w:eastAsia="仿宋_GB2312"/>
          <w:b w:val="0"/>
          <w:sz w:val="32"/>
        </w:rPr>
        <w:t>。</w:t>
      </w:r>
    </w:p>
    <w:p w14:paraId="19A75DD4">
      <w:pPr>
        <w:spacing w:line="640" w:lineRule="exact"/>
        <w:ind w:firstLine="640"/>
        <w:jc w:val="both"/>
        <w:outlineLvl w:val="2"/>
      </w:pPr>
      <w:r>
        <w:rPr>
          <w:rFonts w:ascii="黑体" w:hAnsi="黑体" w:eastAsia="黑体"/>
          <w:sz w:val="32"/>
        </w:rPr>
        <w:t>二、收入决算情况说明</w:t>
      </w:r>
    </w:p>
    <w:p w14:paraId="34C86E42">
      <w:pPr>
        <w:spacing w:line="580" w:lineRule="exact"/>
        <w:ind w:firstLine="640"/>
        <w:jc w:val="both"/>
      </w:pPr>
      <w:r>
        <w:rPr>
          <w:rFonts w:ascii="仿宋_GB2312" w:hAnsi="仿宋_GB2312" w:eastAsia="仿宋_GB2312"/>
          <w:b/>
          <w:sz w:val="32"/>
        </w:rPr>
        <w:t>本年收入291.06万元，</w:t>
      </w:r>
      <w:r>
        <w:rPr>
          <w:rFonts w:ascii="仿宋_GB2312" w:hAnsi="仿宋_GB2312" w:eastAsia="仿宋_GB2312"/>
          <w:b w:val="0"/>
          <w:sz w:val="32"/>
        </w:rPr>
        <w:t>其中：财政拨款收入244.18万元，占83.89%；上级补助收入0.00万元，占0.00%；事业收入0.00万元，占0.00%；经营收入0.00万元，占0.00%；附属单位上缴收入0.00万元，占0.00%；其他收入46.89万元，占16.11%。</w:t>
      </w:r>
    </w:p>
    <w:p w14:paraId="08903F61">
      <w:pPr>
        <w:spacing w:line="640" w:lineRule="exact"/>
        <w:ind w:firstLine="640"/>
        <w:jc w:val="both"/>
        <w:outlineLvl w:val="2"/>
      </w:pPr>
      <w:r>
        <w:rPr>
          <w:rFonts w:ascii="黑体" w:hAnsi="黑体" w:eastAsia="黑体"/>
          <w:sz w:val="32"/>
        </w:rPr>
        <w:t>三、支出决算情况说明</w:t>
      </w:r>
    </w:p>
    <w:p w14:paraId="57C37C0C">
      <w:pPr>
        <w:spacing w:line="580" w:lineRule="exact"/>
        <w:ind w:firstLine="640"/>
        <w:jc w:val="both"/>
      </w:pPr>
      <w:r>
        <w:rPr>
          <w:rFonts w:ascii="仿宋_GB2312" w:hAnsi="仿宋_GB2312" w:eastAsia="仿宋_GB2312"/>
          <w:b/>
          <w:sz w:val="32"/>
        </w:rPr>
        <w:t>本年支出291.06万元，</w:t>
      </w:r>
      <w:r>
        <w:rPr>
          <w:rFonts w:ascii="仿宋_GB2312" w:hAnsi="仿宋_GB2312" w:eastAsia="仿宋_GB2312"/>
          <w:b w:val="0"/>
          <w:sz w:val="32"/>
        </w:rPr>
        <w:t>其中：基本支出193.71万元，占66.55%；项目支出97.35万元，占33.45%；上缴上级支出0.00万元，占0.00%；经营支出0.00万元，占0.00%；对附属单位补助支出0.00万元，占0.00%。</w:t>
      </w:r>
    </w:p>
    <w:p w14:paraId="22B2D717">
      <w:pPr>
        <w:spacing w:line="640" w:lineRule="exact"/>
        <w:ind w:firstLine="640"/>
        <w:jc w:val="both"/>
        <w:outlineLvl w:val="2"/>
      </w:pPr>
      <w:r>
        <w:rPr>
          <w:rFonts w:ascii="黑体" w:hAnsi="黑体" w:eastAsia="黑体"/>
          <w:sz w:val="32"/>
        </w:rPr>
        <w:t>四、财政拨款收入支出决算总体情况说明</w:t>
      </w:r>
    </w:p>
    <w:p w14:paraId="4771BB00">
      <w:pPr>
        <w:spacing w:line="580" w:lineRule="exact"/>
        <w:ind w:firstLine="640"/>
        <w:jc w:val="both"/>
      </w:pPr>
      <w:r>
        <w:rPr>
          <w:rFonts w:ascii="仿宋_GB2312" w:hAnsi="仿宋_GB2312" w:eastAsia="仿宋_GB2312"/>
          <w:b/>
          <w:sz w:val="32"/>
        </w:rPr>
        <w:t>2024年度财政拨款收入总计244.18万元，</w:t>
      </w:r>
      <w:r>
        <w:rPr>
          <w:rFonts w:ascii="仿宋_GB2312" w:hAnsi="仿宋_GB2312" w:eastAsia="仿宋_GB2312"/>
          <w:b w:val="0"/>
          <w:sz w:val="32"/>
        </w:rPr>
        <w:t>其中：年初财政拨款结转和结余0.00万元，本年财政拨款收入244.18万元。</w:t>
      </w:r>
      <w:r>
        <w:rPr>
          <w:rFonts w:ascii="仿宋_GB2312" w:hAnsi="仿宋_GB2312" w:eastAsia="仿宋_GB2312"/>
          <w:b/>
          <w:sz w:val="32"/>
        </w:rPr>
        <w:t>财政拨款支出总计244.18万元，</w:t>
      </w:r>
      <w:r>
        <w:rPr>
          <w:rFonts w:ascii="仿宋_GB2312" w:hAnsi="仿宋_GB2312" w:eastAsia="仿宋_GB2312"/>
          <w:b w:val="0"/>
          <w:sz w:val="32"/>
        </w:rPr>
        <w:t>其中：年末财政拨款结转和结余0.00万元，本年财政拨款支出244.18万元。</w:t>
      </w:r>
    </w:p>
    <w:p w14:paraId="08A94F3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减少347.85万元，下降58.76%，主要原因是：本年减少岳普湖县未成年人服务机构改扩建项目，导致经费较上年减少</w:t>
      </w:r>
      <w:r>
        <w:rPr>
          <w:rFonts w:hint="eastAsia" w:ascii="仿宋_GB2312" w:hAnsi="仿宋_GB2312" w:eastAsia="仿宋_GB2312"/>
          <w:b w:val="0"/>
          <w:sz w:val="32"/>
          <w:lang w:eastAsia="zh-CN"/>
        </w:rPr>
        <w:t>；</w:t>
      </w:r>
      <w:r>
        <w:rPr>
          <w:rFonts w:ascii="仿宋_GB2312" w:hAnsi="仿宋_GB2312" w:eastAsia="仿宋_GB2312"/>
          <w:b w:val="0"/>
          <w:sz w:val="32"/>
        </w:rPr>
        <w:t>本年儿童减少，儿童生活补助费减少。</w:t>
      </w:r>
      <w:r>
        <w:rPr>
          <w:rFonts w:ascii="仿宋_GB2312" w:hAnsi="仿宋_GB2312" w:eastAsia="仿宋_GB2312"/>
          <w:b/>
          <w:sz w:val="32"/>
        </w:rPr>
        <w:t>与年初预算相比，</w:t>
      </w:r>
      <w:r>
        <w:rPr>
          <w:rFonts w:ascii="仿宋_GB2312" w:hAnsi="仿宋_GB2312" w:eastAsia="仿宋_GB2312"/>
          <w:b w:val="0"/>
          <w:sz w:val="32"/>
        </w:rPr>
        <w:t>年初预算数251.22万元，决算数244.18万元，预决算差异率-2.80%，主要原因是：严格落实中央八项规定精神，厉行节约，减少不必要的开支。</w:t>
      </w:r>
    </w:p>
    <w:p w14:paraId="3EA894A7">
      <w:pPr>
        <w:spacing w:line="640" w:lineRule="exact"/>
        <w:ind w:firstLine="640"/>
        <w:jc w:val="both"/>
        <w:outlineLvl w:val="2"/>
      </w:pPr>
      <w:r>
        <w:rPr>
          <w:rFonts w:ascii="黑体" w:hAnsi="黑体" w:eastAsia="黑体"/>
          <w:sz w:val="32"/>
        </w:rPr>
        <w:t>五、一般公共预算财政拨款支出决算情况说明</w:t>
      </w:r>
    </w:p>
    <w:p w14:paraId="7742E1B8">
      <w:pPr>
        <w:spacing w:line="640" w:lineRule="exact"/>
        <w:ind w:firstLine="640"/>
        <w:jc w:val="both"/>
        <w:outlineLvl w:val="3"/>
      </w:pPr>
      <w:r>
        <w:rPr>
          <w:rFonts w:ascii="楷体_GB2312" w:hAnsi="楷体_GB2312" w:eastAsia="楷体_GB2312"/>
          <w:b/>
          <w:sz w:val="32"/>
        </w:rPr>
        <w:t>（一）一般公共预算财政拨款支出决算总体情况</w:t>
      </w:r>
    </w:p>
    <w:p w14:paraId="0C880A26">
      <w:pPr>
        <w:spacing w:line="580" w:lineRule="exact"/>
        <w:ind w:firstLine="640"/>
        <w:jc w:val="both"/>
      </w:pPr>
      <w:r>
        <w:rPr>
          <w:rFonts w:ascii="仿宋_GB2312" w:hAnsi="仿宋_GB2312" w:eastAsia="仿宋_GB2312"/>
          <w:b/>
          <w:sz w:val="32"/>
        </w:rPr>
        <w:t>2024年度一般公共预算财政拨款支出240.18万元，</w:t>
      </w:r>
      <w:r>
        <w:rPr>
          <w:rFonts w:ascii="仿宋_GB2312" w:hAnsi="仿宋_GB2312" w:eastAsia="仿宋_GB2312"/>
          <w:b w:val="0"/>
          <w:sz w:val="32"/>
        </w:rPr>
        <w:t>占本年支出合计的82.52%。</w:t>
      </w:r>
      <w:r>
        <w:rPr>
          <w:rFonts w:ascii="仿宋_GB2312" w:hAnsi="仿宋_GB2312" w:eastAsia="仿宋_GB2312"/>
          <w:b/>
          <w:sz w:val="32"/>
        </w:rPr>
        <w:t>与上年相比，</w:t>
      </w:r>
      <w:r>
        <w:rPr>
          <w:rFonts w:ascii="仿宋_GB2312" w:hAnsi="仿宋_GB2312" w:eastAsia="仿宋_GB2312"/>
          <w:b w:val="0"/>
          <w:sz w:val="32"/>
        </w:rPr>
        <w:t>减少142.64万元，下降37.26%，主要原因是：本年儿童减少，儿童生活补助费减少。</w:t>
      </w:r>
      <w:r>
        <w:rPr>
          <w:rFonts w:ascii="仿宋_GB2312" w:hAnsi="仿宋_GB2312" w:eastAsia="仿宋_GB2312"/>
          <w:b/>
          <w:sz w:val="32"/>
        </w:rPr>
        <w:t>与年初预算相比,</w:t>
      </w:r>
      <w:r>
        <w:rPr>
          <w:rFonts w:ascii="仿宋_GB2312" w:hAnsi="仿宋_GB2312" w:eastAsia="仿宋_GB2312"/>
          <w:b w:val="0"/>
          <w:sz w:val="32"/>
        </w:rPr>
        <w:t>年初预算数247.22万元，决算数240.18万元，预决算差异率-2.85%，主要原因是：严格落实中央八项规定精神，厉行节约，减少不必要的开支。</w:t>
      </w:r>
    </w:p>
    <w:p w14:paraId="711AAC03">
      <w:pPr>
        <w:spacing w:line="640" w:lineRule="exact"/>
        <w:ind w:firstLine="640"/>
        <w:jc w:val="both"/>
        <w:outlineLvl w:val="3"/>
      </w:pPr>
      <w:r>
        <w:rPr>
          <w:rFonts w:ascii="楷体_GB2312" w:hAnsi="楷体_GB2312" w:eastAsia="楷体_GB2312"/>
          <w:b/>
          <w:sz w:val="32"/>
        </w:rPr>
        <w:t>（二）一般公共预算财政拨款支出决算结构情况</w:t>
      </w:r>
    </w:p>
    <w:p w14:paraId="2BE6D8A8">
      <w:pPr>
        <w:spacing w:line="580" w:lineRule="exact"/>
        <w:ind w:firstLine="640"/>
        <w:jc w:val="both"/>
      </w:pPr>
      <w:r>
        <w:rPr>
          <w:rFonts w:ascii="仿宋_GB2312" w:hAnsi="仿宋_GB2312" w:eastAsia="仿宋_GB2312"/>
          <w:b w:val="0"/>
          <w:sz w:val="32"/>
        </w:rPr>
        <w:t>1.社会保障和就业支出(类)221.61万元,占92.27%。</w:t>
      </w:r>
    </w:p>
    <w:p w14:paraId="0669A0A8">
      <w:pPr>
        <w:spacing w:line="580" w:lineRule="exact"/>
        <w:ind w:firstLine="640"/>
        <w:jc w:val="both"/>
      </w:pPr>
      <w:r>
        <w:rPr>
          <w:rFonts w:ascii="仿宋_GB2312" w:hAnsi="仿宋_GB2312" w:eastAsia="仿宋_GB2312"/>
          <w:b w:val="0"/>
          <w:sz w:val="32"/>
        </w:rPr>
        <w:t>2.卫生健康支出(类)6.39万元,占2.66%。</w:t>
      </w:r>
    </w:p>
    <w:p w14:paraId="491890DC">
      <w:pPr>
        <w:spacing w:line="580" w:lineRule="exact"/>
        <w:ind w:firstLine="640"/>
        <w:jc w:val="both"/>
      </w:pPr>
      <w:r>
        <w:rPr>
          <w:rFonts w:ascii="仿宋_GB2312" w:hAnsi="仿宋_GB2312" w:eastAsia="仿宋_GB2312"/>
          <w:b w:val="0"/>
          <w:sz w:val="32"/>
        </w:rPr>
        <w:t>3.住房保障支出(类)12.17万元,占5.07%。</w:t>
      </w:r>
    </w:p>
    <w:p w14:paraId="6B04C500">
      <w:pPr>
        <w:spacing w:line="640" w:lineRule="exact"/>
        <w:ind w:firstLine="640"/>
        <w:jc w:val="both"/>
        <w:outlineLvl w:val="3"/>
      </w:pPr>
      <w:r>
        <w:rPr>
          <w:rFonts w:ascii="楷体_GB2312" w:hAnsi="楷体_GB2312" w:eastAsia="楷体_GB2312"/>
          <w:b/>
          <w:sz w:val="32"/>
        </w:rPr>
        <w:t>（三）一般公共预算财政拨款支出决算具体情况</w:t>
      </w:r>
    </w:p>
    <w:p w14:paraId="3ED2797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1.社会保障和就业支出(类)行政事业单位养老支出(款)事业单位离退休(项):支出决算数为10.91万元，比上年决算增加1.44万元，增长15.21%,主要原因是：本年增加退休人员基础绩效奖，退休费支出增加。</w:t>
      </w:r>
    </w:p>
    <w:p w14:paraId="4B350C7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15.04万元，比上年决算增加1.33万元，增长9.70%,主要原因是：本年在职人员工资基数调增，养老缴费基数上涨，相应支出增加。</w:t>
      </w:r>
    </w:p>
    <w:p w14:paraId="1175CC70">
      <w:pPr>
        <w:spacing w:line="580" w:lineRule="exact"/>
        <w:ind w:firstLine="640"/>
        <w:jc w:val="both"/>
      </w:pPr>
      <w:r>
        <w:rPr>
          <w:rFonts w:ascii="仿宋_GB2312" w:hAnsi="仿宋_GB2312" w:eastAsia="仿宋_GB2312"/>
          <w:b w:val="0"/>
          <w:sz w:val="32"/>
        </w:rPr>
        <w:t>3.社会保障和就业支出(类)社会福利(款)儿童福利(项):支出决算数为39.96万元，比上年决算减少144.39万元，下降78.32%,主要原因是：本年儿童减少，儿童生活补助费减少。</w:t>
      </w:r>
    </w:p>
    <w:p w14:paraId="33656DA2">
      <w:pPr>
        <w:spacing w:line="580" w:lineRule="exact"/>
        <w:ind w:firstLine="640"/>
        <w:jc w:val="both"/>
      </w:pPr>
      <w:r>
        <w:rPr>
          <w:rFonts w:ascii="仿宋_GB2312" w:hAnsi="仿宋_GB2312" w:eastAsia="仿宋_GB2312"/>
          <w:b w:val="0"/>
          <w:sz w:val="32"/>
        </w:rPr>
        <w:t>4.社会保障和就业支出(类)社会福利(款)社会福利事业单位(项):支出决算数为154.91万元，比上年决算减少0.49万元，下降0.32%,主要原因是：严控经费支出，厉行节约，电费、专用材料费等经费减少，相关支出减少。</w:t>
      </w:r>
    </w:p>
    <w:p w14:paraId="7E5AF447">
      <w:pPr>
        <w:spacing w:line="580" w:lineRule="exact"/>
        <w:ind w:firstLine="640"/>
        <w:jc w:val="both"/>
      </w:pPr>
      <w:r>
        <w:rPr>
          <w:rFonts w:ascii="仿宋_GB2312" w:hAnsi="仿宋_GB2312" w:eastAsia="仿宋_GB2312"/>
          <w:b w:val="0"/>
          <w:sz w:val="32"/>
        </w:rPr>
        <w:t>5.社会保障和就业支出(类)其他生活救助(款)其他城市生活救助(项):支出决算数为0.50万元，比上年决算增加0.50万元，增长100.00%,主要原因是：本年度增加城市困难群众一次性补助项目。</w:t>
      </w:r>
    </w:p>
    <w:p w14:paraId="4C1DEF0C">
      <w:pPr>
        <w:spacing w:line="580" w:lineRule="exact"/>
        <w:ind w:firstLine="640"/>
        <w:jc w:val="both"/>
      </w:pPr>
      <w:r>
        <w:rPr>
          <w:rFonts w:ascii="仿宋_GB2312" w:hAnsi="仿宋_GB2312" w:eastAsia="仿宋_GB2312"/>
          <w:b w:val="0"/>
          <w:sz w:val="32"/>
        </w:rPr>
        <w:t>6.社会保障和就业支出(类)其他生活救助(款)其他农村生活救助(项):支出决算数为0.30万元，比上年决算增加0.30万元，增长100.00%,主要原因是：本年度增加农村困难群众一次性补助项目。</w:t>
      </w:r>
    </w:p>
    <w:p w14:paraId="67F0225A">
      <w:pPr>
        <w:spacing w:line="580" w:lineRule="exact"/>
        <w:ind w:firstLine="640"/>
        <w:jc w:val="both"/>
      </w:pPr>
      <w:r>
        <w:rPr>
          <w:rFonts w:ascii="仿宋_GB2312" w:hAnsi="仿宋_GB2312" w:eastAsia="仿宋_GB2312"/>
          <w:b w:val="0"/>
          <w:sz w:val="32"/>
        </w:rPr>
        <w:t>7.卫生健康支出(类)行政事业单位医疗(款)事业单位医疗(项):支出决算数为6.39万元，比上年决算减少2.63万元，下降29.16%,主要原因是：因退休人员医疗保险制度改革，退休人员基本医疗不再由单位缴纳，导致经费较上年减少。</w:t>
      </w:r>
    </w:p>
    <w:p w14:paraId="6EDAB6BB">
      <w:pPr>
        <w:spacing w:line="580" w:lineRule="exact"/>
        <w:ind w:firstLine="640"/>
        <w:jc w:val="both"/>
      </w:pPr>
      <w:r>
        <w:rPr>
          <w:rFonts w:ascii="仿宋_GB2312" w:hAnsi="仿宋_GB2312" w:eastAsia="仿宋_GB2312"/>
          <w:b w:val="0"/>
          <w:sz w:val="32"/>
        </w:rPr>
        <w:t>8.住房保障支出(类)住房改革支出(款)住房公积金(项):支出决算数为12.17万元，比上年决算增加1.31万元，增长12.06%,主要原因是：本年在职人员工资基数调增，公积金缴费基数上涨，相应支出增加。</w:t>
      </w:r>
    </w:p>
    <w:p w14:paraId="47694CD9">
      <w:pPr>
        <w:spacing w:line="640" w:lineRule="exact"/>
        <w:ind w:firstLine="640"/>
        <w:jc w:val="both"/>
        <w:outlineLvl w:val="2"/>
      </w:pPr>
      <w:r>
        <w:rPr>
          <w:rFonts w:ascii="黑体" w:hAnsi="黑体" w:eastAsia="黑体"/>
          <w:sz w:val="32"/>
        </w:rPr>
        <w:t>六、一般公共预算财政拨款基本支出决算情况说明</w:t>
      </w:r>
    </w:p>
    <w:p w14:paraId="0FEC00AC">
      <w:pPr>
        <w:spacing w:line="580" w:lineRule="exact"/>
        <w:ind w:firstLine="640"/>
        <w:jc w:val="both"/>
      </w:pPr>
      <w:r>
        <w:rPr>
          <w:rFonts w:ascii="仿宋_GB2312" w:hAnsi="仿宋_GB2312" w:eastAsia="仿宋_GB2312"/>
          <w:b w:val="0"/>
          <w:sz w:val="32"/>
        </w:rPr>
        <w:t>2024年度一般公共预算财政拨款基本支出193.71万元，其中：</w:t>
      </w:r>
      <w:r>
        <w:rPr>
          <w:rFonts w:ascii="仿宋_GB2312" w:hAnsi="仿宋_GB2312" w:eastAsia="仿宋_GB2312"/>
          <w:b/>
          <w:sz w:val="32"/>
        </w:rPr>
        <w:t>人员经费159.96万元，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51A97F10">
      <w:pPr>
        <w:spacing w:line="580" w:lineRule="exact"/>
        <w:ind w:firstLine="640"/>
        <w:jc w:val="both"/>
      </w:pPr>
      <w:r>
        <w:rPr>
          <w:rFonts w:ascii="仿宋_GB2312" w:hAnsi="仿宋_GB2312" w:eastAsia="仿宋_GB2312"/>
          <w:b/>
          <w:sz w:val="32"/>
        </w:rPr>
        <w:t>公用经费33.75万元，</w:t>
      </w:r>
      <w:r>
        <w:rPr>
          <w:rFonts w:ascii="仿宋_GB2312" w:hAnsi="仿宋_GB2312" w:eastAsia="仿宋_GB2312"/>
          <w:b w:val="0"/>
          <w:sz w:val="32"/>
        </w:rPr>
        <w:t>包括：办公费、邮电费、取暖费、差旅费。</w:t>
      </w:r>
    </w:p>
    <w:p w14:paraId="28591301">
      <w:pPr>
        <w:spacing w:line="640" w:lineRule="exact"/>
        <w:ind w:firstLine="640"/>
        <w:jc w:val="both"/>
        <w:outlineLvl w:val="2"/>
      </w:pPr>
      <w:r>
        <w:rPr>
          <w:rFonts w:ascii="黑体" w:hAnsi="黑体" w:eastAsia="黑体"/>
          <w:sz w:val="32"/>
        </w:rPr>
        <w:t>七、政府性基金预算财政拨款收入支出决算情况说明</w:t>
      </w:r>
    </w:p>
    <w:p w14:paraId="30AEF689">
      <w:pPr>
        <w:spacing w:line="580" w:lineRule="exact"/>
        <w:ind w:firstLine="640"/>
        <w:jc w:val="both"/>
      </w:pPr>
      <w:r>
        <w:rPr>
          <w:rFonts w:ascii="仿宋_GB2312" w:hAnsi="仿宋_GB2312" w:eastAsia="仿宋_GB2312"/>
          <w:b/>
          <w:sz w:val="32"/>
        </w:rPr>
        <w:t>2024年度政府性基金预算财政拨款收入总计4.00万元，</w:t>
      </w:r>
      <w:r>
        <w:rPr>
          <w:rFonts w:ascii="仿宋_GB2312" w:hAnsi="仿宋_GB2312" w:eastAsia="仿宋_GB2312"/>
          <w:b w:val="0"/>
          <w:sz w:val="32"/>
        </w:rPr>
        <w:t>其中：年初结转和结余0.00万元，本年收入4.00万元。</w:t>
      </w:r>
      <w:r>
        <w:rPr>
          <w:rFonts w:ascii="仿宋_GB2312" w:hAnsi="仿宋_GB2312" w:eastAsia="仿宋_GB2312"/>
          <w:b/>
          <w:sz w:val="32"/>
        </w:rPr>
        <w:t>政府性基金预算财政拨款支出总计4.00万元，</w:t>
      </w:r>
      <w:r>
        <w:rPr>
          <w:rFonts w:ascii="仿宋_GB2312" w:hAnsi="仿宋_GB2312" w:eastAsia="仿宋_GB2312"/>
          <w:b w:val="0"/>
          <w:sz w:val="32"/>
        </w:rPr>
        <w:t>其中：年末结转和结余0.00万元，本年支出4.00万元。</w:t>
      </w:r>
    </w:p>
    <w:p w14:paraId="3754895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减少205.21万元，下降98.09%，主要原因是：本年减少岳普湖县未成年人服务机构改扩建项目，导致经费较上年减少。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年初预算数4.00万元，决算数4.00万元，预决算差异率0.00%，主要原因是：严格按照预算执行，预决算无差异。</w:t>
      </w:r>
    </w:p>
    <w:p w14:paraId="64D8F33F">
      <w:pPr>
        <w:spacing w:line="580" w:lineRule="exact"/>
        <w:ind w:firstLine="640"/>
        <w:jc w:val="both"/>
      </w:pPr>
      <w:r>
        <w:rPr>
          <w:rFonts w:ascii="仿宋_GB2312" w:hAnsi="仿宋_GB2312" w:eastAsia="仿宋_GB2312"/>
          <w:b w:val="0"/>
          <w:sz w:val="32"/>
        </w:rPr>
        <w:t>政府性基金预算财政拨款支出4.00万元。</w:t>
      </w:r>
    </w:p>
    <w:p w14:paraId="4E710597">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4.00万元，比上年决算减少205.21万元，下降98.09%,主要原因是：本年减少岳普湖县未成年人服务机构改扩建项目，导致经费较上年减少。</w:t>
      </w:r>
    </w:p>
    <w:p w14:paraId="4E7D033F">
      <w:pPr>
        <w:spacing w:line="640" w:lineRule="exact"/>
        <w:ind w:firstLine="640"/>
        <w:jc w:val="both"/>
        <w:outlineLvl w:val="2"/>
      </w:pPr>
      <w:r>
        <w:rPr>
          <w:rFonts w:ascii="黑体" w:hAnsi="黑体" w:eastAsia="黑体"/>
          <w:sz w:val="32"/>
        </w:rPr>
        <w:t>八、国有资本经营预算财政拨款收入支出决算情况说明</w:t>
      </w:r>
    </w:p>
    <w:p w14:paraId="1E9468C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4500A5A">
      <w:pPr>
        <w:spacing w:line="640" w:lineRule="exact"/>
        <w:ind w:firstLine="640"/>
        <w:jc w:val="both"/>
        <w:outlineLvl w:val="2"/>
      </w:pPr>
      <w:r>
        <w:rPr>
          <w:rFonts w:ascii="黑体" w:hAnsi="黑体" w:eastAsia="黑体"/>
          <w:sz w:val="32"/>
        </w:rPr>
        <w:t>九、财政拨款“三公”经费支出决算情况说明</w:t>
      </w:r>
    </w:p>
    <w:p w14:paraId="07CFE6E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677FABE">
      <w:pPr>
        <w:spacing w:line="580" w:lineRule="exact"/>
        <w:ind w:firstLine="640"/>
        <w:jc w:val="both"/>
      </w:pPr>
      <w:r>
        <w:rPr>
          <w:rFonts w:ascii="仿宋_GB2312" w:hAnsi="仿宋_GB2312" w:eastAsia="仿宋_GB2312"/>
          <w:b/>
          <w:sz w:val="32"/>
        </w:rPr>
        <w:t>具体情况如下：</w:t>
      </w:r>
    </w:p>
    <w:p w14:paraId="725CA54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6FAB80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7091CB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655FC6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A863BF2">
      <w:pPr>
        <w:spacing w:line="640" w:lineRule="exact"/>
        <w:ind w:firstLine="640"/>
        <w:jc w:val="both"/>
        <w:outlineLvl w:val="2"/>
      </w:pPr>
      <w:r>
        <w:rPr>
          <w:rFonts w:ascii="黑体" w:hAnsi="黑体" w:eastAsia="黑体"/>
          <w:sz w:val="32"/>
        </w:rPr>
        <w:t>十、其他重要事项的情况说明</w:t>
      </w:r>
    </w:p>
    <w:p w14:paraId="0EC39E18">
      <w:pPr>
        <w:spacing w:line="640" w:lineRule="exact"/>
        <w:ind w:firstLine="640"/>
        <w:jc w:val="both"/>
        <w:outlineLvl w:val="3"/>
      </w:pPr>
      <w:r>
        <w:rPr>
          <w:rFonts w:ascii="楷体_GB2312" w:hAnsi="楷体_GB2312" w:eastAsia="楷体_GB2312"/>
          <w:b/>
          <w:sz w:val="32"/>
        </w:rPr>
        <w:t>（一）机关运行经费及公用经费支出情况</w:t>
      </w:r>
    </w:p>
    <w:p w14:paraId="0411F2D1">
      <w:pPr>
        <w:spacing w:line="580" w:lineRule="exact"/>
        <w:ind w:firstLine="640"/>
        <w:jc w:val="both"/>
      </w:pPr>
      <w:r>
        <w:rPr>
          <w:rFonts w:ascii="仿宋_GB2312" w:hAnsi="仿宋_GB2312" w:eastAsia="仿宋_GB2312"/>
          <w:b w:val="0"/>
          <w:sz w:val="32"/>
        </w:rPr>
        <w:t>2024年度岳普湖县儿童福利院（事业单位）公用经费支出33.75万元，比上年减少14.45万元，下降29.98%，主要原因是：本年减少电费、专用材料费等经费，公用经费支出减少。</w:t>
      </w:r>
    </w:p>
    <w:p w14:paraId="07406934">
      <w:pPr>
        <w:spacing w:line="640" w:lineRule="exact"/>
        <w:ind w:firstLine="640"/>
        <w:jc w:val="both"/>
        <w:outlineLvl w:val="3"/>
      </w:pPr>
      <w:r>
        <w:rPr>
          <w:rFonts w:ascii="楷体_GB2312" w:hAnsi="楷体_GB2312" w:eastAsia="楷体_GB2312"/>
          <w:b/>
          <w:sz w:val="32"/>
        </w:rPr>
        <w:t>（二）政府采购情况</w:t>
      </w:r>
    </w:p>
    <w:p w14:paraId="316069B0">
      <w:pPr>
        <w:spacing w:line="580" w:lineRule="exact"/>
        <w:ind w:firstLine="640"/>
        <w:jc w:val="both"/>
      </w:pPr>
      <w:r>
        <w:rPr>
          <w:rFonts w:ascii="仿宋_GB2312" w:hAnsi="仿宋_GB2312" w:eastAsia="仿宋_GB2312"/>
          <w:b w:val="0"/>
          <w:sz w:val="32"/>
        </w:rPr>
        <w:t>2024年度政府采购支出总额0.18万元，其中：政府采购货物支出0.18万元、政府采购工程支出0.00万元、政府采购服务支出0.00万元。</w:t>
      </w:r>
    </w:p>
    <w:p w14:paraId="5FDD9C3A">
      <w:pPr>
        <w:spacing w:line="580" w:lineRule="exact"/>
        <w:ind w:firstLine="640"/>
        <w:jc w:val="both"/>
      </w:pPr>
      <w:r>
        <w:rPr>
          <w:rFonts w:ascii="仿宋_GB2312" w:hAnsi="仿宋_GB2312" w:eastAsia="仿宋_GB2312"/>
          <w:b w:val="0"/>
          <w:sz w:val="32"/>
        </w:rPr>
        <w:t>授予中小企业合同金额0.18万元，占政府采购支出总额的100.00%，其中：授予小微企业合同金额0.18万元，占政府采购支出总额的100.00%。</w:t>
      </w:r>
    </w:p>
    <w:p w14:paraId="5FEDBF18">
      <w:pPr>
        <w:spacing w:line="640" w:lineRule="exact"/>
        <w:ind w:firstLine="640"/>
        <w:jc w:val="both"/>
        <w:outlineLvl w:val="3"/>
      </w:pPr>
      <w:r>
        <w:rPr>
          <w:rFonts w:ascii="楷体_GB2312" w:hAnsi="楷体_GB2312" w:eastAsia="楷体_GB2312"/>
          <w:b/>
          <w:sz w:val="32"/>
        </w:rPr>
        <w:t>（三）国有资产占用情况说明</w:t>
      </w:r>
    </w:p>
    <w:p w14:paraId="41AB9AAC">
      <w:pPr>
        <w:spacing w:line="580" w:lineRule="exact"/>
        <w:ind w:firstLine="640"/>
        <w:jc w:val="both"/>
      </w:pPr>
      <w:r>
        <w:rPr>
          <w:rFonts w:ascii="仿宋_GB2312" w:hAnsi="仿宋_GB2312" w:eastAsia="仿宋_GB2312"/>
          <w:b w:val="0"/>
          <w:sz w:val="32"/>
        </w:rPr>
        <w:t>截至2024年12月31日，房屋7,410.00平方米，价值1,600.57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1D662CB">
      <w:pPr>
        <w:spacing w:line="640" w:lineRule="exact"/>
        <w:ind w:firstLine="640"/>
        <w:jc w:val="both"/>
        <w:outlineLvl w:val="2"/>
      </w:pPr>
      <w:r>
        <w:rPr>
          <w:rFonts w:ascii="黑体" w:hAnsi="黑体" w:eastAsia="黑体"/>
          <w:sz w:val="32"/>
        </w:rPr>
        <w:t>十一、预算绩效的情况说明</w:t>
      </w:r>
    </w:p>
    <w:p w14:paraId="44E1F11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291.06万元，实际执行总额291.06万元；预算绩效评价项目2个，全年预算数52.71万元，全年执行数52.60万元。预算绩效管理取得的成效：一是单位领导重视。单位领导高度重视，分管领导具体负责，专门成立项目绩效评价工作组，负责项目工作的指挥、协调，明确工作职责。充分发挥其职能作用。二是项目管理规范。</w:t>
      </w:r>
      <w:r>
        <w:rPr>
          <w:rFonts w:hint="eastAsia" w:ascii="仿宋_GB2312" w:hAnsi="仿宋_GB2312" w:eastAsia="仿宋_GB2312"/>
          <w:b w:val="0"/>
          <w:sz w:val="32"/>
          <w:lang w:eastAsia="zh-CN"/>
        </w:rPr>
        <w:t>本单位</w:t>
      </w:r>
      <w:r>
        <w:rPr>
          <w:rFonts w:ascii="仿宋_GB2312" w:hAnsi="仿宋_GB2312" w:eastAsia="仿宋_GB2312"/>
          <w:b w:val="0"/>
          <w:sz w:val="32"/>
        </w:rPr>
        <w:t>从多方面对本项目的实施进行研究和预算绩效管理，管理制度完善、责任落实到位，在项目实施过</w:t>
      </w:r>
      <w:r>
        <w:rPr>
          <w:rFonts w:hint="eastAsia" w:ascii="仿宋_GB2312" w:hAnsi="仿宋_GB2312" w:eastAsia="仿宋_GB2312"/>
          <w:b w:val="0"/>
          <w:sz w:val="32"/>
          <w:lang w:eastAsia="zh-CN"/>
        </w:rPr>
        <w:t>程中</w:t>
      </w:r>
      <w:r>
        <w:rPr>
          <w:rFonts w:ascii="仿宋_GB2312" w:hAnsi="仿宋_GB2312" w:eastAsia="仿宋_GB2312"/>
          <w:b w:val="0"/>
          <w:sz w:val="32"/>
        </w:rPr>
        <w:t>对项目的事前、事中、事后全方位、全过程进行分析、掌握，注重评价过程的记录和档案整理，为下一年度工作提供依据。三是注重沟通协调。对项目推进过程中出现的问题及时进行沟通、整改，尽早拿出解决措施加以应对，确保项目顺利进行，保障项目按期完成。四是强化监督考核。加强项目监管力度，切实让项目受益人员享受到项目所产生的效益。安排项目分管领导，做好项目执行过程中的监督管理，跟踪考核机制的</w:t>
      </w:r>
      <w:r>
        <w:rPr>
          <w:rFonts w:hint="eastAsia" w:ascii="仿宋_GB2312" w:hAnsi="仿宋_GB2312" w:eastAsia="仿宋_GB2312"/>
          <w:b w:val="0"/>
          <w:sz w:val="32"/>
          <w:lang w:eastAsia="zh-CN"/>
        </w:rPr>
        <w:t>完善</w:t>
      </w:r>
      <w:r>
        <w:rPr>
          <w:rFonts w:ascii="仿宋_GB2312" w:hAnsi="仿宋_GB2312" w:eastAsia="仿宋_GB2312"/>
          <w:b w:val="0"/>
          <w:sz w:val="32"/>
        </w:rPr>
        <w:t>保障运行有效。结合项目完成情况和工作实施，强化考核验收。五是强化基本生活保障，依法落实监护责任。按期缴纳应付水电费，提升经费保障能力，使困境儿童成长环境更为改善、安全更有保障。落实妥善抚养的监护要求。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缺少带着问题去评价的意识，现场评价的工作量少，后续效益评价具体措施和方法不足。三是儿童福利机构精准化管理、精细化服务水平有待进一步加强。下一步改进措施：一是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二是进一步完善项目评价过程中有关数据和资料的收集、整理、审核及分析。项目启动时同步做好档案的归纳与整理，及时整理、收集、汇总，健全档案资料。项目后续管理有待进一步加强和跟踪。三是通过绩效管理，发现实施中存在漏洞，以后加强管理，及时掌握与之相关的各类信息，减少成本，使资金效益最大化。四是评价工作应从项目实施方案源头抓起，评价工作和意识应贯穿项目整个过程。五是民政部门要履行好牵头和主管部门职责，统筹协调、督促指导，会同有关部门履职尽责，推进儿童福利机构实现高质量发展。财政部门要加强资金保障，合理安排儿童福利相关资金，加强相关经费管理。各相关部门要明晰责任、加强协调、密切配合及时沟通，共同推进解决儿童福利机构优化提质和创新转型中的急难问题。具体附整体支出绩效自评表，项目支出绩效自评表和评价报告。</w:t>
      </w:r>
    </w:p>
    <w:p w14:paraId="2D5B13F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83617C0">
        <w:tblPrEx>
          <w:tblCellMar>
            <w:top w:w="0" w:type="dxa"/>
            <w:left w:w="108" w:type="dxa"/>
            <w:bottom w:w="0" w:type="dxa"/>
            <w:right w:w="108" w:type="dxa"/>
          </w:tblCellMar>
        </w:tblPrEx>
        <w:tc>
          <w:tcPr>
            <w:tcW w:w="8847" w:type="dxa"/>
            <w:gridSpan w:val="9"/>
            <w:vAlign w:val="center"/>
          </w:tcPr>
          <w:p w14:paraId="6B664C87">
            <w:pPr>
              <w:jc w:val="center"/>
            </w:pPr>
            <w:r>
              <w:rPr>
                <w:rFonts w:ascii="宋体" w:hAnsi="宋体" w:eastAsia="宋体"/>
                <w:sz w:val="24"/>
              </w:rPr>
              <w:t>单位整体支出绩效自评表</w:t>
            </w:r>
          </w:p>
        </w:tc>
      </w:tr>
      <w:tr w14:paraId="7DBEB89C">
        <w:tblPrEx>
          <w:tblCellMar>
            <w:top w:w="0" w:type="dxa"/>
            <w:left w:w="108" w:type="dxa"/>
            <w:bottom w:w="0" w:type="dxa"/>
            <w:right w:w="108" w:type="dxa"/>
          </w:tblCellMar>
        </w:tblPrEx>
        <w:tc>
          <w:tcPr>
            <w:tcW w:w="8847" w:type="dxa"/>
            <w:gridSpan w:val="9"/>
            <w:vAlign w:val="center"/>
          </w:tcPr>
          <w:p w14:paraId="4B63515A">
            <w:pPr>
              <w:jc w:val="center"/>
            </w:pPr>
            <w:r>
              <w:rPr>
                <w:rFonts w:ascii="宋体" w:hAnsi="宋体" w:eastAsia="宋体"/>
                <w:sz w:val="24"/>
              </w:rPr>
              <w:t>（2024年度）</w:t>
            </w:r>
          </w:p>
        </w:tc>
      </w:tr>
      <w:tr w14:paraId="540669D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DD5A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54F938">
            <w:pPr>
              <w:jc w:val="center"/>
            </w:pPr>
            <w:r>
              <w:rPr>
                <w:rFonts w:ascii="宋体" w:hAnsi="宋体" w:eastAsia="宋体"/>
                <w:sz w:val="16"/>
              </w:rPr>
              <w:t>岳普湖县儿童福利院</w:t>
            </w:r>
          </w:p>
        </w:tc>
      </w:tr>
      <w:tr w14:paraId="27781CE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2375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3D57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E5DE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2A1D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72AC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4C25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5F6A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F63FE">
            <w:pPr>
              <w:jc w:val="center"/>
            </w:pPr>
            <w:r>
              <w:rPr>
                <w:rFonts w:ascii="宋体" w:hAnsi="宋体" w:eastAsia="宋体"/>
                <w:sz w:val="16"/>
              </w:rPr>
              <w:t>得分</w:t>
            </w:r>
          </w:p>
        </w:tc>
      </w:tr>
      <w:tr w14:paraId="155AFF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D2A4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2523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A1406">
            <w:pPr>
              <w:jc w:val="center"/>
            </w:pPr>
            <w:r>
              <w:rPr>
                <w:rFonts w:ascii="宋体" w:hAnsi="宋体" w:eastAsia="宋体"/>
                <w:sz w:val="16"/>
              </w:rPr>
              <w:t>251.22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64458">
            <w:pPr>
              <w:jc w:val="center"/>
            </w:pPr>
            <w:r>
              <w:rPr>
                <w:rFonts w:ascii="宋体" w:hAnsi="宋体" w:eastAsia="宋体"/>
                <w:sz w:val="16"/>
              </w:rPr>
              <w:t>291.06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D489A">
            <w:pPr>
              <w:jc w:val="center"/>
            </w:pPr>
            <w:r>
              <w:rPr>
                <w:rFonts w:ascii="宋体" w:hAnsi="宋体" w:eastAsia="宋体"/>
                <w:sz w:val="16"/>
              </w:rPr>
              <w:t>291.06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074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A37E1">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F2859">
            <w:pPr>
              <w:jc w:val="center"/>
            </w:pPr>
            <w:r>
              <w:rPr>
                <w:rFonts w:ascii="宋体" w:hAnsi="宋体" w:eastAsia="宋体"/>
                <w:sz w:val="16"/>
              </w:rPr>
              <w:t>10</w:t>
            </w:r>
          </w:p>
        </w:tc>
      </w:tr>
      <w:tr w14:paraId="0C5331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7C34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A45B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D584F">
            <w:pPr>
              <w:jc w:val="center"/>
            </w:pPr>
            <w:r>
              <w:rPr>
                <w:rFonts w:ascii="宋体" w:hAnsi="宋体" w:eastAsia="宋体"/>
                <w:sz w:val="16"/>
              </w:rPr>
              <w:t>55.89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10048">
            <w:pPr>
              <w:jc w:val="center"/>
            </w:pPr>
            <w:r>
              <w:rPr>
                <w:rFonts w:ascii="宋体" w:hAnsi="宋体" w:eastAsia="宋体"/>
                <w:sz w:val="16"/>
              </w:rPr>
              <w:t>46.46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7BDBD">
            <w:pPr>
              <w:jc w:val="center"/>
            </w:pPr>
            <w:r>
              <w:rPr>
                <w:rFonts w:ascii="宋体" w:hAnsi="宋体" w:eastAsia="宋体"/>
                <w:sz w:val="16"/>
              </w:rPr>
              <w:t>46.46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DB6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08F6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DCB79">
            <w:pPr>
              <w:jc w:val="center"/>
            </w:pPr>
            <w:r>
              <w:rPr>
                <w:rFonts w:ascii="宋体" w:hAnsi="宋体" w:eastAsia="宋体"/>
                <w:sz w:val="16"/>
              </w:rPr>
              <w:t>—</w:t>
            </w:r>
          </w:p>
        </w:tc>
      </w:tr>
      <w:tr w14:paraId="1CD3D9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8054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4D994">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39F22">
            <w:pPr>
              <w:jc w:val="center"/>
            </w:pPr>
            <w:r>
              <w:rPr>
                <w:rFonts w:ascii="宋体" w:hAnsi="宋体" w:eastAsia="宋体"/>
                <w:sz w:val="16"/>
              </w:rPr>
              <w:t>195.33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593C7">
            <w:pPr>
              <w:jc w:val="center"/>
            </w:pPr>
            <w:r>
              <w:rPr>
                <w:rFonts w:ascii="宋体" w:hAnsi="宋体" w:eastAsia="宋体"/>
                <w:sz w:val="16"/>
              </w:rPr>
              <w:t>197.71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BC241">
            <w:pPr>
              <w:jc w:val="center"/>
            </w:pPr>
            <w:r>
              <w:rPr>
                <w:rFonts w:ascii="宋体" w:hAnsi="宋体" w:eastAsia="宋体"/>
                <w:sz w:val="16"/>
              </w:rPr>
              <w:t>197.71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764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BD6E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6226F">
            <w:pPr>
              <w:jc w:val="center"/>
            </w:pPr>
            <w:r>
              <w:rPr>
                <w:rFonts w:ascii="宋体" w:hAnsi="宋体" w:eastAsia="宋体"/>
                <w:sz w:val="16"/>
              </w:rPr>
              <w:t>—</w:t>
            </w:r>
          </w:p>
        </w:tc>
      </w:tr>
      <w:tr w14:paraId="0945B6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0EE1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DE91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2F2C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C0DC3">
            <w:pPr>
              <w:jc w:val="center"/>
            </w:pPr>
            <w:r>
              <w:rPr>
                <w:rFonts w:ascii="宋体" w:hAnsi="宋体" w:eastAsia="宋体"/>
                <w:sz w:val="16"/>
              </w:rPr>
              <w:t>46.89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4617B">
            <w:pPr>
              <w:jc w:val="center"/>
            </w:pPr>
            <w:r>
              <w:rPr>
                <w:rFonts w:ascii="宋体" w:hAnsi="宋体" w:eastAsia="宋体"/>
                <w:sz w:val="16"/>
              </w:rPr>
              <w:t>46.89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933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C43C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0E968">
            <w:pPr>
              <w:jc w:val="center"/>
            </w:pPr>
            <w:r>
              <w:rPr>
                <w:rFonts w:ascii="宋体" w:hAnsi="宋体" w:eastAsia="宋体"/>
                <w:sz w:val="16"/>
              </w:rPr>
              <w:t>—</w:t>
            </w:r>
          </w:p>
        </w:tc>
      </w:tr>
      <w:tr w14:paraId="72E5D56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DE9B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77138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CCDD70">
            <w:pPr>
              <w:jc w:val="center"/>
            </w:pPr>
            <w:r>
              <w:rPr>
                <w:rFonts w:ascii="宋体" w:hAnsi="宋体" w:eastAsia="宋体"/>
                <w:sz w:val="16"/>
              </w:rPr>
              <w:t>实际完成情况</w:t>
            </w:r>
          </w:p>
        </w:tc>
      </w:tr>
      <w:tr w14:paraId="2266C1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32E60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07DA62">
            <w:pPr>
              <w:jc w:val="both"/>
            </w:pPr>
            <w:r>
              <w:rPr>
                <w:rFonts w:ascii="宋体" w:hAnsi="宋体" w:eastAsia="宋体"/>
                <w:sz w:val="16"/>
              </w:rPr>
              <w:t>资助“福彩圆梦·孤儿助学”人数4人，及时为其提供生活、学习方面的保障。宣传普及事实无人抚养儿童救助帮扶政策，照料事实无人抚养儿童，为其提供衣、食、住、行等方面的保障。加强德育教育，促进学生德、智、体、美全面发展。及时救助事实无人抚养儿童，为患病儿童提供医疗保障，提升集中供养儿童的管理服务水平，加强对集中供养儿童的帮扶力度，增强事实无人抚养儿童的获得感和幸福感。</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434C98">
            <w:pPr>
              <w:jc w:val="both"/>
            </w:pPr>
            <w:r>
              <w:rPr>
                <w:rFonts w:ascii="宋体" w:hAnsi="宋体" w:eastAsia="宋体"/>
                <w:sz w:val="16"/>
              </w:rPr>
              <w:t>2024年度岳普湖县资助“福彩圆梦·孤儿助学”人数为4人，我院已经对符合助学的大学生孤儿进行了全面摸排和审核，确保了受助对象符合资助条件，孤儿助学补助已经及时拨付至学生的“一卡通”银行账户。及时宣传普及了事实无人抚养儿童救助帮扶政策，事实无人抚养儿童基本生活保障得到了有效保障。对事实无人抚养儿童及时提供了照料帮扶服务，为其提供了衣、食、住、行等基本生活方面的保障，通过节日及宣传日开展文化节日宣传、儿童生日祝福、心理健康知识普及、安全生产知识宣传等活动，进一步保障我院儿童身心健康，促进了儿童德、智、体、美全面发展。及时救助了孤残儿童，为患病儿童及时提供了医疗保障。进一步提升了集中供养儿童的管理服务水平，加强了对集中供养儿童的帮扶力度，增强了事实无人抚养儿童的获得感和幸福感。</w:t>
            </w:r>
          </w:p>
        </w:tc>
      </w:tr>
      <w:tr w14:paraId="403C159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CF57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62FE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9EB2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C117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37AA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81A1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A279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85BE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EC576">
            <w:pPr>
              <w:jc w:val="center"/>
            </w:pPr>
            <w:r>
              <w:rPr>
                <w:rFonts w:ascii="宋体" w:hAnsi="宋体" w:eastAsia="宋体"/>
                <w:sz w:val="16"/>
              </w:rPr>
              <w:t>得分</w:t>
            </w:r>
          </w:p>
        </w:tc>
      </w:tr>
      <w:tr w14:paraId="6DA5CD2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649C0">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157A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DC386">
            <w:pPr>
              <w:jc w:val="center"/>
            </w:pPr>
            <w:r>
              <w:rPr>
                <w:rFonts w:ascii="宋体" w:hAnsi="宋体" w:eastAsia="宋体"/>
                <w:sz w:val="16"/>
              </w:rPr>
              <w:t>资助“福彩圆梦·孤儿助学”人数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50ACB">
            <w:pPr>
              <w:jc w:val="center"/>
            </w:pPr>
            <w:r>
              <w:rPr>
                <w:rFonts w:ascii="宋体" w:hAnsi="宋体" w:eastAsia="宋体"/>
                <w:sz w:val="16"/>
              </w:rPr>
              <w:t>&gt;=4人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568B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C4DD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F16E5">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117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D7759">
            <w:pPr>
              <w:jc w:val="center"/>
            </w:pPr>
            <w:r>
              <w:rPr>
                <w:rFonts w:ascii="宋体" w:hAnsi="宋体" w:eastAsia="宋体"/>
                <w:sz w:val="16"/>
              </w:rPr>
              <w:t>18</w:t>
            </w:r>
          </w:p>
        </w:tc>
      </w:tr>
      <w:tr w14:paraId="213A5B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A4E5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9350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80FE5">
            <w:pPr>
              <w:jc w:val="center"/>
            </w:pPr>
            <w:r>
              <w:rPr>
                <w:rFonts w:ascii="宋体" w:hAnsi="宋体" w:eastAsia="宋体"/>
                <w:sz w:val="16"/>
              </w:rPr>
              <w:t>事实无人抚养儿童基本生活保障率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9D7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17B2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6D40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287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BF7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93EEE">
            <w:pPr>
              <w:jc w:val="center"/>
            </w:pPr>
            <w:r>
              <w:rPr>
                <w:rFonts w:ascii="宋体" w:hAnsi="宋体" w:eastAsia="宋体"/>
                <w:sz w:val="16"/>
              </w:rPr>
              <w:t>18</w:t>
            </w:r>
          </w:p>
        </w:tc>
      </w:tr>
      <w:tr w14:paraId="7F0018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A3B1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9248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5E683">
            <w:pPr>
              <w:jc w:val="center"/>
            </w:pPr>
            <w:r>
              <w:rPr>
                <w:rFonts w:ascii="宋体" w:hAnsi="宋体" w:eastAsia="宋体"/>
                <w:sz w:val="16"/>
              </w:rPr>
              <w:t>事实无人抚养儿童救助帮扶政策宣传普及率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94E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777B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C385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CEE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0B4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618FA">
            <w:pPr>
              <w:jc w:val="center"/>
            </w:pPr>
            <w:r>
              <w:rPr>
                <w:rFonts w:ascii="宋体" w:hAnsi="宋体" w:eastAsia="宋体"/>
                <w:sz w:val="16"/>
              </w:rPr>
              <w:t>18</w:t>
            </w:r>
          </w:p>
        </w:tc>
      </w:tr>
      <w:tr w14:paraId="1018FE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F4D4A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AFED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7DDB0">
            <w:pPr>
              <w:jc w:val="center"/>
            </w:pPr>
            <w:r>
              <w:rPr>
                <w:rFonts w:ascii="宋体" w:hAnsi="宋体" w:eastAsia="宋体"/>
                <w:sz w:val="16"/>
              </w:rPr>
              <w:t>患病儿童送医及时率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C65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C582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1711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41A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F09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29BBC">
            <w:pPr>
              <w:jc w:val="center"/>
            </w:pPr>
            <w:r>
              <w:rPr>
                <w:rFonts w:ascii="宋体" w:hAnsi="宋体" w:eastAsia="宋体"/>
                <w:sz w:val="16"/>
              </w:rPr>
              <w:t>18</w:t>
            </w:r>
          </w:p>
        </w:tc>
      </w:tr>
      <w:tr w14:paraId="29D48D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FAD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CCFE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51E05">
            <w:pPr>
              <w:jc w:val="center"/>
            </w:pPr>
            <w:r>
              <w:rPr>
                <w:rFonts w:ascii="宋体" w:hAnsi="宋体" w:eastAsia="宋体"/>
                <w:sz w:val="16"/>
              </w:rPr>
              <w:t>孤儿助学补助发放及时率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26A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72B0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EB86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85F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B94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D78B4">
            <w:pPr>
              <w:jc w:val="center"/>
            </w:pPr>
            <w:r>
              <w:rPr>
                <w:rFonts w:ascii="宋体" w:hAnsi="宋体" w:eastAsia="宋体"/>
                <w:sz w:val="16"/>
              </w:rPr>
              <w:t>18</w:t>
            </w:r>
          </w:p>
        </w:tc>
      </w:tr>
    </w:tbl>
    <w:p w14:paraId="7AD51B7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4572CB6">
        <w:tblPrEx>
          <w:tblCellMar>
            <w:top w:w="0" w:type="dxa"/>
            <w:left w:w="108" w:type="dxa"/>
            <w:bottom w:w="0" w:type="dxa"/>
            <w:right w:w="108" w:type="dxa"/>
          </w:tblCellMar>
        </w:tblPrEx>
        <w:tc>
          <w:tcPr>
            <w:tcW w:w="8848" w:type="dxa"/>
            <w:gridSpan w:val="14"/>
            <w:vAlign w:val="center"/>
          </w:tcPr>
          <w:p w14:paraId="227FCD6A">
            <w:pPr>
              <w:jc w:val="center"/>
            </w:pPr>
            <w:r>
              <w:rPr>
                <w:rFonts w:ascii="宋体" w:hAnsi="宋体" w:eastAsia="宋体"/>
                <w:sz w:val="24"/>
              </w:rPr>
              <w:t>项目支出绩效自评表</w:t>
            </w:r>
          </w:p>
        </w:tc>
      </w:tr>
      <w:tr w14:paraId="37DA525F">
        <w:tblPrEx>
          <w:tblCellMar>
            <w:top w:w="0" w:type="dxa"/>
            <w:left w:w="108" w:type="dxa"/>
            <w:bottom w:w="0" w:type="dxa"/>
            <w:right w:w="108" w:type="dxa"/>
          </w:tblCellMar>
        </w:tblPrEx>
        <w:tc>
          <w:tcPr>
            <w:tcW w:w="8848" w:type="dxa"/>
            <w:gridSpan w:val="14"/>
            <w:vAlign w:val="center"/>
          </w:tcPr>
          <w:p w14:paraId="6E577CAD">
            <w:pPr>
              <w:jc w:val="center"/>
            </w:pPr>
            <w:r>
              <w:rPr>
                <w:rFonts w:ascii="宋体" w:hAnsi="宋体" w:eastAsia="宋体"/>
                <w:sz w:val="24"/>
              </w:rPr>
              <w:t>(2024年度)</w:t>
            </w:r>
          </w:p>
        </w:tc>
      </w:tr>
      <w:tr w14:paraId="348610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EB7C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48B75E">
            <w:pPr>
              <w:jc w:val="center"/>
            </w:pPr>
            <w:r>
              <w:rPr>
                <w:rFonts w:ascii="宋体" w:hAnsi="宋体" w:eastAsia="宋体"/>
                <w:sz w:val="16"/>
              </w:rPr>
              <w:t>儿童福利院运转经费项目</w:t>
            </w:r>
          </w:p>
        </w:tc>
      </w:tr>
      <w:tr w14:paraId="5DFB6F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6EF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0F2C8F">
            <w:pPr>
              <w:jc w:val="center"/>
            </w:pPr>
            <w:r>
              <w:rPr>
                <w:rFonts w:ascii="宋体" w:hAnsi="宋体" w:eastAsia="宋体"/>
                <w:sz w:val="16"/>
              </w:rPr>
              <w:t>岳普湖县儿童福利院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A3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92087F">
            <w:pPr>
              <w:jc w:val="center"/>
            </w:pPr>
            <w:r>
              <w:rPr>
                <w:rFonts w:ascii="宋体" w:hAnsi="宋体" w:eastAsia="宋体"/>
                <w:sz w:val="16"/>
              </w:rPr>
              <w:t>岳普湖县儿童福利院</w:t>
            </w:r>
          </w:p>
        </w:tc>
      </w:tr>
      <w:tr w14:paraId="5EB1AB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2E4A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7EF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0AF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09C9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93C2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78A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437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55A27">
            <w:pPr>
              <w:jc w:val="center"/>
            </w:pPr>
            <w:r>
              <w:rPr>
                <w:rFonts w:ascii="宋体" w:hAnsi="宋体" w:eastAsia="宋体"/>
                <w:sz w:val="16"/>
              </w:rPr>
              <w:t>得分</w:t>
            </w:r>
          </w:p>
        </w:tc>
      </w:tr>
      <w:tr w14:paraId="2F5515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A95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664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1FDB3">
            <w:pPr>
              <w:jc w:val="center"/>
            </w:pPr>
            <w:r>
              <w:rPr>
                <w:rFonts w:ascii="宋体" w:hAnsi="宋体" w:eastAsia="宋体"/>
                <w:sz w:val="16"/>
              </w:rPr>
              <w:t>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3BCCD">
            <w:pPr>
              <w:jc w:val="center"/>
            </w:pPr>
            <w:r>
              <w:rPr>
                <w:rFonts w:ascii="宋体" w:hAnsi="宋体" w:eastAsia="宋体"/>
                <w:sz w:val="16"/>
              </w:rPr>
              <w:t>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7FAFC">
            <w:pPr>
              <w:jc w:val="center"/>
            </w:pPr>
            <w:r>
              <w:rPr>
                <w:rFonts w:ascii="宋体" w:hAnsi="宋体" w:eastAsia="宋体"/>
                <w:sz w:val="16"/>
              </w:rPr>
              <w:t>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0E5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2B0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DF0B3">
            <w:pPr>
              <w:jc w:val="center"/>
            </w:pPr>
            <w:r>
              <w:rPr>
                <w:rFonts w:ascii="宋体" w:hAnsi="宋体" w:eastAsia="宋体"/>
                <w:sz w:val="16"/>
              </w:rPr>
              <w:t>10.00分</w:t>
            </w:r>
          </w:p>
        </w:tc>
      </w:tr>
      <w:tr w14:paraId="29495B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D32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D180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1ABDC">
            <w:pPr>
              <w:jc w:val="center"/>
            </w:pPr>
            <w:r>
              <w:rPr>
                <w:rFonts w:ascii="宋体" w:hAnsi="宋体" w:eastAsia="宋体"/>
                <w:sz w:val="16"/>
              </w:rPr>
              <w:t>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AEC4D">
            <w:pPr>
              <w:jc w:val="center"/>
            </w:pPr>
            <w:r>
              <w:rPr>
                <w:rFonts w:ascii="宋体" w:hAnsi="宋体" w:eastAsia="宋体"/>
                <w:sz w:val="16"/>
              </w:rPr>
              <w:t>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CA4A1">
            <w:pPr>
              <w:jc w:val="center"/>
            </w:pPr>
            <w:r>
              <w:rPr>
                <w:rFonts w:ascii="宋体" w:hAnsi="宋体" w:eastAsia="宋体"/>
                <w:sz w:val="16"/>
              </w:rPr>
              <w:t>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109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EE8C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F52B">
            <w:pPr>
              <w:jc w:val="center"/>
            </w:pPr>
            <w:r>
              <w:rPr>
                <w:rFonts w:ascii="宋体" w:hAnsi="宋体" w:eastAsia="宋体"/>
                <w:sz w:val="16"/>
              </w:rPr>
              <w:t>—</w:t>
            </w:r>
          </w:p>
        </w:tc>
      </w:tr>
      <w:tr w14:paraId="64AD1D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9ED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7F77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09C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E6D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A0A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E33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C418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13C9D">
            <w:pPr>
              <w:jc w:val="center"/>
            </w:pPr>
            <w:r>
              <w:rPr>
                <w:rFonts w:ascii="宋体" w:hAnsi="宋体" w:eastAsia="宋体"/>
                <w:sz w:val="16"/>
              </w:rPr>
              <w:t>—</w:t>
            </w:r>
          </w:p>
        </w:tc>
      </w:tr>
      <w:tr w14:paraId="4D5BF2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A872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6BAF5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B1901D">
            <w:pPr>
              <w:jc w:val="center"/>
            </w:pPr>
            <w:r>
              <w:rPr>
                <w:rFonts w:ascii="宋体" w:hAnsi="宋体" w:eastAsia="宋体"/>
                <w:sz w:val="16"/>
              </w:rPr>
              <w:t>实际完成情况</w:t>
            </w:r>
          </w:p>
        </w:tc>
      </w:tr>
      <w:tr w14:paraId="4BF1DB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9BB6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D87452">
            <w:pPr>
              <w:jc w:val="both"/>
            </w:pPr>
            <w:r>
              <w:rPr>
                <w:rFonts w:ascii="宋体" w:hAnsi="宋体" w:eastAsia="宋体"/>
                <w:sz w:val="16"/>
              </w:rPr>
              <w:t>为岳普湖县儿童福利院提供运转经费保障。经费主要用于支付岳普湖县儿童福利院产生的水电费。经费保障机构数量1个。通过项目的实施满足机构日常水电使用需求，确保单位日常工作正常运转。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274CB4">
            <w:pPr>
              <w:jc w:val="both"/>
            </w:pPr>
            <w:r>
              <w:rPr>
                <w:rFonts w:ascii="宋体" w:hAnsi="宋体" w:eastAsia="宋体"/>
                <w:sz w:val="16"/>
              </w:rPr>
              <w:t>资金为岳普湖县儿童福利院提供了运转经费保障，经费已经支付了岳普湖县儿童福利院产生的水电费。经费保障机构数量为1个。项目预算执行率为100%。通过项目的实施有效满足了机构日常水电使用需求，持续确保了单位日常工作正常开展。</w:t>
            </w:r>
          </w:p>
        </w:tc>
      </w:tr>
      <w:tr w14:paraId="667865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BB76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243A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ED1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08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017C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DA8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A54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ECC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52F1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D5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DC7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0C8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CAAB5">
            <w:pPr>
              <w:jc w:val="center"/>
            </w:pPr>
            <w:r>
              <w:rPr>
                <w:rFonts w:ascii="宋体" w:hAnsi="宋体" w:eastAsia="宋体"/>
                <w:sz w:val="16"/>
              </w:rPr>
              <w:t>偏差原因分析及改进措施</w:t>
            </w:r>
          </w:p>
        </w:tc>
      </w:tr>
      <w:tr w14:paraId="134B10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92B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5583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4B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9BC0F">
            <w:pPr>
              <w:jc w:val="center"/>
            </w:pPr>
            <w:r>
              <w:rPr>
                <w:rFonts w:ascii="宋体" w:hAnsi="宋体" w:eastAsia="宋体"/>
                <w:sz w:val="16"/>
              </w:rPr>
              <w:t>经费保障机构数量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48DE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E9D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39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6E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69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80D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88D0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92D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A8EE2">
            <w:pPr>
              <w:jc w:val="center"/>
            </w:pPr>
          </w:p>
        </w:tc>
      </w:tr>
      <w:tr w14:paraId="2CDBEF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86F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790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09E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E442">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BFE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07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84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64B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C5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AB3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BA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961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E7DDA">
            <w:pPr>
              <w:jc w:val="center"/>
            </w:pPr>
          </w:p>
        </w:tc>
      </w:tr>
      <w:tr w14:paraId="271BB2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D5B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500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719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8C6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D36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34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AFF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0B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8C1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47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20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3BA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6DD12">
            <w:pPr>
              <w:jc w:val="center"/>
            </w:pPr>
          </w:p>
        </w:tc>
      </w:tr>
      <w:tr w14:paraId="6FD41E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2E9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4D3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012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F6EDC">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9068">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FBA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01FA">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6E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A50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87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8F8B6">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2B0C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79976">
            <w:pPr>
              <w:jc w:val="center"/>
            </w:pPr>
          </w:p>
        </w:tc>
      </w:tr>
      <w:tr w14:paraId="08F511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669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7C0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274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7CBFE">
            <w:pPr>
              <w:jc w:val="center"/>
            </w:pPr>
            <w:r>
              <w:rPr>
                <w:rFonts w:ascii="宋体" w:hAnsi="宋体" w:eastAsia="宋体"/>
                <w:sz w:val="16"/>
              </w:rPr>
              <w:t>资金按期支付及时性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2A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3A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17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858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FB9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5F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7D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811B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3D18F">
            <w:pPr>
              <w:jc w:val="center"/>
            </w:pPr>
          </w:p>
        </w:tc>
      </w:tr>
      <w:tr w14:paraId="622A7D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D3E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E074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83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44AF">
            <w:pPr>
              <w:jc w:val="center"/>
            </w:pPr>
            <w:r>
              <w:rPr>
                <w:rFonts w:ascii="宋体" w:hAnsi="宋体" w:eastAsia="宋体"/>
                <w:sz w:val="16"/>
              </w:rPr>
              <w:t>经费支出预算控制数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F30DE">
            <w:pPr>
              <w:jc w:val="center"/>
            </w:pPr>
            <w:r>
              <w:rPr>
                <w:rFonts w:ascii="宋体" w:hAnsi="宋体" w:eastAsia="宋体"/>
                <w:sz w:val="16"/>
              </w:rPr>
              <w:t>&lt;=5.71万元/个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159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57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C4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3AC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E41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C778">
            <w:pPr>
              <w:jc w:val="center"/>
            </w:pPr>
            <w:r>
              <w:rPr>
                <w:rFonts w:ascii="宋体" w:hAnsi="宋体" w:eastAsia="宋体"/>
                <w:sz w:val="16"/>
              </w:rPr>
              <w:t>=5.71万元/个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015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0B0A0">
            <w:pPr>
              <w:jc w:val="center"/>
            </w:pPr>
          </w:p>
        </w:tc>
      </w:tr>
      <w:tr w14:paraId="7CA37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B6C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AC8E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E5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E0CD">
            <w:pPr>
              <w:jc w:val="center"/>
            </w:pPr>
            <w:r>
              <w:rPr>
                <w:rFonts w:ascii="宋体" w:hAnsi="宋体" w:eastAsia="宋体"/>
                <w:sz w:val="16"/>
              </w:rPr>
              <w:t>满足机构日常水电使用需求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DECF">
            <w:pPr>
              <w:jc w:val="center"/>
            </w:pPr>
            <w:r>
              <w:rPr>
                <w:rFonts w:ascii="宋体" w:hAnsi="宋体" w:eastAsia="宋体"/>
                <w:sz w:val="16"/>
              </w:rPr>
              <w:t>有效满足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145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C1B7">
            <w:pPr>
              <w:jc w:val="center"/>
            </w:pPr>
            <w:r>
              <w:rPr>
                <w:rFonts w:ascii="宋体" w:hAnsi="宋体" w:eastAsia="宋体"/>
                <w:sz w:val="16"/>
              </w:rPr>
              <w:t>有效满足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B4E63">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7F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753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DEB8">
            <w:pPr>
              <w:jc w:val="center"/>
            </w:pPr>
            <w:r>
              <w:rPr>
                <w:rFonts w:ascii="宋体" w:hAnsi="宋体" w:eastAsia="宋体"/>
                <w:sz w:val="16"/>
              </w:rPr>
              <w:t>有效满足</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94DF0">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68CB9">
            <w:pPr>
              <w:jc w:val="center"/>
            </w:pPr>
          </w:p>
        </w:tc>
      </w:tr>
      <w:tr w14:paraId="4C34AAA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B2ED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75F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14028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FA73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8CB08E"/>
        </w:tc>
      </w:tr>
    </w:tbl>
    <w:p w14:paraId="1616D376">
      <w:r>
        <w:br w:type="page"/>
      </w:r>
    </w:p>
    <w:tbl>
      <w:tblPr>
        <w:tblStyle w:val="9"/>
        <w:tblW w:w="0" w:type="auto"/>
        <w:tblInd w:w="0" w:type="dxa"/>
        <w:tblLayout w:type="autofit"/>
        <w:tblCellMar>
          <w:top w:w="0" w:type="dxa"/>
          <w:left w:w="108" w:type="dxa"/>
          <w:bottom w:w="0" w:type="dxa"/>
          <w:right w:w="108" w:type="dxa"/>
        </w:tblCellMar>
      </w:tblPr>
      <w:tblGrid>
        <w:gridCol w:w="617"/>
        <w:gridCol w:w="591"/>
        <w:gridCol w:w="591"/>
        <w:gridCol w:w="617"/>
        <w:gridCol w:w="936"/>
        <w:gridCol w:w="591"/>
        <w:gridCol w:w="591"/>
        <w:gridCol w:w="604"/>
        <w:gridCol w:w="591"/>
        <w:gridCol w:w="591"/>
        <w:gridCol w:w="936"/>
        <w:gridCol w:w="632"/>
        <w:gridCol w:w="542"/>
        <w:gridCol w:w="630"/>
      </w:tblGrid>
      <w:tr w14:paraId="39142781">
        <w:tblPrEx>
          <w:tblCellMar>
            <w:top w:w="0" w:type="dxa"/>
            <w:left w:w="108" w:type="dxa"/>
            <w:bottom w:w="0" w:type="dxa"/>
            <w:right w:w="108" w:type="dxa"/>
          </w:tblCellMar>
        </w:tblPrEx>
        <w:tc>
          <w:tcPr>
            <w:tcW w:w="8848" w:type="dxa"/>
            <w:gridSpan w:val="14"/>
            <w:vAlign w:val="center"/>
          </w:tcPr>
          <w:p w14:paraId="5C2E0348">
            <w:pPr>
              <w:jc w:val="center"/>
            </w:pPr>
            <w:r>
              <w:rPr>
                <w:rFonts w:ascii="宋体" w:hAnsi="宋体" w:eastAsia="宋体"/>
                <w:sz w:val="24"/>
              </w:rPr>
              <w:t>项目支出绩效自评表</w:t>
            </w:r>
          </w:p>
        </w:tc>
      </w:tr>
      <w:tr w14:paraId="5C750B36">
        <w:tblPrEx>
          <w:tblCellMar>
            <w:top w:w="0" w:type="dxa"/>
            <w:left w:w="108" w:type="dxa"/>
            <w:bottom w:w="0" w:type="dxa"/>
            <w:right w:w="108" w:type="dxa"/>
          </w:tblCellMar>
        </w:tblPrEx>
        <w:tc>
          <w:tcPr>
            <w:tcW w:w="8848" w:type="dxa"/>
            <w:gridSpan w:val="14"/>
            <w:vAlign w:val="center"/>
          </w:tcPr>
          <w:p w14:paraId="03417E0F">
            <w:pPr>
              <w:jc w:val="center"/>
            </w:pPr>
            <w:r>
              <w:rPr>
                <w:rFonts w:ascii="宋体" w:hAnsi="宋体" w:eastAsia="宋体"/>
                <w:sz w:val="24"/>
              </w:rPr>
              <w:t>(2024年度)</w:t>
            </w:r>
          </w:p>
        </w:tc>
      </w:tr>
      <w:tr w14:paraId="39F4D3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022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EA38A3">
            <w:pPr>
              <w:jc w:val="center"/>
            </w:pPr>
            <w:r>
              <w:rPr>
                <w:rFonts w:ascii="宋体" w:hAnsi="宋体" w:eastAsia="宋体"/>
                <w:sz w:val="16"/>
              </w:rPr>
              <w:t>岳普湖县铸牢中华民族共同体意识交往交流交融(泰岳阳光·爱心结对活动)项目</w:t>
            </w:r>
          </w:p>
        </w:tc>
      </w:tr>
      <w:tr w14:paraId="2970F8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77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892C2F">
            <w:pPr>
              <w:jc w:val="center"/>
            </w:pPr>
            <w:r>
              <w:rPr>
                <w:rFonts w:ascii="宋体" w:hAnsi="宋体" w:eastAsia="宋体"/>
                <w:sz w:val="16"/>
              </w:rPr>
              <w:t>岳普湖县儿童福利院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193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03C7DE">
            <w:pPr>
              <w:jc w:val="center"/>
            </w:pPr>
            <w:r>
              <w:rPr>
                <w:rFonts w:ascii="宋体" w:hAnsi="宋体" w:eastAsia="宋体"/>
                <w:sz w:val="16"/>
              </w:rPr>
              <w:t>岳普湖县儿童福利院</w:t>
            </w:r>
          </w:p>
        </w:tc>
      </w:tr>
      <w:tr w14:paraId="0FCA0F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7FCE3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6FB8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274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833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3B4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18C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420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D8530">
            <w:pPr>
              <w:jc w:val="center"/>
            </w:pPr>
            <w:r>
              <w:rPr>
                <w:rFonts w:ascii="宋体" w:hAnsi="宋体" w:eastAsia="宋体"/>
                <w:sz w:val="16"/>
              </w:rPr>
              <w:t>得分</w:t>
            </w:r>
          </w:p>
        </w:tc>
      </w:tr>
      <w:tr w14:paraId="33E7F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B10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EEA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CA2F6">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79D17">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B70A6">
            <w:pPr>
              <w:jc w:val="center"/>
            </w:pPr>
            <w:r>
              <w:rPr>
                <w:rFonts w:ascii="宋体" w:hAnsi="宋体" w:eastAsia="宋体"/>
                <w:sz w:val="16"/>
              </w:rPr>
              <w:t>46.89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922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D6255">
            <w:pPr>
              <w:jc w:val="center"/>
            </w:pPr>
            <w:r>
              <w:rPr>
                <w:rFonts w:ascii="宋体" w:hAnsi="宋体" w:eastAsia="宋体"/>
                <w:sz w:val="16"/>
              </w:rPr>
              <w:t>99.77%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FC9EC">
            <w:pPr>
              <w:jc w:val="center"/>
            </w:pPr>
            <w:r>
              <w:rPr>
                <w:rFonts w:ascii="宋体" w:hAnsi="宋体" w:eastAsia="宋体"/>
                <w:sz w:val="16"/>
              </w:rPr>
              <w:t>10.00分</w:t>
            </w:r>
          </w:p>
        </w:tc>
      </w:tr>
      <w:tr w14:paraId="4AB61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AE2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1B8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E80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8A7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4E1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B5A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306A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F7255">
            <w:pPr>
              <w:jc w:val="center"/>
            </w:pPr>
            <w:r>
              <w:rPr>
                <w:rFonts w:ascii="宋体" w:hAnsi="宋体" w:eastAsia="宋体"/>
                <w:sz w:val="16"/>
              </w:rPr>
              <w:t>—</w:t>
            </w:r>
          </w:p>
        </w:tc>
      </w:tr>
      <w:tr w14:paraId="3F61A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484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A89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D2B92">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0D423">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81F9E">
            <w:pPr>
              <w:jc w:val="center"/>
            </w:pPr>
            <w:r>
              <w:rPr>
                <w:rFonts w:ascii="宋体" w:hAnsi="宋体" w:eastAsia="宋体"/>
                <w:sz w:val="16"/>
              </w:rPr>
              <w:t>46.89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FFA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0286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E8769">
            <w:pPr>
              <w:jc w:val="center"/>
            </w:pPr>
            <w:r>
              <w:rPr>
                <w:rFonts w:ascii="宋体" w:hAnsi="宋体" w:eastAsia="宋体"/>
                <w:sz w:val="16"/>
              </w:rPr>
              <w:t>—</w:t>
            </w:r>
          </w:p>
        </w:tc>
      </w:tr>
      <w:tr w14:paraId="2FF0F8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5739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36A3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E17027">
            <w:pPr>
              <w:jc w:val="center"/>
            </w:pPr>
            <w:r>
              <w:rPr>
                <w:rFonts w:ascii="宋体" w:hAnsi="宋体" w:eastAsia="宋体"/>
                <w:sz w:val="16"/>
              </w:rPr>
              <w:t>实际完成情况</w:t>
            </w:r>
          </w:p>
        </w:tc>
      </w:tr>
      <w:tr w14:paraId="3A63B9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9FB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C67118">
            <w:pPr>
              <w:jc w:val="both"/>
            </w:pPr>
            <w:r>
              <w:rPr>
                <w:rFonts w:ascii="宋体" w:hAnsi="宋体" w:eastAsia="宋体"/>
                <w:sz w:val="16"/>
              </w:rPr>
              <w:t>为泰安援疆指挥部及岳普湖县希望学校的28名人员提供“泰岳阳光·安心结对”文化交流交融经费保障，资金主要用于儿童、随行老师等工作人员赴山东泰安市交通费、外出研学等费用。通过项目的实施贯彻落实“文化润疆”的治疆方略，扎实有效开展“青少年筑基工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9D1640">
            <w:pPr>
              <w:jc w:val="both"/>
            </w:pPr>
            <w:r>
              <w:rPr>
                <w:rFonts w:ascii="宋体" w:hAnsi="宋体" w:eastAsia="宋体"/>
                <w:sz w:val="16"/>
              </w:rPr>
              <w:t>“泰岳阳光·安心结对”文化交流交融活动已经按期顺利完成，参加文化交流交融人员达到了28人，已经按期支付了儿童、随行老师等工作人员赴山东泰安市交通费、外出研学等费用。项目预算执行率为99.8%，项目已完成，剩余资金结余。通过项目的实施有效贯彻落实了“文化润疆”的治疆方略，促进了“青少年筑基工程”扎实有效开展。参与文化交流人员满意度达到了100%。</w:t>
            </w:r>
            <w:r>
              <w:rPr>
                <w:rFonts w:ascii="宋体" w:hAnsi="宋体" w:eastAsia="宋体"/>
                <w:sz w:val="16"/>
              </w:rPr>
              <w:br w:type="textWrapping"/>
            </w:r>
          </w:p>
        </w:tc>
      </w:tr>
      <w:tr w14:paraId="69F78B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09B5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32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9B2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D2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CE9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219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94E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336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72D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CCE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CC6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C43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C4512">
            <w:pPr>
              <w:jc w:val="center"/>
            </w:pPr>
            <w:r>
              <w:rPr>
                <w:rFonts w:ascii="宋体" w:hAnsi="宋体" w:eastAsia="宋体"/>
                <w:sz w:val="16"/>
              </w:rPr>
              <w:t>偏差原因分析及改进措施</w:t>
            </w:r>
          </w:p>
        </w:tc>
      </w:tr>
      <w:tr w14:paraId="1D1397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F86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3FD2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F73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21288">
            <w:pPr>
              <w:jc w:val="center"/>
            </w:pPr>
            <w:r>
              <w:rPr>
                <w:rFonts w:ascii="宋体" w:hAnsi="宋体" w:eastAsia="宋体"/>
                <w:sz w:val="16"/>
              </w:rPr>
              <w:t>资金保障人员数量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C33F9">
            <w:pPr>
              <w:jc w:val="center"/>
            </w:pPr>
            <w:r>
              <w:rPr>
                <w:rFonts w:ascii="宋体" w:hAnsi="宋体" w:eastAsia="宋体"/>
                <w:sz w:val="16"/>
              </w:rPr>
              <w:t>&gt;=28人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3C8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E0D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99E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25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6E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CA06">
            <w:pPr>
              <w:jc w:val="center"/>
            </w:pPr>
            <w:r>
              <w:rPr>
                <w:rFonts w:ascii="宋体" w:hAnsi="宋体" w:eastAsia="宋体"/>
                <w:sz w:val="16"/>
              </w:rPr>
              <w: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3B5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B6CD1">
            <w:pPr>
              <w:jc w:val="center"/>
            </w:pPr>
          </w:p>
        </w:tc>
      </w:tr>
      <w:tr w14:paraId="532B9F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2D3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5A64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FF7B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F4BF">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E3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4CE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C96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C60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B0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8D6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DE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B15B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1E8B7">
            <w:pPr>
              <w:jc w:val="center"/>
            </w:pPr>
          </w:p>
        </w:tc>
      </w:tr>
      <w:tr w14:paraId="261385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C00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0FE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4DA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A415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D6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1A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768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D71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D3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3A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38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3095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F11DA">
            <w:pPr>
              <w:jc w:val="center"/>
            </w:pPr>
          </w:p>
        </w:tc>
      </w:tr>
      <w:tr w14:paraId="65D4DE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5A7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181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A075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CB58E">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2073B">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9E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05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271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F6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991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D4382">
            <w:pPr>
              <w:jc w:val="center"/>
            </w:pPr>
            <w:r>
              <w:rPr>
                <w:rFonts w:ascii="宋体" w:hAnsi="宋体" w:eastAsia="宋体"/>
                <w:sz w:val="16"/>
              </w:rPr>
              <w:t>=2024年6月13日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5EFD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AF5AB">
            <w:pPr>
              <w:jc w:val="center"/>
            </w:pPr>
          </w:p>
        </w:tc>
      </w:tr>
      <w:tr w14:paraId="601805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B7B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347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5D8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CA09">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21D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3E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78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FC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9D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96F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95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754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696F0">
            <w:pPr>
              <w:jc w:val="center"/>
            </w:pPr>
          </w:p>
        </w:tc>
      </w:tr>
      <w:tr w14:paraId="196888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088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1B8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F2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1D42">
            <w:pPr>
              <w:jc w:val="center"/>
            </w:pPr>
            <w:r>
              <w:rPr>
                <w:rFonts w:ascii="宋体" w:hAnsi="宋体" w:eastAsia="宋体"/>
                <w:sz w:val="16"/>
              </w:rPr>
              <w:t>人员文化交流交融支出平均预算控制数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1849">
            <w:pPr>
              <w:jc w:val="center"/>
            </w:pPr>
            <w:r>
              <w:rPr>
                <w:rFonts w:ascii="宋体" w:hAnsi="宋体" w:eastAsia="宋体"/>
                <w:sz w:val="16"/>
              </w:rPr>
              <w:t>&lt;16785.71元/人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48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879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FF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DAF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74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F02C">
            <w:pPr>
              <w:jc w:val="center"/>
            </w:pPr>
            <w:r>
              <w:rPr>
                <w:rFonts w:ascii="宋体" w:hAnsi="宋体" w:eastAsia="宋体"/>
                <w:sz w:val="16"/>
              </w:rPr>
              <w:t>=16746.42元/人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EDE0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960FB">
            <w:pPr>
              <w:jc w:val="center"/>
            </w:pPr>
          </w:p>
        </w:tc>
      </w:tr>
      <w:tr w14:paraId="57952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F48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00A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25C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4CD7">
            <w:pPr>
              <w:jc w:val="center"/>
            </w:pPr>
            <w:r>
              <w:rPr>
                <w:rFonts w:ascii="宋体" w:hAnsi="宋体" w:eastAsia="宋体"/>
                <w:sz w:val="16"/>
              </w:rPr>
              <w:t>贯彻落实“文化润疆”的治疆方略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3EE13">
            <w:pPr>
              <w:jc w:val="center"/>
            </w:pPr>
            <w:r>
              <w:rPr>
                <w:rFonts w:ascii="宋体" w:hAnsi="宋体" w:eastAsia="宋体"/>
                <w:sz w:val="16"/>
              </w:rPr>
              <w:t>有效贯彻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F7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D0A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21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F5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871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A685">
            <w:pPr>
              <w:jc w:val="center"/>
            </w:pPr>
            <w:r>
              <w:rPr>
                <w:rFonts w:ascii="宋体" w:hAnsi="宋体" w:eastAsia="宋体"/>
                <w:sz w:val="16"/>
              </w:rPr>
              <w:t>有效贯彻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5A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39CA3">
            <w:pPr>
              <w:jc w:val="center"/>
            </w:pPr>
          </w:p>
        </w:tc>
      </w:tr>
      <w:tr w14:paraId="14756403">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73F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10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E31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E9BC6">
            <w:pPr>
              <w:jc w:val="center"/>
            </w:pPr>
            <w:r>
              <w:rPr>
                <w:rFonts w:ascii="宋体" w:hAnsi="宋体" w:eastAsia="宋体"/>
                <w:sz w:val="16"/>
              </w:rPr>
              <w:t>参与文化交流人员满意度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1BA0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78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88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AE8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27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52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25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7F1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55D49">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F43E31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E1A9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F0E0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380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1F2F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23C797"/>
        </w:tc>
      </w:tr>
    </w:tbl>
    <w:p w14:paraId="38043594">
      <w:r>
        <w:br w:type="page"/>
      </w:r>
    </w:p>
    <w:p w14:paraId="1DC7FC36">
      <w:pPr>
        <w:spacing w:line="640" w:lineRule="exact"/>
        <w:ind w:firstLine="640"/>
        <w:jc w:val="both"/>
        <w:outlineLvl w:val="2"/>
      </w:pPr>
      <w:r>
        <w:rPr>
          <w:rFonts w:ascii="黑体" w:hAnsi="黑体" w:eastAsia="黑体"/>
          <w:sz w:val="32"/>
        </w:rPr>
        <w:t>十二、其他需说明的事项</w:t>
      </w:r>
    </w:p>
    <w:p w14:paraId="40AA198A">
      <w:pPr>
        <w:spacing w:line="580" w:lineRule="exact"/>
        <w:ind w:firstLine="640"/>
        <w:jc w:val="both"/>
      </w:pPr>
      <w:r>
        <w:rPr>
          <w:rFonts w:ascii="仿宋_GB2312" w:hAnsi="仿宋_GB2312" w:eastAsia="仿宋_GB2312"/>
          <w:b w:val="0"/>
          <w:sz w:val="32"/>
        </w:rPr>
        <w:t>本单位无其他需说明的事项。</w:t>
      </w:r>
    </w:p>
    <w:p w14:paraId="06F40E70">
      <w:r>
        <w:br w:type="page"/>
      </w:r>
    </w:p>
    <w:p w14:paraId="25C9936D">
      <w:pPr>
        <w:spacing w:line="240" w:lineRule="auto"/>
        <w:jc w:val="center"/>
        <w:outlineLvl w:val="1"/>
      </w:pPr>
      <w:r>
        <w:rPr>
          <w:rFonts w:ascii="黑体" w:hAnsi="黑体" w:eastAsia="黑体"/>
          <w:sz w:val="32"/>
        </w:rPr>
        <w:t>第三部分 专业名词解释</w:t>
      </w:r>
    </w:p>
    <w:p w14:paraId="3FF19AF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D728DB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CE7D3A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9F07E2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160922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3D6838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CF2054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1DC340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BB60F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05920F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F0BC05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A20CC5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C40C56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C830A5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2E25143">
      <w:r>
        <w:br w:type="page"/>
      </w:r>
    </w:p>
    <w:p w14:paraId="613CB9BC">
      <w:pPr>
        <w:spacing w:line="240" w:lineRule="auto"/>
        <w:jc w:val="center"/>
        <w:outlineLvl w:val="1"/>
      </w:pPr>
      <w:r>
        <w:rPr>
          <w:rFonts w:ascii="黑体" w:hAnsi="黑体" w:eastAsia="黑体"/>
          <w:sz w:val="32"/>
        </w:rPr>
        <w:t>第四部分 部门决算报表（见附表）</w:t>
      </w:r>
    </w:p>
    <w:p w14:paraId="5B735DA8">
      <w:pPr>
        <w:spacing w:line="240" w:lineRule="auto"/>
        <w:ind w:firstLine="640"/>
        <w:jc w:val="both"/>
      </w:pPr>
      <w:r>
        <w:rPr>
          <w:rFonts w:ascii="仿宋_GB2312" w:hAnsi="仿宋_GB2312" w:eastAsia="仿宋_GB2312"/>
          <w:b w:val="0"/>
          <w:sz w:val="32"/>
        </w:rPr>
        <w:t>一、《收入支出决算总表》</w:t>
      </w:r>
    </w:p>
    <w:p w14:paraId="057090C3">
      <w:pPr>
        <w:spacing w:line="240" w:lineRule="auto"/>
        <w:ind w:firstLine="640"/>
        <w:jc w:val="both"/>
      </w:pPr>
      <w:r>
        <w:rPr>
          <w:rFonts w:ascii="仿宋_GB2312" w:hAnsi="仿宋_GB2312" w:eastAsia="仿宋_GB2312"/>
          <w:b w:val="0"/>
          <w:sz w:val="32"/>
        </w:rPr>
        <w:t>二、《收入决算表》</w:t>
      </w:r>
    </w:p>
    <w:p w14:paraId="2ACF19BC">
      <w:pPr>
        <w:spacing w:line="240" w:lineRule="auto"/>
        <w:ind w:firstLine="640"/>
        <w:jc w:val="both"/>
      </w:pPr>
      <w:r>
        <w:rPr>
          <w:rFonts w:ascii="仿宋_GB2312" w:hAnsi="仿宋_GB2312" w:eastAsia="仿宋_GB2312"/>
          <w:b w:val="0"/>
          <w:sz w:val="32"/>
        </w:rPr>
        <w:t>三、《支出决算表》</w:t>
      </w:r>
    </w:p>
    <w:p w14:paraId="2FB253DC">
      <w:pPr>
        <w:spacing w:line="240" w:lineRule="auto"/>
        <w:ind w:firstLine="640"/>
        <w:jc w:val="both"/>
      </w:pPr>
      <w:r>
        <w:rPr>
          <w:rFonts w:ascii="仿宋_GB2312" w:hAnsi="仿宋_GB2312" w:eastAsia="仿宋_GB2312"/>
          <w:b w:val="0"/>
          <w:sz w:val="32"/>
        </w:rPr>
        <w:t>四、《财政拨款收入支出决算总表》</w:t>
      </w:r>
    </w:p>
    <w:p w14:paraId="3A076C34">
      <w:pPr>
        <w:spacing w:line="240" w:lineRule="auto"/>
        <w:ind w:firstLine="640"/>
        <w:jc w:val="both"/>
      </w:pPr>
      <w:r>
        <w:rPr>
          <w:rFonts w:ascii="仿宋_GB2312" w:hAnsi="仿宋_GB2312" w:eastAsia="仿宋_GB2312"/>
          <w:b w:val="0"/>
          <w:sz w:val="32"/>
        </w:rPr>
        <w:t>五、《一般公共预算财政拨款支出决算表》</w:t>
      </w:r>
    </w:p>
    <w:p w14:paraId="390937E5">
      <w:pPr>
        <w:spacing w:line="240" w:lineRule="auto"/>
        <w:ind w:firstLine="640"/>
        <w:jc w:val="both"/>
      </w:pPr>
      <w:r>
        <w:rPr>
          <w:rFonts w:ascii="仿宋_GB2312" w:hAnsi="仿宋_GB2312" w:eastAsia="仿宋_GB2312"/>
          <w:b w:val="0"/>
          <w:sz w:val="32"/>
        </w:rPr>
        <w:t>六、《一般公共预算财政拨款基本支出决算表》</w:t>
      </w:r>
    </w:p>
    <w:p w14:paraId="2645B9D8">
      <w:pPr>
        <w:spacing w:line="240" w:lineRule="auto"/>
        <w:ind w:firstLine="640"/>
        <w:jc w:val="both"/>
      </w:pPr>
      <w:r>
        <w:rPr>
          <w:rFonts w:ascii="仿宋_GB2312" w:hAnsi="仿宋_GB2312" w:eastAsia="仿宋_GB2312"/>
          <w:b w:val="0"/>
          <w:sz w:val="32"/>
        </w:rPr>
        <w:t>七、《政府性基金预算财政拨款收入支出决算表》</w:t>
      </w:r>
    </w:p>
    <w:p w14:paraId="103C54E5">
      <w:pPr>
        <w:spacing w:line="240" w:lineRule="auto"/>
        <w:ind w:firstLine="640"/>
        <w:jc w:val="both"/>
      </w:pPr>
      <w:r>
        <w:rPr>
          <w:rFonts w:ascii="仿宋_GB2312" w:hAnsi="仿宋_GB2312" w:eastAsia="仿宋_GB2312"/>
          <w:b w:val="0"/>
          <w:sz w:val="32"/>
        </w:rPr>
        <w:t>八、《国有资本经营预算财政拨款收入支出决算表》</w:t>
      </w:r>
    </w:p>
    <w:p w14:paraId="7F73A77F">
      <w:pPr>
        <w:spacing w:line="240" w:lineRule="auto"/>
        <w:ind w:firstLine="640"/>
        <w:jc w:val="both"/>
      </w:pPr>
      <w:r>
        <w:rPr>
          <w:rFonts w:ascii="仿宋_GB2312" w:hAnsi="仿宋_GB2312" w:eastAsia="仿宋_GB2312"/>
          <w:b w:val="0"/>
          <w:sz w:val="32"/>
        </w:rPr>
        <w:t>九、《财政拨款“三公”经费支出决算表》</w:t>
      </w:r>
    </w:p>
    <w:p w14:paraId="59F3617B">
      <w:pPr>
        <w:spacing w:line="240" w:lineRule="auto"/>
        <w:ind w:firstLine="640"/>
        <w:jc w:val="both"/>
      </w:pPr>
    </w:p>
    <w:p w14:paraId="46857C1D">
      <w:pPr>
        <w:spacing w:line="240" w:lineRule="auto"/>
        <w:ind w:firstLine="640"/>
        <w:jc w:val="both"/>
      </w:pPr>
    </w:p>
    <w:p w14:paraId="2254DCC6">
      <w:pPr>
        <w:spacing w:line="240" w:lineRule="auto"/>
        <w:ind w:firstLine="640"/>
        <w:jc w:val="both"/>
      </w:pPr>
    </w:p>
    <w:p w14:paraId="6337F157">
      <w:pPr>
        <w:spacing w:line="240" w:lineRule="auto"/>
        <w:ind w:firstLine="640"/>
        <w:jc w:val="both"/>
      </w:pPr>
    </w:p>
    <w:p w14:paraId="7CADF2A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A261FD"/>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08586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6127</Words>
  <Characters>6958</Characters>
  <Lines>0</Lines>
  <Paragraphs>0</Paragraphs>
  <TotalTime>3</TotalTime>
  <ScaleCrop>false</ScaleCrop>
  <LinksUpToDate>false</LinksUpToDate>
  <CharactersWithSpaces>6966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2025-09-12T10:29:16Z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