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48E8E4">
      <w:r>
        <w:br w:type="page"/>
      </w:r>
    </w:p>
    <w:p w14:paraId="0DD3D8D9">
      <w:pPr>
        <w:spacing w:line="640" w:lineRule="exact"/>
        <w:jc w:val="center"/>
        <w:outlineLvl w:val="1"/>
      </w:pPr>
      <w:r>
        <w:rPr>
          <w:rFonts w:ascii="黑体" w:hAnsi="黑体" w:eastAsia="黑体"/>
          <w:sz w:val="32"/>
        </w:rPr>
        <w:t>第一部分 单位概况</w:t>
      </w:r>
    </w:p>
    <w:p w14:paraId="5940B7B4">
      <w:pPr>
        <w:spacing w:line="640" w:lineRule="exact"/>
        <w:ind w:firstLine="640"/>
        <w:jc w:val="both"/>
        <w:outlineLvl w:val="2"/>
      </w:pPr>
      <w:r>
        <w:rPr>
          <w:rFonts w:ascii="黑体" w:hAnsi="黑体" w:eastAsia="黑体"/>
          <w:sz w:val="32"/>
        </w:rPr>
        <w:t>一、主要职能</w:t>
      </w:r>
    </w:p>
    <w:p w14:paraId="5A7BC29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贯彻执行党和国家有关医疗保险的路线、方针、政策和法律法规。</w:t>
      </w:r>
    </w:p>
    <w:p w14:paraId="74AA90F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负责本县参保单位和个人、医疗、生育、公务员、大病等各项保险基金的征收、管理、审核、拨付工作。</w:t>
      </w:r>
    </w:p>
    <w:p w14:paraId="0FB3477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承办本县参保单位医疗保险登记、变更、注销。职工保险关系转移，灵活就业人员参保、续保工作。</w:t>
      </w:r>
    </w:p>
    <w:p w14:paraId="79B05FFA">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审核参保人员待遇享受条件、计算其待遇，按时足额报销医疗费。</w:t>
      </w:r>
    </w:p>
    <w:p w14:paraId="361F998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负责参保单位和个人医疗、生育等日常工作；负责医疗保险数据、信息的处理和管理，参保个人账户的建立和管理。</w:t>
      </w:r>
    </w:p>
    <w:p w14:paraId="3AE0F2F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为参保单位和个人提供有关医疗、生育、大病等保险的政策宣传咨询服务，受理群众来信来访。</w:t>
      </w:r>
    </w:p>
    <w:p w14:paraId="36E52D67">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编制医疗保险基金</w:t>
      </w:r>
      <w:r>
        <w:rPr>
          <w:rFonts w:hint="eastAsia" w:ascii="仿宋_GB2312" w:hAnsi="仿宋_GB2312" w:eastAsia="仿宋_GB2312"/>
          <w:sz w:val="32"/>
          <w:lang w:eastAsia="zh-CN"/>
        </w:rPr>
        <w:t>预算</w:t>
      </w:r>
      <w:r>
        <w:rPr>
          <w:rFonts w:ascii="仿宋_GB2312" w:hAnsi="仿宋_GB2312" w:eastAsia="仿宋_GB2312"/>
          <w:sz w:val="32"/>
        </w:rPr>
        <w:t>、决算草案，定期向医疗公布各项基金的收入、支出、结余和收益情况；负责统计医疗保险参保扩面情况并向社会公布。</w:t>
      </w:r>
    </w:p>
    <w:p w14:paraId="2648AF70">
      <w:pPr>
        <w:spacing w:line="640" w:lineRule="exact"/>
        <w:ind w:firstLine="640"/>
        <w:jc w:val="both"/>
        <w:outlineLvl w:val="2"/>
      </w:pPr>
      <w:r>
        <w:rPr>
          <w:rFonts w:ascii="黑体" w:hAnsi="黑体" w:eastAsia="黑体"/>
          <w:sz w:val="32"/>
        </w:rPr>
        <w:t>二、机构设置及人员情况</w:t>
      </w:r>
    </w:p>
    <w:p w14:paraId="3AFA570A">
      <w:pPr>
        <w:spacing w:line="580" w:lineRule="exact"/>
        <w:ind w:firstLine="640"/>
        <w:jc w:val="both"/>
      </w:pPr>
      <w:r>
        <w:rPr>
          <w:rFonts w:ascii="仿宋_GB2312" w:hAnsi="仿宋_GB2312" w:eastAsia="仿宋_GB2312"/>
          <w:sz w:val="32"/>
        </w:rPr>
        <w:t>岳普湖县医疗保障局2024年度，实有人数19人，其中：在职人员15人，增加1人；离休人员0人，增加0人；退休人员4人,增加1人。</w:t>
      </w:r>
    </w:p>
    <w:p w14:paraId="558ECEF8">
      <w:pPr>
        <w:spacing w:line="580" w:lineRule="exact"/>
        <w:ind w:firstLine="640"/>
        <w:jc w:val="both"/>
      </w:pPr>
      <w:r>
        <w:rPr>
          <w:rFonts w:ascii="仿宋_GB2312" w:hAnsi="仿宋_GB2312" w:eastAsia="仿宋_GB2312"/>
          <w:sz w:val="32"/>
        </w:rPr>
        <w:t>岳普湖县医疗保障局无下属预算单位，下设1个科室，分别是：综合办公室。</w:t>
      </w:r>
    </w:p>
    <w:p w14:paraId="046EFFB4">
      <w:r>
        <w:br w:type="page"/>
      </w:r>
    </w:p>
    <w:p w14:paraId="2482F897">
      <w:pPr>
        <w:spacing w:line="240" w:lineRule="auto"/>
        <w:jc w:val="center"/>
        <w:outlineLvl w:val="1"/>
      </w:pPr>
      <w:r>
        <w:rPr>
          <w:rFonts w:ascii="黑体" w:hAnsi="黑体" w:eastAsia="黑体"/>
          <w:sz w:val="32"/>
        </w:rPr>
        <w:t>第二部分 部门决算情况说明</w:t>
      </w:r>
    </w:p>
    <w:p w14:paraId="57F71A47">
      <w:pPr>
        <w:spacing w:line="640" w:lineRule="exact"/>
        <w:ind w:firstLine="640"/>
        <w:jc w:val="both"/>
        <w:outlineLvl w:val="2"/>
      </w:pPr>
      <w:r>
        <w:rPr>
          <w:rFonts w:ascii="黑体" w:hAnsi="黑体" w:eastAsia="黑体"/>
          <w:sz w:val="32"/>
        </w:rPr>
        <w:t>一、收入支出决算总体情况说明</w:t>
      </w:r>
    </w:p>
    <w:p w14:paraId="3A190811">
      <w:pPr>
        <w:spacing w:line="580" w:lineRule="exact"/>
        <w:ind w:firstLine="640"/>
        <w:jc w:val="both"/>
      </w:pPr>
      <w:r>
        <w:rPr>
          <w:rFonts w:ascii="仿宋_GB2312" w:hAnsi="仿宋_GB2312" w:eastAsia="仿宋_GB2312"/>
          <w:b/>
          <w:sz w:val="32"/>
        </w:rPr>
        <w:t>2024年度收入总计257.45万元，</w:t>
      </w:r>
      <w:r>
        <w:rPr>
          <w:rFonts w:ascii="仿宋_GB2312" w:hAnsi="仿宋_GB2312" w:eastAsia="仿宋_GB2312"/>
          <w:b w:val="0"/>
          <w:sz w:val="32"/>
        </w:rPr>
        <w:t>其中：本年收入合计257.45万元，使用非财政拨款结余（含专用结余）0.00万元，年初结转和结余0.00万元。</w:t>
      </w:r>
    </w:p>
    <w:p w14:paraId="703D2E63">
      <w:pPr>
        <w:spacing w:line="580" w:lineRule="exact"/>
        <w:ind w:firstLine="640"/>
        <w:jc w:val="both"/>
      </w:pPr>
      <w:r>
        <w:rPr>
          <w:rFonts w:ascii="仿宋_GB2312" w:hAnsi="仿宋_GB2312" w:eastAsia="仿宋_GB2312"/>
          <w:b/>
          <w:sz w:val="32"/>
        </w:rPr>
        <w:t>2024年度支出总计257.45万元，</w:t>
      </w:r>
      <w:r>
        <w:rPr>
          <w:rFonts w:ascii="仿宋_GB2312" w:hAnsi="仿宋_GB2312" w:eastAsia="仿宋_GB2312"/>
          <w:b w:val="0"/>
          <w:sz w:val="32"/>
        </w:rPr>
        <w:t>其中：本年支出合计257.45万元，结余分配0.00万元，年末结转和结余0.00万元。</w:t>
      </w:r>
    </w:p>
    <w:p w14:paraId="423613F7">
      <w:pPr>
        <w:spacing w:line="580" w:lineRule="exact"/>
        <w:ind w:firstLine="640"/>
        <w:jc w:val="both"/>
      </w:pPr>
      <w:r>
        <w:rPr>
          <w:rFonts w:ascii="仿宋_GB2312" w:hAnsi="仿宋_GB2312" w:eastAsia="仿宋_GB2312"/>
          <w:b w:val="0"/>
          <w:sz w:val="32"/>
        </w:rPr>
        <w:t>收入支出总体与上年相比，减少10.72万元，下降4.00%，主要原因是：2024年中央基金监管能力提升项目减少，导致收入支出较上年下降。</w:t>
      </w:r>
    </w:p>
    <w:p w14:paraId="47710AD1">
      <w:pPr>
        <w:spacing w:line="640" w:lineRule="exact"/>
        <w:ind w:firstLine="640"/>
        <w:jc w:val="both"/>
        <w:outlineLvl w:val="2"/>
      </w:pPr>
      <w:r>
        <w:rPr>
          <w:rFonts w:ascii="黑体" w:hAnsi="黑体" w:eastAsia="黑体"/>
          <w:sz w:val="32"/>
        </w:rPr>
        <w:t>二、收入决算情况说明</w:t>
      </w:r>
    </w:p>
    <w:p w14:paraId="5427EBB3">
      <w:pPr>
        <w:spacing w:line="580" w:lineRule="exact"/>
        <w:ind w:firstLine="640"/>
        <w:jc w:val="both"/>
      </w:pPr>
      <w:r>
        <w:rPr>
          <w:rFonts w:ascii="仿宋_GB2312" w:hAnsi="仿宋_GB2312" w:eastAsia="仿宋_GB2312"/>
          <w:b/>
          <w:sz w:val="32"/>
        </w:rPr>
        <w:t>本年收入257.45万元，</w:t>
      </w:r>
      <w:r>
        <w:rPr>
          <w:rFonts w:ascii="仿宋_GB2312" w:hAnsi="仿宋_GB2312" w:eastAsia="仿宋_GB2312"/>
          <w:b w:val="0"/>
          <w:sz w:val="32"/>
        </w:rPr>
        <w:t>其中：财政拨款收入256.45万元，占99.61%；上级补助收入0.00万元，占0.00%；事业收入0.00万元，占0.00%；经营收入0.00万元，占0.00%；附属单位上缴收入0.00万元，占0.00%；其他收入1.00万元，占0.39%。</w:t>
      </w:r>
    </w:p>
    <w:p w14:paraId="5D6F81F7">
      <w:pPr>
        <w:spacing w:line="640" w:lineRule="exact"/>
        <w:ind w:firstLine="640"/>
        <w:jc w:val="both"/>
        <w:outlineLvl w:val="2"/>
      </w:pPr>
      <w:r>
        <w:rPr>
          <w:rFonts w:ascii="黑体" w:hAnsi="黑体" w:eastAsia="黑体"/>
          <w:sz w:val="32"/>
        </w:rPr>
        <w:t>三、支出决算情况说明</w:t>
      </w:r>
    </w:p>
    <w:p w14:paraId="3808A345">
      <w:pPr>
        <w:spacing w:line="580" w:lineRule="exact"/>
        <w:ind w:firstLine="640"/>
        <w:jc w:val="both"/>
      </w:pPr>
      <w:r>
        <w:rPr>
          <w:rFonts w:ascii="仿宋_GB2312" w:hAnsi="仿宋_GB2312" w:eastAsia="仿宋_GB2312"/>
          <w:b/>
          <w:sz w:val="32"/>
        </w:rPr>
        <w:t>本年支出257.45万元，</w:t>
      </w:r>
      <w:r>
        <w:rPr>
          <w:rFonts w:ascii="仿宋_GB2312" w:hAnsi="仿宋_GB2312" w:eastAsia="仿宋_GB2312"/>
          <w:b w:val="0"/>
          <w:sz w:val="32"/>
        </w:rPr>
        <w:t>其中：基本支出251.13万元，占97.55%；项目支出6.32万元，占2.45%；上缴上级支出0.00万元，占0.00%；经营支出0.00万元，占0.00%；对附属单位补助支出0.00万元，占0.00%。</w:t>
      </w:r>
    </w:p>
    <w:p w14:paraId="5E5E34C7">
      <w:pPr>
        <w:spacing w:line="640" w:lineRule="exact"/>
        <w:ind w:firstLine="640"/>
        <w:jc w:val="both"/>
        <w:outlineLvl w:val="2"/>
      </w:pPr>
      <w:r>
        <w:rPr>
          <w:rFonts w:ascii="黑体" w:hAnsi="黑体" w:eastAsia="黑体"/>
          <w:sz w:val="32"/>
        </w:rPr>
        <w:t>四、财政拨款收入支出决算总体情况说明</w:t>
      </w:r>
    </w:p>
    <w:p w14:paraId="5B292096">
      <w:pPr>
        <w:spacing w:line="580" w:lineRule="exact"/>
        <w:ind w:firstLine="640"/>
        <w:jc w:val="both"/>
      </w:pPr>
      <w:r>
        <w:rPr>
          <w:rFonts w:ascii="仿宋_GB2312" w:hAnsi="仿宋_GB2312" w:eastAsia="仿宋_GB2312"/>
          <w:b/>
          <w:sz w:val="32"/>
        </w:rPr>
        <w:t>2024年度财政拨款收入总计256.45万元，</w:t>
      </w:r>
      <w:r>
        <w:rPr>
          <w:rFonts w:ascii="仿宋_GB2312" w:hAnsi="仿宋_GB2312" w:eastAsia="仿宋_GB2312"/>
          <w:b w:val="0"/>
          <w:sz w:val="32"/>
        </w:rPr>
        <w:t>其中：年初财政拨款结转和结余0.00万元，本年财政拨款收入256.45万元。</w:t>
      </w:r>
      <w:r>
        <w:rPr>
          <w:rFonts w:ascii="仿宋_GB2312" w:hAnsi="仿宋_GB2312" w:eastAsia="仿宋_GB2312"/>
          <w:b/>
          <w:sz w:val="32"/>
        </w:rPr>
        <w:t>财政拨款支出总计256.45万元，</w:t>
      </w:r>
      <w:r>
        <w:rPr>
          <w:rFonts w:ascii="仿宋_GB2312" w:hAnsi="仿宋_GB2312" w:eastAsia="仿宋_GB2312"/>
          <w:b w:val="0"/>
          <w:sz w:val="32"/>
        </w:rPr>
        <w:t>其中：年末财政拨款结转和结余0.00万元，本年财政拨款支出256.45万元。</w:t>
      </w:r>
    </w:p>
    <w:p w14:paraId="7BC14EE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减少11.72万元，下降4.37%，主要原因是：2024年中央基金监管能力提升项目减少，导致收入支出较上年下降。</w:t>
      </w:r>
      <w:r>
        <w:rPr>
          <w:rFonts w:ascii="仿宋_GB2312" w:hAnsi="仿宋_GB2312" w:eastAsia="仿宋_GB2312"/>
          <w:b/>
          <w:sz w:val="32"/>
        </w:rPr>
        <w:t>与年初预算相比，</w:t>
      </w:r>
      <w:r>
        <w:rPr>
          <w:rFonts w:ascii="仿宋_GB2312" w:hAnsi="仿宋_GB2312" w:eastAsia="仿宋_GB2312"/>
          <w:b w:val="0"/>
          <w:sz w:val="32"/>
        </w:rPr>
        <w:t>年初预算数251.97万元，决算数256.45万元，预决算差异率1.78%，主要原因是：本年在职人员工资调薪，工资、社保、公积金等相关人员经费增加，年中追加人员经费。</w:t>
      </w:r>
    </w:p>
    <w:p w14:paraId="2F181565">
      <w:pPr>
        <w:spacing w:line="640" w:lineRule="exact"/>
        <w:ind w:firstLine="640"/>
        <w:jc w:val="both"/>
        <w:outlineLvl w:val="2"/>
      </w:pPr>
      <w:r>
        <w:rPr>
          <w:rFonts w:ascii="黑体" w:hAnsi="黑体" w:eastAsia="黑体"/>
          <w:sz w:val="32"/>
        </w:rPr>
        <w:t>五、一般公共预算财政拨款支出决算情况说明</w:t>
      </w:r>
    </w:p>
    <w:p w14:paraId="01F4898F">
      <w:pPr>
        <w:spacing w:line="640" w:lineRule="exact"/>
        <w:ind w:firstLine="640"/>
        <w:jc w:val="both"/>
        <w:outlineLvl w:val="3"/>
      </w:pPr>
      <w:r>
        <w:rPr>
          <w:rFonts w:ascii="楷体_GB2312" w:hAnsi="楷体_GB2312" w:eastAsia="楷体_GB2312"/>
          <w:b/>
          <w:sz w:val="32"/>
        </w:rPr>
        <w:t>（一）一般公共预算财政拨款支出决算总体情况</w:t>
      </w:r>
    </w:p>
    <w:p w14:paraId="6F2B8FEF">
      <w:pPr>
        <w:spacing w:line="580" w:lineRule="exact"/>
        <w:ind w:firstLine="640"/>
        <w:jc w:val="both"/>
      </w:pPr>
      <w:r>
        <w:rPr>
          <w:rFonts w:ascii="仿宋_GB2312" w:hAnsi="仿宋_GB2312" w:eastAsia="仿宋_GB2312"/>
          <w:b/>
          <w:sz w:val="32"/>
        </w:rPr>
        <w:t>2024年度一般公共预算财政拨款支出256.45万元，</w:t>
      </w:r>
      <w:r>
        <w:rPr>
          <w:rFonts w:ascii="仿宋_GB2312" w:hAnsi="仿宋_GB2312" w:eastAsia="仿宋_GB2312"/>
          <w:b w:val="0"/>
          <w:sz w:val="32"/>
        </w:rPr>
        <w:t>占本年支出合计的99.61%。</w:t>
      </w:r>
      <w:r>
        <w:rPr>
          <w:rFonts w:ascii="仿宋_GB2312" w:hAnsi="仿宋_GB2312" w:eastAsia="仿宋_GB2312"/>
          <w:b/>
          <w:sz w:val="32"/>
        </w:rPr>
        <w:t>与上年相比，</w:t>
      </w:r>
      <w:r>
        <w:rPr>
          <w:rFonts w:ascii="仿宋_GB2312" w:hAnsi="仿宋_GB2312" w:eastAsia="仿宋_GB2312"/>
          <w:b w:val="0"/>
          <w:sz w:val="32"/>
        </w:rPr>
        <w:t>减少11.72万元，下降4.37%，主要原因是：2024年中央基金监管能力提升项目减少，导致支出较上年下降。</w:t>
      </w:r>
      <w:r>
        <w:rPr>
          <w:rFonts w:ascii="仿宋_GB2312" w:hAnsi="仿宋_GB2312" w:eastAsia="仿宋_GB2312"/>
          <w:b/>
          <w:sz w:val="32"/>
        </w:rPr>
        <w:t>与年初预算相比,</w:t>
      </w:r>
      <w:r>
        <w:rPr>
          <w:rFonts w:ascii="仿宋_GB2312" w:hAnsi="仿宋_GB2312" w:eastAsia="仿宋_GB2312"/>
          <w:b w:val="0"/>
          <w:sz w:val="32"/>
        </w:rPr>
        <w:t>年初预算数251.97万元，决算数256.45万元，预决算差异率1.78%，主要原因是：本年在职人员工资调薪，工资、社保、公积金等相关人员经费增加，年中追加人员经费。</w:t>
      </w:r>
    </w:p>
    <w:p w14:paraId="6EA2E7A1">
      <w:pPr>
        <w:spacing w:line="640" w:lineRule="exact"/>
        <w:ind w:firstLine="640"/>
        <w:jc w:val="both"/>
        <w:outlineLvl w:val="3"/>
      </w:pPr>
      <w:r>
        <w:rPr>
          <w:rFonts w:ascii="楷体_GB2312" w:hAnsi="楷体_GB2312" w:eastAsia="楷体_GB2312"/>
          <w:b/>
          <w:sz w:val="32"/>
        </w:rPr>
        <w:t>（二）一般公共预算财政拨款支出决算结构情况</w:t>
      </w:r>
    </w:p>
    <w:p w14:paraId="0F65BC2D">
      <w:pPr>
        <w:spacing w:line="580" w:lineRule="exact"/>
        <w:ind w:firstLine="640"/>
        <w:jc w:val="both"/>
      </w:pPr>
      <w:r>
        <w:rPr>
          <w:rFonts w:ascii="仿宋_GB2312" w:hAnsi="仿宋_GB2312" w:eastAsia="仿宋_GB2312"/>
          <w:b w:val="0"/>
          <w:sz w:val="32"/>
        </w:rPr>
        <w:t>1.社会保障和就业支出(类)28.91万元,占11.27%。</w:t>
      </w:r>
    </w:p>
    <w:p w14:paraId="20E59AF7">
      <w:pPr>
        <w:spacing w:line="580" w:lineRule="exact"/>
        <w:ind w:firstLine="640"/>
        <w:jc w:val="both"/>
      </w:pPr>
      <w:r>
        <w:rPr>
          <w:rFonts w:ascii="仿宋_GB2312" w:hAnsi="仿宋_GB2312" w:eastAsia="仿宋_GB2312"/>
          <w:b w:val="0"/>
          <w:sz w:val="32"/>
        </w:rPr>
        <w:t>2.卫生健康支出(类)207.84万元,占81.05%。</w:t>
      </w:r>
    </w:p>
    <w:p w14:paraId="2BC75E22">
      <w:pPr>
        <w:spacing w:line="580" w:lineRule="exact"/>
        <w:ind w:firstLine="640"/>
        <w:jc w:val="both"/>
      </w:pPr>
      <w:r>
        <w:rPr>
          <w:rFonts w:ascii="仿宋_GB2312" w:hAnsi="仿宋_GB2312" w:eastAsia="仿宋_GB2312"/>
          <w:b w:val="0"/>
          <w:sz w:val="32"/>
        </w:rPr>
        <w:t>3.住房保障支出(类)19.70万元,占7.68%。</w:t>
      </w:r>
    </w:p>
    <w:p w14:paraId="45ADABCF">
      <w:pPr>
        <w:spacing w:line="640" w:lineRule="exact"/>
        <w:ind w:firstLine="640"/>
        <w:jc w:val="both"/>
        <w:outlineLvl w:val="3"/>
      </w:pPr>
      <w:r>
        <w:rPr>
          <w:rFonts w:ascii="楷体_GB2312" w:hAnsi="楷体_GB2312" w:eastAsia="楷体_GB2312"/>
          <w:b/>
          <w:sz w:val="32"/>
        </w:rPr>
        <w:t>（三）一般公共预算财政拨款支出决算具体情况</w:t>
      </w:r>
    </w:p>
    <w:p w14:paraId="0C1E59C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1.社会保障和就业支出(类)行政事业单位养老支出(款)行政单位离退休(项):支出决算数为4.62万元，比上年决算增加1.12万元，增长32.00%,主要原因是：本年增加退休人员基础绩效奖，退休费支出增加。</w:t>
      </w:r>
    </w:p>
    <w:p w14:paraId="420B080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24.29万元，比上年决算增加2.61万元，增长12.04%,主要原因是：本年在职人员工资基数调增，养老缴费基数上涨，相应支出增加。</w:t>
      </w:r>
    </w:p>
    <w:p w14:paraId="05DB3F1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7.01万元，下降100.00%,主要原因是：本年无新增退休人员，职业年金缴费较上年减少。</w:t>
      </w:r>
    </w:p>
    <w:p w14:paraId="36C01D8F">
      <w:pPr>
        <w:spacing w:line="580" w:lineRule="exact"/>
        <w:ind w:firstLine="640"/>
        <w:jc w:val="both"/>
      </w:pPr>
      <w:r>
        <w:rPr>
          <w:rFonts w:ascii="仿宋_GB2312" w:hAnsi="仿宋_GB2312" w:eastAsia="仿宋_GB2312"/>
          <w:b w:val="0"/>
          <w:sz w:val="32"/>
        </w:rPr>
        <w:t>4.卫生健康支出(类)行政事业单位医疗(款)行政单位医疗(项):支出决算数为10.32万元，比上年决算减少0.09万元，下降0.86%,主要原因是：因退休人员医疗保险制度改革，退休人员基本医疗不再由单位缴纳，导致经费较上年减少。</w:t>
      </w:r>
    </w:p>
    <w:p w14:paraId="02685637">
      <w:pPr>
        <w:spacing w:line="580" w:lineRule="exact"/>
        <w:ind w:firstLine="640"/>
        <w:jc w:val="both"/>
      </w:pPr>
      <w:r>
        <w:rPr>
          <w:rFonts w:ascii="仿宋_GB2312" w:hAnsi="仿宋_GB2312" w:eastAsia="仿宋_GB2312"/>
          <w:b w:val="0"/>
          <w:sz w:val="32"/>
        </w:rPr>
        <w:t>5.卫生健康支出(类)行政事业单位医疗(款)公务员医疗补助(项):支出决算数为1.12万元，比上年决算减少0.45万元，下降28.66%,主要原因是：因退休人员医疗保险制度改革，退休人员基本医疗不再由单位缴纳，导致经费较上年减少。</w:t>
      </w:r>
    </w:p>
    <w:p w14:paraId="1C443CC3">
      <w:pPr>
        <w:spacing w:line="580" w:lineRule="exact"/>
        <w:ind w:firstLine="640"/>
        <w:jc w:val="both"/>
      </w:pPr>
      <w:r>
        <w:rPr>
          <w:rFonts w:ascii="仿宋_GB2312" w:hAnsi="仿宋_GB2312" w:eastAsia="仿宋_GB2312"/>
          <w:b w:val="0"/>
          <w:sz w:val="32"/>
        </w:rPr>
        <w:t>6.卫生健康支出(类)医疗保障管理事务(款)行政运行(项):支出决算数为191.08万元，比上年决算减少0.43万元，下降0.22%,主要原因是：本年在职人员调入调出，人员职级不同，工资基数不同，导致人员经费较上年减少。</w:t>
      </w:r>
    </w:p>
    <w:p w14:paraId="3C7D3D3B">
      <w:pPr>
        <w:spacing w:line="580" w:lineRule="exact"/>
        <w:ind w:firstLine="640"/>
        <w:jc w:val="both"/>
      </w:pPr>
      <w:r>
        <w:rPr>
          <w:rFonts w:ascii="仿宋_GB2312" w:hAnsi="仿宋_GB2312" w:eastAsia="仿宋_GB2312"/>
          <w:b w:val="0"/>
          <w:sz w:val="32"/>
        </w:rPr>
        <w:t>7.卫生健康支出(类)医疗保障管理事务(款)医疗保障经办事务(项):支出决算数为0.00万元，比上年决算减少5.31万元，下降100.00%,主要原因是：2024年中央基金监管能力提升项目减少，导致支出较上年下降。</w:t>
      </w:r>
    </w:p>
    <w:p w14:paraId="338FDAD1">
      <w:pPr>
        <w:spacing w:line="580" w:lineRule="exact"/>
        <w:ind w:firstLine="640"/>
        <w:jc w:val="both"/>
      </w:pPr>
      <w:r>
        <w:rPr>
          <w:rFonts w:ascii="仿宋_GB2312" w:hAnsi="仿宋_GB2312" w:eastAsia="仿宋_GB2312"/>
          <w:b w:val="0"/>
          <w:sz w:val="32"/>
        </w:rPr>
        <w:t>8.卫生健康支出(类)医疗保障管理事务(款)其他医疗保障管理事务支出(项):支出决算数为5.32万元，比上年决算减少4.68万元，下降46.80%,主要原因是：2024年中央基金监管能力提升项目减少，导致支出较上年下降。</w:t>
      </w:r>
    </w:p>
    <w:p w14:paraId="3C3DEED1">
      <w:pPr>
        <w:spacing w:line="580" w:lineRule="exact"/>
        <w:ind w:firstLine="640"/>
        <w:jc w:val="both"/>
      </w:pPr>
      <w:r>
        <w:rPr>
          <w:rFonts w:ascii="仿宋_GB2312" w:hAnsi="仿宋_GB2312" w:eastAsia="仿宋_GB2312"/>
          <w:b w:val="0"/>
          <w:sz w:val="32"/>
        </w:rPr>
        <w:t>9.住房保障支出(类)住房改革支出(款)住房公积金(项):支出决算数为19.70万元，比上年决算增加2.53万元，增长14.74%,主要原因是：本年在职人员工资基数调增，公积金缴费基数上涨，相应支出增加。</w:t>
      </w:r>
    </w:p>
    <w:p w14:paraId="7283CA17">
      <w:pPr>
        <w:spacing w:line="640" w:lineRule="exact"/>
        <w:ind w:firstLine="640"/>
        <w:jc w:val="both"/>
        <w:outlineLvl w:val="2"/>
      </w:pPr>
      <w:r>
        <w:rPr>
          <w:rFonts w:ascii="黑体" w:hAnsi="黑体" w:eastAsia="黑体"/>
          <w:sz w:val="32"/>
        </w:rPr>
        <w:t>六、一般公共预算财政拨款基本支出决算情况说明</w:t>
      </w:r>
    </w:p>
    <w:p w14:paraId="3E4FEDE0">
      <w:pPr>
        <w:spacing w:line="580" w:lineRule="exact"/>
        <w:ind w:firstLine="640"/>
        <w:jc w:val="both"/>
      </w:pPr>
      <w:r>
        <w:rPr>
          <w:rFonts w:ascii="仿宋_GB2312" w:hAnsi="仿宋_GB2312" w:eastAsia="仿宋_GB2312"/>
          <w:b w:val="0"/>
          <w:sz w:val="32"/>
        </w:rPr>
        <w:t>2024年度一般公共预算财政拨款基本支出251.13万元，其中：</w:t>
      </w:r>
      <w:r>
        <w:rPr>
          <w:rFonts w:ascii="仿宋_GB2312" w:hAnsi="仿宋_GB2312" w:eastAsia="仿宋_GB2312"/>
          <w:b/>
          <w:sz w:val="32"/>
        </w:rPr>
        <w:t>人员经费243.45万元，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包括：基本工资、津贴补贴、奖金、绩效工资、机关事业单位基本养老保险缴费、职工基本医疗保险缴费、公务员医疗补助缴费、其他社会保障缴费、住房公积金、退休费、医疗费补助、奖励金。</w:t>
      </w:r>
    </w:p>
    <w:p w14:paraId="3517359B">
      <w:pPr>
        <w:spacing w:line="580" w:lineRule="exact"/>
        <w:ind w:firstLine="640"/>
        <w:jc w:val="both"/>
      </w:pPr>
      <w:r>
        <w:rPr>
          <w:rFonts w:ascii="仿宋_GB2312" w:hAnsi="仿宋_GB2312" w:eastAsia="仿宋_GB2312"/>
          <w:b/>
          <w:sz w:val="32"/>
        </w:rPr>
        <w:t>公用经费7.68万元，</w:t>
      </w:r>
      <w:r>
        <w:rPr>
          <w:rFonts w:ascii="仿宋_GB2312" w:hAnsi="仿宋_GB2312" w:eastAsia="仿宋_GB2312"/>
          <w:b w:val="0"/>
          <w:sz w:val="32"/>
        </w:rPr>
        <w:t>包括：办公费、印刷费、水费、电费、邮电费、取暖费、物业管理费、公务用车运行维护费。</w:t>
      </w:r>
    </w:p>
    <w:p w14:paraId="2D014B07">
      <w:pPr>
        <w:spacing w:line="640" w:lineRule="exact"/>
        <w:ind w:firstLine="640"/>
        <w:jc w:val="both"/>
        <w:outlineLvl w:val="2"/>
      </w:pPr>
      <w:r>
        <w:rPr>
          <w:rFonts w:ascii="黑体" w:hAnsi="黑体" w:eastAsia="黑体"/>
          <w:sz w:val="32"/>
        </w:rPr>
        <w:t>七、政府性基金预算财政拨款收入支出决算情况说明</w:t>
      </w:r>
    </w:p>
    <w:p w14:paraId="095F5D3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1585809">
      <w:pPr>
        <w:spacing w:line="640" w:lineRule="exact"/>
        <w:ind w:firstLine="640"/>
        <w:jc w:val="both"/>
        <w:outlineLvl w:val="2"/>
      </w:pPr>
      <w:r>
        <w:rPr>
          <w:rFonts w:ascii="黑体" w:hAnsi="黑体" w:eastAsia="黑体"/>
          <w:sz w:val="32"/>
        </w:rPr>
        <w:t>八、国有资本经营预算财政拨款收入支出决算情况说明</w:t>
      </w:r>
    </w:p>
    <w:p w14:paraId="254E0C3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BB5E4A">
      <w:pPr>
        <w:spacing w:line="640" w:lineRule="exact"/>
        <w:ind w:firstLine="640"/>
        <w:jc w:val="both"/>
        <w:outlineLvl w:val="2"/>
      </w:pPr>
      <w:r>
        <w:rPr>
          <w:rFonts w:ascii="黑体" w:hAnsi="黑体" w:eastAsia="黑体"/>
          <w:sz w:val="32"/>
        </w:rPr>
        <w:t>九、财政拨款“三公”经费支出决算情况说明</w:t>
      </w:r>
    </w:p>
    <w:p w14:paraId="5320CD43">
      <w:pPr>
        <w:spacing w:line="580" w:lineRule="exact"/>
        <w:ind w:firstLine="640"/>
        <w:jc w:val="both"/>
      </w:pPr>
      <w:r>
        <w:rPr>
          <w:rFonts w:ascii="仿宋_GB2312" w:hAnsi="仿宋_GB2312" w:eastAsia="仿宋_GB2312"/>
          <w:b/>
          <w:sz w:val="32"/>
        </w:rPr>
        <w:t>2024年度财政拨款“三公”经费支出0.58万元，</w:t>
      </w:r>
      <w:r>
        <w:rPr>
          <w:rFonts w:ascii="仿宋_GB2312" w:hAnsi="仿宋_GB2312" w:eastAsia="仿宋_GB2312"/>
          <w:b w:val="0"/>
          <w:sz w:val="32"/>
        </w:rPr>
        <w:t>比上年减少0.69万元，下降54.33%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0.58万元，占100.00%，比上年减少0.69万元，下降54.33%，主要原因是：严格落实中央八项规定精神，厉行节约，减少公务用车运行维护费。公务接待费支出0.00万元，占0.00%，比上年增加0.00万元，增长0.00%，主要原因是：2023年与2024年均未安排公务接待费支出。</w:t>
      </w:r>
    </w:p>
    <w:p w14:paraId="4D7A7847">
      <w:pPr>
        <w:spacing w:line="580" w:lineRule="exact"/>
        <w:ind w:firstLine="640"/>
        <w:jc w:val="both"/>
      </w:pPr>
      <w:r>
        <w:rPr>
          <w:rFonts w:ascii="仿宋_GB2312" w:hAnsi="仿宋_GB2312" w:eastAsia="仿宋_GB2312"/>
          <w:b/>
          <w:sz w:val="32"/>
        </w:rPr>
        <w:t>具体情况如下：</w:t>
      </w:r>
    </w:p>
    <w:p w14:paraId="32AB7D8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9227F92">
      <w:pPr>
        <w:spacing w:line="580" w:lineRule="exact"/>
        <w:ind w:firstLine="640"/>
        <w:jc w:val="both"/>
      </w:pPr>
      <w:r>
        <w:rPr>
          <w:rFonts w:ascii="仿宋_GB2312" w:hAnsi="仿宋_GB2312" w:eastAsia="仿宋_GB2312"/>
          <w:b w:val="0"/>
          <w:sz w:val="32"/>
        </w:rPr>
        <w:t>公务用车购置及运行维护费0.58万元，其中：公务用车购置费0.00万元，公务用车运行维护费0.58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14:paraId="172FC12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BA66C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0.58万元，决算数0.58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0.58万元，决算数0.58万元，预决算差异率0.00%，主要原因是：严格按照预算执行，预决算无差异。公务接待费全年预算数0.00万元，决算数0.00万元，预决算差异率0.00%，主要原因是：本单位无公务接待费。</w:t>
      </w:r>
    </w:p>
    <w:p w14:paraId="041E720B">
      <w:pPr>
        <w:spacing w:line="640" w:lineRule="exact"/>
        <w:ind w:firstLine="640"/>
        <w:jc w:val="both"/>
        <w:outlineLvl w:val="2"/>
      </w:pPr>
      <w:r>
        <w:rPr>
          <w:rFonts w:ascii="黑体" w:hAnsi="黑体" w:eastAsia="黑体"/>
          <w:sz w:val="32"/>
        </w:rPr>
        <w:t>十、其他重要事项的情况说明</w:t>
      </w:r>
    </w:p>
    <w:p w14:paraId="3411B37A">
      <w:pPr>
        <w:spacing w:line="640" w:lineRule="exact"/>
        <w:ind w:firstLine="640"/>
        <w:jc w:val="both"/>
        <w:outlineLvl w:val="3"/>
      </w:pPr>
      <w:r>
        <w:rPr>
          <w:rFonts w:ascii="楷体_GB2312" w:hAnsi="楷体_GB2312" w:eastAsia="楷体_GB2312"/>
          <w:b/>
          <w:sz w:val="32"/>
        </w:rPr>
        <w:t>（一）机关运行经费及公用经费支出情况</w:t>
      </w:r>
    </w:p>
    <w:p w14:paraId="377105B7">
      <w:pPr>
        <w:spacing w:line="580" w:lineRule="exact"/>
        <w:ind w:firstLine="640"/>
        <w:jc w:val="both"/>
      </w:pPr>
      <w:r>
        <w:rPr>
          <w:rFonts w:ascii="仿宋_GB2312" w:hAnsi="仿宋_GB2312" w:eastAsia="仿宋_GB2312"/>
          <w:b w:val="0"/>
          <w:sz w:val="32"/>
        </w:rPr>
        <w:t>2024年度岳普湖县医疗保障局（行政单位和参照公务员法管理事业单位）机关运行经费支出7.68万元，比上年减少0.37万元，下降4.60%，主要原因是：严控经费支出，厉行节约，减少车辆运行经费支出。</w:t>
      </w:r>
    </w:p>
    <w:p w14:paraId="4282A144">
      <w:pPr>
        <w:spacing w:line="640" w:lineRule="exact"/>
        <w:ind w:firstLine="640"/>
        <w:jc w:val="both"/>
        <w:outlineLvl w:val="3"/>
      </w:pPr>
      <w:r>
        <w:rPr>
          <w:rFonts w:ascii="楷体_GB2312" w:hAnsi="楷体_GB2312" w:eastAsia="楷体_GB2312"/>
          <w:b/>
          <w:sz w:val="32"/>
        </w:rPr>
        <w:t>（二）政府采购情况</w:t>
      </w:r>
    </w:p>
    <w:p w14:paraId="3DABA5F3">
      <w:pPr>
        <w:spacing w:line="580" w:lineRule="exact"/>
        <w:ind w:firstLine="640"/>
        <w:jc w:val="both"/>
      </w:pPr>
      <w:r>
        <w:rPr>
          <w:rFonts w:ascii="仿宋_GB2312" w:hAnsi="仿宋_GB2312" w:eastAsia="仿宋_GB2312"/>
          <w:b w:val="0"/>
          <w:sz w:val="32"/>
        </w:rPr>
        <w:t>2024年度政府采购支出总额2.19万元，其中：政府采购货物支出0.80万元、政府采购工程支出0.00万元、政府采购服务支出1.39万元。</w:t>
      </w:r>
    </w:p>
    <w:p w14:paraId="7CC251B8">
      <w:pPr>
        <w:spacing w:line="580" w:lineRule="exact"/>
        <w:ind w:firstLine="640"/>
        <w:jc w:val="both"/>
      </w:pPr>
      <w:r>
        <w:rPr>
          <w:rFonts w:ascii="仿宋_GB2312" w:hAnsi="仿宋_GB2312" w:eastAsia="仿宋_GB2312"/>
          <w:b w:val="0"/>
          <w:sz w:val="32"/>
        </w:rPr>
        <w:t>授予中小企业合同金额1.93万元，占政府采购支出总额的88.13%，其中：授予小微企业合同金额1.59万元，占政府采购支出总额的72.60%。</w:t>
      </w:r>
    </w:p>
    <w:p w14:paraId="2E811291">
      <w:pPr>
        <w:spacing w:line="640" w:lineRule="exact"/>
        <w:ind w:firstLine="640"/>
        <w:jc w:val="both"/>
        <w:outlineLvl w:val="3"/>
      </w:pPr>
      <w:r>
        <w:rPr>
          <w:rFonts w:ascii="楷体_GB2312" w:hAnsi="楷体_GB2312" w:eastAsia="楷体_GB2312"/>
          <w:b/>
          <w:sz w:val="32"/>
        </w:rPr>
        <w:t>（三）国有资产占用情况说明</w:t>
      </w:r>
    </w:p>
    <w:p w14:paraId="747B6744">
      <w:pPr>
        <w:spacing w:line="580" w:lineRule="exact"/>
        <w:ind w:firstLine="640"/>
        <w:jc w:val="both"/>
      </w:pPr>
      <w:r>
        <w:rPr>
          <w:rFonts w:ascii="仿宋_GB2312" w:hAnsi="仿宋_GB2312" w:eastAsia="仿宋_GB2312"/>
          <w:b w:val="0"/>
          <w:sz w:val="32"/>
        </w:rPr>
        <w:t>截至2024年12月31日，房屋0.00平方米，价值0.00万元。车辆1辆，价值10.38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2D6F719">
      <w:pPr>
        <w:spacing w:line="640" w:lineRule="exact"/>
        <w:ind w:firstLine="640"/>
        <w:jc w:val="both"/>
        <w:outlineLvl w:val="2"/>
      </w:pPr>
      <w:r>
        <w:rPr>
          <w:rFonts w:ascii="黑体" w:hAnsi="黑体" w:eastAsia="黑体"/>
          <w:sz w:val="32"/>
        </w:rPr>
        <w:t>十一、预算绩效的情况说明</w:t>
      </w:r>
    </w:p>
    <w:p w14:paraId="1636781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257.45万元，实际执行总额257.45万元；预算绩效评价项目2个，全年预算数6.15万元，全年执行数6.15万元。预算绩效管理取得的成效：1.制定详细计划。在项目开始之前，制定详细的项目计划，明确项目的目标、任务、时间表和预算。确保了所有相关人员清楚自己的责任，避免了项目实施过程中出现的混乱。2.坚持重点审核与全面审核相结合，提高审核质量。统筹规划、突出重点，将医保信息化标准化、经办管理服务体系建设等作为重点审核项目。同时，拓展审核范围，系统梳理审核项目，形成工作台账，确保资金的使用方向明确、重点突出。发现的问题及原因：1.人员配备不足：过于重视项目短期行为，人员配备方面存在不足。导致项目管理过程中出现疏漏和错误。2.监管机制有待完善：对于医疗保险基金的监管力度有待加强，出现部分违规使用医保基金的情况。下一步改进措施：1.灵活调配资源，以弥补人力资源的不足。强化团队协作，优化团队结构，提高团队效率。2.强化监管与考核机制：建立健全医疗保险基金的监管机制，加强对医疗保险基金的监管和防范违规使用的监督和检查。同时，建立考核机制，对项目实施效果进行评估。具体附整体支出绩效自评表，项目支出绩效自评表和评价报告。</w:t>
      </w:r>
    </w:p>
    <w:p w14:paraId="3672BC4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9BC5C9">
        <w:tblPrEx>
          <w:tblCellMar>
            <w:top w:w="0" w:type="dxa"/>
            <w:left w:w="108" w:type="dxa"/>
            <w:bottom w:w="0" w:type="dxa"/>
            <w:right w:w="108" w:type="dxa"/>
          </w:tblCellMar>
        </w:tblPrEx>
        <w:tc>
          <w:tcPr>
            <w:tcW w:w="8847" w:type="dxa"/>
            <w:gridSpan w:val="9"/>
            <w:vAlign w:val="center"/>
          </w:tcPr>
          <w:p w14:paraId="7A213E33">
            <w:pPr>
              <w:jc w:val="center"/>
            </w:pPr>
            <w:r>
              <w:rPr>
                <w:rFonts w:ascii="宋体" w:hAnsi="宋体" w:eastAsia="宋体"/>
                <w:sz w:val="24"/>
              </w:rPr>
              <w:t>单位整体支出绩效自评表</w:t>
            </w:r>
          </w:p>
        </w:tc>
      </w:tr>
      <w:tr w14:paraId="15352ACA">
        <w:tblPrEx>
          <w:tblCellMar>
            <w:top w:w="0" w:type="dxa"/>
            <w:left w:w="108" w:type="dxa"/>
            <w:bottom w:w="0" w:type="dxa"/>
            <w:right w:w="108" w:type="dxa"/>
          </w:tblCellMar>
        </w:tblPrEx>
        <w:tc>
          <w:tcPr>
            <w:tcW w:w="8847" w:type="dxa"/>
            <w:gridSpan w:val="9"/>
            <w:vAlign w:val="center"/>
          </w:tcPr>
          <w:p w14:paraId="180049D1">
            <w:pPr>
              <w:jc w:val="center"/>
            </w:pPr>
            <w:r>
              <w:rPr>
                <w:rFonts w:ascii="宋体" w:hAnsi="宋体" w:eastAsia="宋体"/>
                <w:sz w:val="24"/>
              </w:rPr>
              <w:t>（2024年度）</w:t>
            </w:r>
          </w:p>
        </w:tc>
      </w:tr>
      <w:tr w14:paraId="261862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D9AA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70A26B">
            <w:pPr>
              <w:jc w:val="center"/>
            </w:pPr>
            <w:r>
              <w:rPr>
                <w:rFonts w:ascii="宋体" w:hAnsi="宋体" w:eastAsia="宋体"/>
                <w:sz w:val="16"/>
              </w:rPr>
              <w:t>岳普湖县医疗保障局</w:t>
            </w:r>
          </w:p>
        </w:tc>
      </w:tr>
      <w:tr w14:paraId="714843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4853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4261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3AB3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05CD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C751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B2B5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7852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8B79">
            <w:pPr>
              <w:jc w:val="center"/>
            </w:pPr>
            <w:r>
              <w:rPr>
                <w:rFonts w:ascii="宋体" w:hAnsi="宋体" w:eastAsia="宋体"/>
                <w:sz w:val="16"/>
              </w:rPr>
              <w:t>得分</w:t>
            </w:r>
          </w:p>
        </w:tc>
      </w:tr>
      <w:tr w14:paraId="76C111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B11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9C2A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FDD8D">
            <w:pPr>
              <w:jc w:val="center"/>
            </w:pPr>
            <w:r>
              <w:rPr>
                <w:rFonts w:ascii="宋体" w:hAnsi="宋体" w:eastAsia="宋体"/>
                <w:sz w:val="16"/>
              </w:rPr>
              <w:t>251.97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DCCB5">
            <w:pPr>
              <w:jc w:val="center"/>
            </w:pPr>
            <w:r>
              <w:rPr>
                <w:rFonts w:ascii="宋体" w:hAnsi="宋体" w:eastAsia="宋体"/>
                <w:sz w:val="16"/>
              </w:rPr>
              <w:t>257.45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34E63">
            <w:pPr>
              <w:jc w:val="center"/>
            </w:pPr>
            <w:r>
              <w:rPr>
                <w:rFonts w:ascii="宋体" w:hAnsi="宋体" w:eastAsia="宋体"/>
                <w:sz w:val="16"/>
              </w:rPr>
              <w:t>257.45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74D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8245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8C666">
            <w:pPr>
              <w:jc w:val="center"/>
            </w:pPr>
            <w:r>
              <w:rPr>
                <w:rFonts w:ascii="宋体" w:hAnsi="宋体" w:eastAsia="宋体"/>
                <w:sz w:val="16"/>
              </w:rPr>
              <w:t>10</w:t>
            </w:r>
          </w:p>
        </w:tc>
      </w:tr>
      <w:tr w14:paraId="03826A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4F6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B355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08A98">
            <w:pPr>
              <w:jc w:val="center"/>
            </w:pPr>
            <w:r>
              <w:rPr>
                <w:rFonts w:ascii="宋体" w:hAnsi="宋体" w:eastAsia="宋体"/>
                <w:sz w:val="16"/>
              </w:rPr>
              <w:t>5.32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3055D">
            <w:pPr>
              <w:jc w:val="center"/>
            </w:pPr>
            <w:r>
              <w:rPr>
                <w:rFonts w:ascii="宋体" w:hAnsi="宋体" w:eastAsia="宋体"/>
                <w:sz w:val="16"/>
              </w:rPr>
              <w:t>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1E7DB">
            <w:pPr>
              <w:jc w:val="center"/>
            </w:pPr>
            <w:r>
              <w:rPr>
                <w:rFonts w:ascii="宋体" w:hAnsi="宋体" w:eastAsia="宋体"/>
                <w:sz w:val="16"/>
              </w:rPr>
              <w:t>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4C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8096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DDA7C">
            <w:pPr>
              <w:jc w:val="center"/>
            </w:pPr>
            <w:r>
              <w:rPr>
                <w:rFonts w:ascii="宋体" w:hAnsi="宋体" w:eastAsia="宋体"/>
                <w:sz w:val="16"/>
              </w:rPr>
              <w:t>—</w:t>
            </w:r>
          </w:p>
        </w:tc>
      </w:tr>
      <w:tr w14:paraId="0C01D1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059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914F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CE520">
            <w:pPr>
              <w:jc w:val="center"/>
            </w:pPr>
            <w:r>
              <w:rPr>
                <w:rFonts w:ascii="宋体" w:hAnsi="宋体" w:eastAsia="宋体"/>
                <w:sz w:val="16"/>
              </w:rPr>
              <w:t>246.65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30E18">
            <w:pPr>
              <w:jc w:val="center"/>
            </w:pPr>
            <w:r>
              <w:rPr>
                <w:rFonts w:ascii="宋体" w:hAnsi="宋体" w:eastAsia="宋体"/>
                <w:sz w:val="16"/>
              </w:rPr>
              <w:t>247.93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93966">
            <w:pPr>
              <w:jc w:val="center"/>
            </w:pPr>
            <w:r>
              <w:rPr>
                <w:rFonts w:ascii="宋体" w:hAnsi="宋体" w:eastAsia="宋体"/>
                <w:sz w:val="16"/>
              </w:rPr>
              <w:t>247.93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4C3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4F6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9A15D">
            <w:pPr>
              <w:jc w:val="center"/>
            </w:pPr>
            <w:r>
              <w:rPr>
                <w:rFonts w:ascii="宋体" w:hAnsi="宋体" w:eastAsia="宋体"/>
                <w:sz w:val="16"/>
              </w:rPr>
              <w:t>—</w:t>
            </w:r>
          </w:p>
        </w:tc>
      </w:tr>
      <w:tr w14:paraId="7C0599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2C1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C6B5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8CF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FCC47">
            <w:pPr>
              <w:jc w:val="center"/>
            </w:pPr>
            <w:r>
              <w:rPr>
                <w:rFonts w:ascii="宋体" w:hAnsi="宋体" w:eastAsia="宋体"/>
                <w:sz w:val="16"/>
              </w:rPr>
              <w:t>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66B9">
            <w:pPr>
              <w:jc w:val="center"/>
            </w:pPr>
            <w:r>
              <w:rPr>
                <w:rFonts w:ascii="宋体" w:hAnsi="宋体" w:eastAsia="宋体"/>
                <w:sz w:val="16"/>
              </w:rPr>
              <w:t>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D30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5AA8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AF86B">
            <w:pPr>
              <w:jc w:val="center"/>
            </w:pPr>
            <w:r>
              <w:rPr>
                <w:rFonts w:ascii="宋体" w:hAnsi="宋体" w:eastAsia="宋体"/>
                <w:sz w:val="16"/>
              </w:rPr>
              <w:t>—</w:t>
            </w:r>
          </w:p>
        </w:tc>
      </w:tr>
      <w:tr w14:paraId="3D106D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7B6E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B9C4A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DC4CC8">
            <w:pPr>
              <w:jc w:val="center"/>
            </w:pPr>
            <w:r>
              <w:rPr>
                <w:rFonts w:ascii="宋体" w:hAnsi="宋体" w:eastAsia="宋体"/>
                <w:sz w:val="16"/>
              </w:rPr>
              <w:t>实际完成情况</w:t>
            </w:r>
          </w:p>
        </w:tc>
      </w:tr>
      <w:tr w14:paraId="65015B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9729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96FB9A">
            <w:pPr>
              <w:jc w:val="both"/>
            </w:pPr>
            <w:r>
              <w:rPr>
                <w:rFonts w:ascii="宋体" w:hAnsi="宋体" w:eastAsia="宋体"/>
                <w:sz w:val="16"/>
              </w:rPr>
              <w:t>保障169660人基本医保的按期综合参保。保障城乡居民基本医疗保险参保人员覆盖。提升欺诈骗保的打击力度，维护医保基金的安全，保障医保检查全面覆盖。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5E7BF0">
            <w:pPr>
              <w:jc w:val="both"/>
            </w:pPr>
            <w:r>
              <w:rPr>
                <w:rFonts w:ascii="宋体" w:hAnsi="宋体" w:eastAsia="宋体"/>
                <w:sz w:val="16"/>
              </w:rPr>
              <w:t>截至目前，已有169789人得到了基本医疗保险的按期综合参保保障。为进一步发挥单位的履职效能，确保城乡居民能够全面覆盖在基本医疗保险参保人员的范围之内。同时，不断提升打击欺诈骗保行为的力度，以维护医保基金的安全性。此外，确保医保检查能够全面覆盖，从而保障每一位参保人员的权益。</w:t>
            </w:r>
          </w:p>
        </w:tc>
      </w:tr>
      <w:tr w14:paraId="5EF2BE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FDC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E7AA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6F25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38B7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F602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C6E6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445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490F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1EF80">
            <w:pPr>
              <w:jc w:val="center"/>
            </w:pPr>
            <w:r>
              <w:rPr>
                <w:rFonts w:ascii="宋体" w:hAnsi="宋体" w:eastAsia="宋体"/>
                <w:sz w:val="16"/>
              </w:rPr>
              <w:t>得分</w:t>
            </w:r>
          </w:p>
        </w:tc>
      </w:tr>
      <w:tr w14:paraId="7D9343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A09B4">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11EE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F2CA8">
            <w:pPr>
              <w:jc w:val="center"/>
            </w:pPr>
            <w:r>
              <w:rPr>
                <w:rFonts w:ascii="宋体" w:hAnsi="宋体" w:eastAsia="宋体"/>
                <w:sz w:val="16"/>
              </w:rPr>
              <w:t>基本医疗保险参保人数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25272">
            <w:pPr>
              <w:jc w:val="center"/>
            </w:pPr>
            <w:r>
              <w:rPr>
                <w:rFonts w:ascii="宋体" w:hAnsi="宋体" w:eastAsia="宋体"/>
                <w:sz w:val="16"/>
              </w:rPr>
              <w:t>&gt;=169660人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34BC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F08E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B9DAB">
            <w:pPr>
              <w:jc w:val="center"/>
            </w:pPr>
            <w:r>
              <w:rPr>
                <w:rFonts w:ascii="宋体" w:hAnsi="宋体" w:eastAsia="宋体"/>
                <w:sz w:val="16"/>
              </w:rPr>
              <w:t>169789人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78401">
            <w:pPr>
              <w:jc w:val="center"/>
            </w:pPr>
            <w:r>
              <w:rPr>
                <w:rFonts w:ascii="宋体" w:hAnsi="宋体" w:eastAsia="宋体"/>
                <w:sz w:val="16"/>
              </w:rPr>
              <w:t>100.08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DA9C4">
            <w:pPr>
              <w:jc w:val="center"/>
            </w:pPr>
            <w:r>
              <w:rPr>
                <w:rFonts w:ascii="宋体" w:hAnsi="宋体" w:eastAsia="宋体"/>
                <w:sz w:val="16"/>
              </w:rPr>
              <w:t>18</w:t>
            </w:r>
          </w:p>
        </w:tc>
      </w:tr>
      <w:tr w14:paraId="7E7693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FA9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EEA9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F46FF">
            <w:pPr>
              <w:jc w:val="center"/>
            </w:pPr>
            <w:r>
              <w:rPr>
                <w:rFonts w:ascii="宋体" w:hAnsi="宋体" w:eastAsia="宋体"/>
                <w:sz w:val="16"/>
              </w:rPr>
              <w:t>基本医疗保险征缴完成率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FFB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EA38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667A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D29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E47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597E7">
            <w:pPr>
              <w:jc w:val="center"/>
            </w:pPr>
            <w:r>
              <w:rPr>
                <w:rFonts w:ascii="宋体" w:hAnsi="宋体" w:eastAsia="宋体"/>
                <w:sz w:val="16"/>
              </w:rPr>
              <w:t>18</w:t>
            </w:r>
          </w:p>
        </w:tc>
      </w:tr>
      <w:tr w14:paraId="2AA9EA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F9A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D7D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D053A">
            <w:pPr>
              <w:jc w:val="center"/>
            </w:pPr>
            <w:r>
              <w:rPr>
                <w:rFonts w:ascii="宋体" w:hAnsi="宋体" w:eastAsia="宋体"/>
                <w:sz w:val="16"/>
              </w:rPr>
              <w:t>居民基本医疗保险参保率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6DA60">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5B9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7F24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547D">
            <w:pPr>
              <w:jc w:val="center"/>
            </w:pPr>
            <w:r>
              <w:rPr>
                <w:rFonts w:ascii="宋体" w:hAnsi="宋体" w:eastAsia="宋体"/>
                <w:sz w:val="16"/>
              </w:rPr>
              <w:t>99.56%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D5FB0">
            <w:pPr>
              <w:jc w:val="center"/>
            </w:pPr>
            <w:r>
              <w:rPr>
                <w:rFonts w:ascii="宋体" w:hAnsi="宋体" w:eastAsia="宋体"/>
                <w:sz w:val="16"/>
              </w:rPr>
              <w:t>101.59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86F0D">
            <w:pPr>
              <w:jc w:val="center"/>
            </w:pPr>
            <w:r>
              <w:rPr>
                <w:rFonts w:ascii="宋体" w:hAnsi="宋体" w:eastAsia="宋体"/>
                <w:sz w:val="16"/>
              </w:rPr>
              <w:t>18</w:t>
            </w:r>
          </w:p>
        </w:tc>
      </w:tr>
      <w:tr w14:paraId="63EC04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C66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638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FFE4B">
            <w:pPr>
              <w:jc w:val="center"/>
            </w:pPr>
            <w:r>
              <w:rPr>
                <w:rFonts w:ascii="宋体" w:hAnsi="宋体" w:eastAsia="宋体"/>
                <w:sz w:val="16"/>
              </w:rPr>
              <w:t>医疗保险基金监管合规率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203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C173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13BA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2E9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DB9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8C65C">
            <w:pPr>
              <w:jc w:val="center"/>
            </w:pPr>
            <w:r>
              <w:rPr>
                <w:rFonts w:ascii="宋体" w:hAnsi="宋体" w:eastAsia="宋体"/>
                <w:sz w:val="16"/>
              </w:rPr>
              <w:t>18</w:t>
            </w:r>
          </w:p>
        </w:tc>
      </w:tr>
      <w:tr w14:paraId="1586DA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A34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705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F79E2">
            <w:pPr>
              <w:jc w:val="center"/>
            </w:pPr>
            <w:r>
              <w:rPr>
                <w:rFonts w:ascii="宋体" w:hAnsi="宋体" w:eastAsia="宋体"/>
                <w:sz w:val="16"/>
              </w:rPr>
              <w:t>医疗保险监督检查覆盖率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69E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2933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2B3D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90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A69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F84D3">
            <w:pPr>
              <w:jc w:val="center"/>
            </w:pPr>
            <w:r>
              <w:rPr>
                <w:rFonts w:ascii="宋体" w:hAnsi="宋体" w:eastAsia="宋体"/>
                <w:sz w:val="16"/>
              </w:rPr>
              <w:t>18</w:t>
            </w:r>
          </w:p>
        </w:tc>
      </w:tr>
    </w:tbl>
    <w:p w14:paraId="1F53E0DB">
      <w:r>
        <w:br w:type="page"/>
      </w:r>
    </w:p>
    <w:tbl>
      <w:tblPr>
        <w:tblStyle w:val="9"/>
        <w:tblW w:w="9060" w:type="dxa"/>
        <w:tblInd w:w="0" w:type="dxa"/>
        <w:tblLayout w:type="fixed"/>
        <w:tblCellMar>
          <w:top w:w="0" w:type="dxa"/>
          <w:left w:w="108" w:type="dxa"/>
          <w:bottom w:w="0" w:type="dxa"/>
          <w:right w:w="108" w:type="dxa"/>
        </w:tblCellMar>
      </w:tblPr>
      <w:tblGrid>
        <w:gridCol w:w="622"/>
        <w:gridCol w:w="606"/>
        <w:gridCol w:w="606"/>
        <w:gridCol w:w="769"/>
        <w:gridCol w:w="709"/>
        <w:gridCol w:w="606"/>
        <w:gridCol w:w="696"/>
        <w:gridCol w:w="614"/>
        <w:gridCol w:w="606"/>
        <w:gridCol w:w="606"/>
        <w:gridCol w:w="776"/>
        <w:gridCol w:w="632"/>
        <w:gridCol w:w="582"/>
        <w:gridCol w:w="630"/>
      </w:tblGrid>
      <w:tr w14:paraId="3CAB3ED6">
        <w:tblPrEx>
          <w:tblCellMar>
            <w:top w:w="0" w:type="dxa"/>
            <w:left w:w="108" w:type="dxa"/>
            <w:bottom w:w="0" w:type="dxa"/>
            <w:right w:w="108" w:type="dxa"/>
          </w:tblCellMar>
        </w:tblPrEx>
        <w:trPr>
          <w:wAfter w:w="0" w:type="auto"/>
        </w:trPr>
        <w:tc>
          <w:tcPr>
            <w:tcW w:w="9060" w:type="dxa"/>
            <w:gridSpan w:val="14"/>
            <w:vAlign w:val="center"/>
          </w:tcPr>
          <w:p w14:paraId="6148619F">
            <w:pPr>
              <w:jc w:val="center"/>
            </w:pPr>
            <w:r>
              <w:rPr>
                <w:rFonts w:ascii="宋体" w:hAnsi="宋体" w:eastAsia="宋体"/>
                <w:sz w:val="24"/>
              </w:rPr>
              <w:t>项目支出绩效自评表</w:t>
            </w:r>
          </w:p>
        </w:tc>
      </w:tr>
      <w:tr w14:paraId="4924B988">
        <w:tblPrEx>
          <w:tblCellMar>
            <w:top w:w="0" w:type="dxa"/>
            <w:left w:w="108" w:type="dxa"/>
            <w:bottom w:w="0" w:type="dxa"/>
            <w:right w:w="108" w:type="dxa"/>
          </w:tblCellMar>
        </w:tblPrEx>
        <w:trPr>
          <w:wAfter w:w="0" w:type="auto"/>
        </w:trPr>
        <w:tc>
          <w:tcPr>
            <w:tcW w:w="9060" w:type="dxa"/>
            <w:gridSpan w:val="14"/>
            <w:vAlign w:val="center"/>
          </w:tcPr>
          <w:p w14:paraId="6B5739E4">
            <w:pPr>
              <w:jc w:val="center"/>
            </w:pPr>
            <w:r>
              <w:rPr>
                <w:rFonts w:ascii="宋体" w:hAnsi="宋体" w:eastAsia="宋体"/>
                <w:sz w:val="24"/>
              </w:rPr>
              <w:t>(2024年度)</w:t>
            </w:r>
          </w:p>
        </w:tc>
      </w:tr>
      <w:tr w14:paraId="0F206F2D">
        <w:tblPrEx>
          <w:tblCellMar>
            <w:top w:w="0" w:type="dxa"/>
            <w:left w:w="108" w:type="dxa"/>
            <w:bottom w:w="0" w:type="dxa"/>
            <w:right w:w="108" w:type="dxa"/>
          </w:tblCellMar>
        </w:tblPrEx>
        <w:trPr>
          <w:wAfter w:w="0" w:type="auto"/>
        </w:trPr>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658E88C">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FB4EEB">
            <w:pPr>
              <w:jc w:val="center"/>
            </w:pPr>
            <w:r>
              <w:rPr>
                <w:rFonts w:ascii="宋体" w:hAnsi="宋体" w:eastAsia="宋体"/>
                <w:sz w:val="16"/>
              </w:rPr>
              <w:t>2024年全民参保及医疗服务经费项目</w:t>
            </w:r>
          </w:p>
        </w:tc>
      </w:tr>
      <w:tr w14:paraId="491CBF20">
        <w:tblPrEx>
          <w:tblCellMar>
            <w:top w:w="0" w:type="dxa"/>
            <w:left w:w="108" w:type="dxa"/>
            <w:bottom w:w="0" w:type="dxa"/>
            <w:right w:w="108" w:type="dxa"/>
          </w:tblCellMar>
        </w:tblPrEx>
        <w:trPr>
          <w:wAfter w:w="0" w:type="auto"/>
        </w:trPr>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3E3198C">
            <w:pPr>
              <w:jc w:val="center"/>
            </w:pPr>
            <w:r>
              <w:rPr>
                <w:rFonts w:ascii="宋体" w:hAnsi="宋体" w:eastAsia="宋体"/>
                <w:sz w:val="16"/>
              </w:rPr>
              <w:t>主管部门</w:t>
            </w:r>
          </w:p>
        </w:tc>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F3355B">
            <w:pPr>
              <w:jc w:val="center"/>
            </w:pPr>
            <w:r>
              <w:rPr>
                <w:rFonts w:ascii="宋体" w:hAnsi="宋体" w:eastAsia="宋体"/>
                <w:sz w:val="16"/>
              </w:rPr>
              <w:t>岳普湖县医疗保障局</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71E9070">
            <w:pPr>
              <w:jc w:val="center"/>
            </w:pPr>
            <w:r>
              <w:rPr>
                <w:rFonts w:ascii="宋体" w:hAnsi="宋体" w:eastAsia="宋体"/>
                <w:sz w:val="16"/>
              </w:rPr>
              <w:t>实施单位</w:t>
            </w:r>
          </w:p>
        </w:tc>
        <w:tc>
          <w:tcPr>
            <w:tcW w:w="322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82C0F8">
            <w:pPr>
              <w:jc w:val="center"/>
            </w:pPr>
            <w:r>
              <w:rPr>
                <w:rFonts w:ascii="宋体" w:hAnsi="宋体" w:eastAsia="宋体"/>
                <w:sz w:val="16"/>
              </w:rPr>
              <w:t>岳普湖县医疗保障局</w:t>
            </w:r>
          </w:p>
        </w:tc>
      </w:tr>
      <w:tr w14:paraId="20EB1B99">
        <w:tblPrEx>
          <w:tblCellMar>
            <w:top w:w="0" w:type="dxa"/>
            <w:left w:w="108" w:type="dxa"/>
            <w:bottom w:w="0" w:type="dxa"/>
            <w:right w:w="108" w:type="dxa"/>
          </w:tblCellMar>
        </w:tblPrEx>
        <w:trPr>
          <w:wAfter w:w="0" w:type="auto"/>
        </w:trPr>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FE081">
            <w:pPr>
              <w:jc w:val="center"/>
            </w:pPr>
            <w:r>
              <w:rPr>
                <w:rFonts w:ascii="宋体" w:hAnsi="宋体" w:eastAsia="宋体"/>
                <w:sz w:val="16"/>
              </w:rPr>
              <w:t>项目资金 （万元）</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E5BF3">
            <w:pPr>
              <w:jc w:val="center"/>
            </w:pP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4CBD5">
            <w:pPr>
              <w:jc w:val="center"/>
            </w:pPr>
            <w:r>
              <w:rPr>
                <w:rFonts w:ascii="宋体" w:hAnsi="宋体" w:eastAsia="宋体"/>
                <w:sz w:val="16"/>
              </w:rPr>
              <w:t>年初预算数</w:t>
            </w:r>
          </w:p>
        </w:tc>
        <w:tc>
          <w:tcPr>
            <w:tcW w:w="13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8508">
            <w:pPr>
              <w:jc w:val="center"/>
            </w:pPr>
            <w:r>
              <w:rPr>
                <w:rFonts w:ascii="宋体" w:hAnsi="宋体" w:eastAsia="宋体"/>
                <w:sz w:val="16"/>
              </w:rPr>
              <w:t>全年预算数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B0EF">
            <w:pPr>
              <w:jc w:val="center"/>
            </w:pPr>
            <w:r>
              <w:rPr>
                <w:rFonts w:ascii="宋体" w:hAnsi="宋体" w:eastAsia="宋体"/>
                <w:sz w:val="16"/>
              </w:rPr>
              <w:t>全年执行数</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AE6A5">
            <w:pPr>
              <w:jc w:val="center"/>
            </w:pPr>
            <w:r>
              <w:rPr>
                <w:rFonts w:ascii="宋体" w:hAnsi="宋体" w:eastAsia="宋体"/>
                <w:sz w:val="16"/>
              </w:rPr>
              <w:t>分值</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B6CD3">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2D1A3D3">
            <w:pPr>
              <w:jc w:val="center"/>
            </w:pPr>
            <w:r>
              <w:rPr>
                <w:rFonts w:ascii="宋体" w:hAnsi="宋体" w:eastAsia="宋体"/>
                <w:sz w:val="16"/>
              </w:rPr>
              <w:t>得分</w:t>
            </w:r>
          </w:p>
        </w:tc>
      </w:tr>
      <w:tr w14:paraId="61F59BC3">
        <w:tblPrEx>
          <w:tblCellMar>
            <w:top w:w="0" w:type="dxa"/>
            <w:left w:w="108" w:type="dxa"/>
            <w:bottom w:w="0" w:type="dxa"/>
            <w:right w:w="108" w:type="dxa"/>
          </w:tblCellMar>
        </w:tblPrEx>
        <w:trPr>
          <w:wAfter w:w="0" w:type="auto"/>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6E54B42"/>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F4EA9">
            <w:pPr>
              <w:jc w:val="center"/>
            </w:pPr>
            <w:r>
              <w:rPr>
                <w:rFonts w:ascii="宋体" w:hAnsi="宋体" w:eastAsia="宋体"/>
                <w:sz w:val="16"/>
              </w:rPr>
              <w:t>年度资金总额</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462FC">
            <w:pPr>
              <w:jc w:val="center"/>
            </w:pPr>
            <w:r>
              <w:rPr>
                <w:rFonts w:ascii="宋体" w:hAnsi="宋体" w:eastAsia="宋体"/>
                <w:sz w:val="16"/>
              </w:rPr>
              <w:t>5.32</w:t>
            </w:r>
          </w:p>
        </w:tc>
        <w:tc>
          <w:tcPr>
            <w:tcW w:w="13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E5F53">
            <w:pPr>
              <w:jc w:val="center"/>
            </w:pPr>
            <w:r>
              <w:rPr>
                <w:rFonts w:ascii="宋体" w:hAnsi="宋体" w:eastAsia="宋体"/>
                <w:sz w:val="16"/>
              </w:rPr>
              <w:t>5.32</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E3E64">
            <w:pPr>
              <w:jc w:val="center"/>
            </w:pPr>
            <w:r>
              <w:rPr>
                <w:rFonts w:ascii="宋体" w:hAnsi="宋体" w:eastAsia="宋体"/>
                <w:sz w:val="16"/>
              </w:rPr>
              <w:t>5.32</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6DA02">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5328D">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1EDB7AC">
            <w:pPr>
              <w:jc w:val="center"/>
            </w:pPr>
            <w:r>
              <w:rPr>
                <w:rFonts w:ascii="宋体" w:hAnsi="宋体" w:eastAsia="宋体"/>
                <w:sz w:val="16"/>
              </w:rPr>
              <w:t>10.00分</w:t>
            </w:r>
          </w:p>
        </w:tc>
      </w:tr>
      <w:tr w14:paraId="1E25E6E7">
        <w:tblPrEx>
          <w:tblCellMar>
            <w:top w:w="0" w:type="dxa"/>
            <w:left w:w="108" w:type="dxa"/>
            <w:bottom w:w="0" w:type="dxa"/>
            <w:right w:w="108" w:type="dxa"/>
          </w:tblCellMar>
        </w:tblPrEx>
        <w:trPr>
          <w:wAfter w:w="0" w:type="auto"/>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840A435"/>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3812">
            <w:pPr>
              <w:jc w:val="center"/>
            </w:pPr>
            <w:r>
              <w:rPr>
                <w:rFonts w:ascii="宋体" w:hAnsi="宋体" w:eastAsia="宋体"/>
                <w:sz w:val="16"/>
              </w:rPr>
              <w:t>其中：当年财政拨款</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29E3">
            <w:pPr>
              <w:jc w:val="center"/>
            </w:pPr>
            <w:r>
              <w:rPr>
                <w:rFonts w:ascii="宋体" w:hAnsi="宋体" w:eastAsia="宋体"/>
                <w:sz w:val="16"/>
              </w:rPr>
              <w:t>5.32</w:t>
            </w:r>
          </w:p>
        </w:tc>
        <w:tc>
          <w:tcPr>
            <w:tcW w:w="13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066CC">
            <w:pPr>
              <w:jc w:val="center"/>
            </w:pPr>
            <w:r>
              <w:rPr>
                <w:rFonts w:ascii="宋体" w:hAnsi="宋体" w:eastAsia="宋体"/>
                <w:sz w:val="16"/>
              </w:rPr>
              <w:t>5.32</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D64F9">
            <w:pPr>
              <w:jc w:val="center"/>
            </w:pPr>
            <w:r>
              <w:rPr>
                <w:rFonts w:ascii="宋体" w:hAnsi="宋体" w:eastAsia="宋体"/>
                <w:sz w:val="16"/>
              </w:rPr>
              <w:t>5.32</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01F39">
            <w:pPr>
              <w:jc w:val="center"/>
            </w:pPr>
            <w:r>
              <w:rPr>
                <w:rFonts w:ascii="宋体" w:hAnsi="宋体" w:eastAsia="宋体"/>
                <w:sz w:val="16"/>
              </w:rPr>
              <w:t>—</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92A72">
            <w:pPr>
              <w:jc w:val="center"/>
            </w:p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B88A72D">
            <w:pPr>
              <w:jc w:val="center"/>
            </w:pPr>
            <w:r>
              <w:rPr>
                <w:rFonts w:ascii="宋体" w:hAnsi="宋体" w:eastAsia="宋体"/>
                <w:sz w:val="16"/>
              </w:rPr>
              <w:t>—</w:t>
            </w:r>
          </w:p>
        </w:tc>
      </w:tr>
      <w:tr w14:paraId="09B4F0AC">
        <w:tblPrEx>
          <w:tblCellMar>
            <w:top w:w="0" w:type="dxa"/>
            <w:left w:w="108" w:type="dxa"/>
            <w:bottom w:w="0" w:type="dxa"/>
            <w:right w:w="108" w:type="dxa"/>
          </w:tblCellMar>
        </w:tblPrEx>
        <w:trPr>
          <w:wAfter w:w="0" w:type="auto"/>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D1CA07B"/>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D227">
            <w:pPr>
              <w:jc w:val="center"/>
            </w:pPr>
            <w:r>
              <w:rPr>
                <w:rFonts w:ascii="宋体" w:hAnsi="宋体" w:eastAsia="宋体"/>
                <w:sz w:val="16"/>
              </w:rPr>
              <w:t xml:space="preserve">  其他资金</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2BA3A">
            <w:pPr>
              <w:jc w:val="center"/>
            </w:pPr>
            <w:r>
              <w:rPr>
                <w:rFonts w:ascii="宋体" w:hAnsi="宋体" w:eastAsia="宋体"/>
                <w:sz w:val="16"/>
              </w:rPr>
              <w:t>0.00</w:t>
            </w:r>
          </w:p>
        </w:tc>
        <w:tc>
          <w:tcPr>
            <w:tcW w:w="13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C4E63">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D120B">
            <w:pPr>
              <w:jc w:val="center"/>
            </w:pPr>
            <w:r>
              <w:rPr>
                <w:rFonts w:ascii="宋体" w:hAnsi="宋体" w:eastAsia="宋体"/>
                <w:sz w:val="16"/>
              </w:rPr>
              <w:t>0.00</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F880">
            <w:pPr>
              <w:jc w:val="center"/>
            </w:pPr>
            <w:r>
              <w:rPr>
                <w:rFonts w:ascii="宋体" w:hAnsi="宋体" w:eastAsia="宋体"/>
                <w:sz w:val="16"/>
              </w:rPr>
              <w:t>—</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BA73">
            <w:pPr>
              <w:jc w:val="center"/>
            </w:p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7EFBF95">
            <w:pPr>
              <w:jc w:val="center"/>
            </w:pPr>
            <w:r>
              <w:rPr>
                <w:rFonts w:ascii="宋体" w:hAnsi="宋体" w:eastAsia="宋体"/>
                <w:sz w:val="16"/>
              </w:rPr>
              <w:t>—</w:t>
            </w:r>
          </w:p>
        </w:tc>
      </w:tr>
      <w:tr w14:paraId="0591029A">
        <w:tblPrEx>
          <w:tblCellMar>
            <w:top w:w="0" w:type="dxa"/>
            <w:left w:w="108" w:type="dxa"/>
            <w:bottom w:w="0" w:type="dxa"/>
            <w:right w:w="108" w:type="dxa"/>
          </w:tblCellMar>
        </w:tblPrEx>
        <w:trPr>
          <w:wAfter w:w="0" w:type="auto"/>
        </w:trPr>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4CD8D">
            <w:pPr>
              <w:jc w:val="center"/>
            </w:pPr>
            <w:r>
              <w:rPr>
                <w:rFonts w:ascii="宋体" w:hAnsi="宋体" w:eastAsia="宋体"/>
                <w:sz w:val="16"/>
              </w:rPr>
              <w:t>三、目标完成情况</w:t>
            </w:r>
          </w:p>
        </w:tc>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728DB">
            <w:pPr>
              <w:jc w:val="center"/>
            </w:pPr>
            <w:r>
              <w:rPr>
                <w:rFonts w:ascii="宋体" w:hAnsi="宋体" w:eastAsia="宋体"/>
                <w:sz w:val="16"/>
              </w:rPr>
              <w:t>预期目标</w:t>
            </w:r>
          </w:p>
        </w:tc>
        <w:tc>
          <w:tcPr>
            <w:tcW w:w="38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06B88">
            <w:pPr>
              <w:jc w:val="center"/>
            </w:pPr>
            <w:r>
              <w:rPr>
                <w:rFonts w:ascii="宋体" w:hAnsi="宋体" w:eastAsia="宋体"/>
                <w:sz w:val="16"/>
              </w:rPr>
              <w:t>实际完成情况</w:t>
            </w:r>
          </w:p>
        </w:tc>
      </w:tr>
      <w:tr w14:paraId="234B3ECD">
        <w:tblPrEx>
          <w:tblCellMar>
            <w:top w:w="0" w:type="dxa"/>
            <w:left w:w="108" w:type="dxa"/>
            <w:bottom w:w="0" w:type="dxa"/>
            <w:right w:w="108" w:type="dxa"/>
          </w:tblCellMar>
        </w:tblPrEx>
        <w:trPr>
          <w:wAfter w:w="0" w:type="auto"/>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F2DFBBD"/>
        </w:tc>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74851">
            <w:pPr>
              <w:jc w:val="both"/>
            </w:pPr>
            <w:r>
              <w:rPr>
                <w:rFonts w:ascii="宋体" w:hAnsi="宋体" w:eastAsia="宋体"/>
                <w:sz w:val="16"/>
              </w:rPr>
              <w:t>保障岳普湖县170380人基本医疗保险参保，11834人生育保险参保。为保障医疗保险全民参保及医疗服务工作开展，对医保业务档案实现全面的数字化。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会惠民的知晓率有很大的提高，群众的参保自觉性进一步提高，对于实现全民参保有巨大的现实意义。</w:t>
            </w:r>
          </w:p>
        </w:tc>
        <w:tc>
          <w:tcPr>
            <w:tcW w:w="38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E9012E">
            <w:pPr>
              <w:jc w:val="both"/>
            </w:pPr>
            <w:r>
              <w:rPr>
                <w:rFonts w:ascii="宋体" w:hAnsi="宋体" w:eastAsia="宋体"/>
                <w:sz w:val="16"/>
              </w:rPr>
              <w:t>已保障岳普湖县170380人的基本医疗保险参保、11834人的生育保险参保。预算执行率为100%。为保障医疗保险全民参保及医疗服务工作的开展，对医保业务档案实现全面的数字化。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会惠民的知晓率有很大的提高，群众的参保自觉性进一步提高，对于实现全民参保有巨大的现实意义。基本医疗保险参保群众满意度为100%。</w:t>
            </w:r>
          </w:p>
        </w:tc>
      </w:tr>
      <w:tr w14:paraId="2F902CA6">
        <w:tblPrEx>
          <w:tblCellMar>
            <w:top w:w="0" w:type="dxa"/>
            <w:left w:w="108" w:type="dxa"/>
            <w:bottom w:w="0" w:type="dxa"/>
            <w:right w:w="108" w:type="dxa"/>
          </w:tblCellMar>
        </w:tblPrEx>
        <w:trPr>
          <w:wAfter w:w="0" w:type="auto"/>
        </w:trPr>
        <w:tc>
          <w:tcPr>
            <w:tcW w:w="622" w:type="dxa"/>
            <w:tcBorders>
              <w:top w:val="single" w:color="auto" w:sz="10" w:space="0"/>
              <w:left w:val="single" w:color="auto" w:sz="10" w:space="0"/>
              <w:bottom w:val="single" w:color="auto" w:sz="10" w:space="0"/>
              <w:right w:val="single" w:color="auto" w:sz="10" w:space="0"/>
              <w:insideV w:val="single" w:sz="10" w:space="0"/>
            </w:tcBorders>
          </w:tcPr>
          <w:p w14:paraId="39D45510"/>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E79AF49">
            <w:pPr>
              <w:jc w:val="center"/>
            </w:pPr>
            <w:r>
              <w:rPr>
                <w:rFonts w:ascii="宋体" w:hAnsi="宋体" w:eastAsia="宋体"/>
                <w:sz w:val="16"/>
              </w:rPr>
              <w:t>一级指标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FC1DC82">
            <w:pPr>
              <w:jc w:val="center"/>
            </w:pPr>
            <w:r>
              <w:rPr>
                <w:rFonts w:ascii="宋体" w:hAnsi="宋体" w:eastAsia="宋体"/>
                <w:sz w:val="16"/>
              </w:rPr>
              <w:t>二级指标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89A1EE0">
            <w:pPr>
              <w:jc w:val="center"/>
            </w:pPr>
            <w:r>
              <w:rPr>
                <w:rFonts w:ascii="宋体" w:hAnsi="宋体" w:eastAsia="宋体"/>
                <w:sz w:val="16"/>
              </w:rPr>
              <w:t>三级指标</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0ADC07E4">
            <w:pPr>
              <w:jc w:val="center"/>
            </w:pPr>
            <w:r>
              <w:rPr>
                <w:rFonts w:ascii="宋体" w:hAnsi="宋体" w:eastAsia="宋体"/>
                <w:sz w:val="16"/>
              </w:rPr>
              <w:t>年度指标值</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7FD61CA">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9FE46C">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46AFC4A">
            <w:pPr>
              <w:jc w:val="center"/>
            </w:pPr>
            <w:r>
              <w:rPr>
                <w:rFonts w:ascii="宋体" w:hAnsi="宋体" w:eastAsia="宋体"/>
                <w:sz w:val="16"/>
              </w:rPr>
              <w:t>权重</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1B1F726">
            <w:pPr>
              <w:jc w:val="center"/>
            </w:pPr>
            <w:r>
              <w:rPr>
                <w:rFonts w:ascii="宋体" w:hAnsi="宋体" w:eastAsia="宋体"/>
                <w:sz w:val="16"/>
              </w:rPr>
              <w:t>赋分规则</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C63830F">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A491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4C43">
            <w:pPr>
              <w:jc w:val="center"/>
            </w:pPr>
            <w:r>
              <w:rPr>
                <w:rFonts w:ascii="宋体" w:hAnsi="宋体" w:eastAsia="宋体"/>
                <w:sz w:val="16"/>
              </w:rPr>
              <w:t>得分</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A66AD">
            <w:pPr>
              <w:jc w:val="center"/>
            </w:pPr>
            <w:r>
              <w:rPr>
                <w:rFonts w:ascii="宋体" w:hAnsi="宋体" w:eastAsia="宋体"/>
                <w:sz w:val="16"/>
              </w:rPr>
              <w:t>偏差原因分析及改进措施</w:t>
            </w:r>
          </w:p>
        </w:tc>
      </w:tr>
      <w:tr w14:paraId="4E067736">
        <w:tblPrEx>
          <w:tblCellMar>
            <w:top w:w="0" w:type="dxa"/>
            <w:left w:w="108" w:type="dxa"/>
            <w:bottom w:w="0" w:type="dxa"/>
            <w:right w:w="108" w:type="dxa"/>
          </w:tblCellMar>
        </w:tblPrEx>
        <w:trPr>
          <w:wAfter w:w="0" w:type="auto"/>
        </w:trPr>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2057F">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37C05">
            <w:pPr>
              <w:jc w:val="center"/>
            </w:pPr>
            <w:r>
              <w:rPr>
                <w:rFonts w:ascii="宋体" w:hAnsi="宋体" w:eastAsia="宋体"/>
                <w:sz w:val="16"/>
              </w:rPr>
              <w:t>产出指标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0B72B">
            <w:pPr>
              <w:jc w:val="center"/>
            </w:pPr>
            <w:r>
              <w:rPr>
                <w:rFonts w:ascii="宋体" w:hAnsi="宋体" w:eastAsia="宋体"/>
                <w:sz w:val="16"/>
              </w:rPr>
              <w:t>数量指标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6247DC37">
            <w:pPr>
              <w:jc w:val="center"/>
            </w:pPr>
            <w:r>
              <w:rPr>
                <w:rFonts w:ascii="宋体" w:hAnsi="宋体" w:eastAsia="宋体"/>
                <w:sz w:val="16"/>
              </w:rPr>
              <w:t>基本医疗保险参保人数</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5FBF442E">
            <w:pPr>
              <w:jc w:val="center"/>
            </w:pPr>
            <w:r>
              <w:rPr>
                <w:rFonts w:ascii="宋体" w:hAnsi="宋体" w:eastAsia="宋体"/>
                <w:sz w:val="16"/>
              </w:rPr>
              <w:t>&gt;=170380人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373570C">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B9802C">
            <w:pPr>
              <w:jc w:val="center"/>
            </w:pPr>
            <w:r>
              <w:rPr>
                <w:rFonts w:ascii="宋体" w:hAnsi="宋体" w:eastAsia="宋体"/>
                <w:sz w:val="16"/>
              </w:rPr>
              <w:t>169862人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D2C43A4">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537059D">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685A21E">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40094A">
            <w:pPr>
              <w:jc w:val="center"/>
            </w:pPr>
            <w:r>
              <w:rPr>
                <w:rFonts w:ascii="宋体" w:hAnsi="宋体" w:eastAsia="宋体"/>
                <w:sz w:val="16"/>
              </w:rPr>
              <w:t>=170380人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4056">
            <w:pPr>
              <w:jc w:val="center"/>
            </w:pPr>
            <w:r>
              <w:rPr>
                <w:rFonts w:ascii="宋体" w:hAnsi="宋体" w:eastAsia="宋体"/>
                <w:sz w:val="16"/>
              </w:rPr>
              <w:t>7</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FEA8F">
            <w:pPr>
              <w:jc w:val="center"/>
            </w:pPr>
          </w:p>
        </w:tc>
      </w:tr>
      <w:tr w14:paraId="71228992">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87B2A80"/>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25902F9D"/>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4921FD7"/>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F7F973D">
            <w:pPr>
              <w:jc w:val="center"/>
            </w:pPr>
            <w:r>
              <w:rPr>
                <w:rFonts w:ascii="宋体" w:hAnsi="宋体" w:eastAsia="宋体"/>
                <w:sz w:val="16"/>
              </w:rPr>
              <w:t>生育保险参保人数</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28A36789">
            <w:pPr>
              <w:jc w:val="center"/>
            </w:pPr>
            <w:r>
              <w:rPr>
                <w:rFonts w:ascii="宋体" w:hAnsi="宋体" w:eastAsia="宋体"/>
                <w:sz w:val="16"/>
              </w:rPr>
              <w:t>&gt;=11834人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60438D8">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BC0DF3">
            <w:pPr>
              <w:jc w:val="center"/>
            </w:pPr>
            <w:r>
              <w:rPr>
                <w:rFonts w:ascii="宋体" w:hAnsi="宋体" w:eastAsia="宋体"/>
                <w:sz w:val="16"/>
              </w:rPr>
              <w:t>11916人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289F192">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2B5999C">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22A8D4D">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6792E3">
            <w:pPr>
              <w:jc w:val="center"/>
            </w:pPr>
            <w:r>
              <w:rPr>
                <w:rFonts w:ascii="宋体" w:hAnsi="宋体" w:eastAsia="宋体"/>
                <w:sz w:val="16"/>
              </w:rPr>
              <w:t>=11834人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E259">
            <w:pPr>
              <w:jc w:val="center"/>
            </w:pPr>
            <w:r>
              <w:rPr>
                <w:rFonts w:ascii="宋体" w:hAnsi="宋体" w:eastAsia="宋体"/>
                <w:sz w:val="16"/>
              </w:rPr>
              <w:t>7</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12B5">
            <w:pPr>
              <w:jc w:val="center"/>
            </w:pPr>
          </w:p>
        </w:tc>
      </w:tr>
      <w:tr w14:paraId="124FBA3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FFB10CA"/>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4741902"/>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2A41D">
            <w:pPr>
              <w:jc w:val="center"/>
            </w:pPr>
            <w:r>
              <w:rPr>
                <w:rFonts w:ascii="宋体" w:hAnsi="宋体" w:eastAsia="宋体"/>
                <w:sz w:val="16"/>
              </w:rPr>
              <w:t>质量指标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30135EA3">
            <w:pPr>
              <w:jc w:val="center"/>
            </w:pPr>
            <w:r>
              <w:rPr>
                <w:rFonts w:ascii="宋体" w:hAnsi="宋体" w:eastAsia="宋体"/>
                <w:sz w:val="16"/>
              </w:rPr>
              <w:t>基本医疗保障参保率</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2D41FC8C">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F916E3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CC984F">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C408FC4">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5BA041F">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67BFA2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3DF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7155">
            <w:pPr>
              <w:jc w:val="center"/>
            </w:pPr>
            <w:r>
              <w:rPr>
                <w:rFonts w:ascii="宋体" w:hAnsi="宋体" w:eastAsia="宋体"/>
                <w:sz w:val="16"/>
              </w:rPr>
              <w:t>7</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21A2">
            <w:pPr>
              <w:jc w:val="center"/>
            </w:pPr>
          </w:p>
        </w:tc>
      </w:tr>
      <w:tr w14:paraId="09CBF5B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1BFD880"/>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4EA9338"/>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F3A0471"/>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64932907">
            <w:pPr>
              <w:jc w:val="center"/>
            </w:pPr>
            <w:r>
              <w:rPr>
                <w:rFonts w:ascii="宋体" w:hAnsi="宋体" w:eastAsia="宋体"/>
                <w:sz w:val="16"/>
              </w:rPr>
              <w:t>重复参保</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16B02400">
            <w:pPr>
              <w:jc w:val="center"/>
            </w:pPr>
            <w:r>
              <w:rPr>
                <w:rFonts w:ascii="宋体" w:hAnsi="宋体" w:eastAsia="宋体"/>
                <w:sz w:val="16"/>
              </w:rPr>
              <w:t>=0%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51B8236">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AD6728">
            <w:pPr>
              <w:jc w:val="center"/>
            </w:pPr>
            <w:r>
              <w:rPr>
                <w:rFonts w:ascii="宋体" w:hAnsi="宋体" w:eastAsia="宋体"/>
                <w:sz w:val="16"/>
              </w:rPr>
              <w:t>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5AF7B05">
            <w:pPr>
              <w:jc w:val="center"/>
            </w:pPr>
            <w:r>
              <w:rPr>
                <w:rFonts w:ascii="宋体" w:hAnsi="宋体" w:eastAsia="宋体"/>
                <w:sz w:val="16"/>
              </w:rPr>
              <w:t>7</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0C94748">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DAFF01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285B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BFF7">
            <w:pPr>
              <w:jc w:val="center"/>
            </w:pPr>
            <w:r>
              <w:rPr>
                <w:rFonts w:ascii="宋体" w:hAnsi="宋体" w:eastAsia="宋体"/>
                <w:sz w:val="16"/>
              </w:rPr>
              <w:t>7</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2C93">
            <w:pPr>
              <w:jc w:val="center"/>
            </w:pPr>
          </w:p>
        </w:tc>
      </w:tr>
      <w:tr w14:paraId="505B19E4">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BB7A12A"/>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F2F3326"/>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6A0F5">
            <w:pPr>
              <w:jc w:val="center"/>
            </w:pPr>
            <w:r>
              <w:rPr>
                <w:rFonts w:ascii="宋体" w:hAnsi="宋体" w:eastAsia="宋体"/>
                <w:sz w:val="16"/>
              </w:rPr>
              <w:t>时效指标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419C99D">
            <w:pPr>
              <w:jc w:val="center"/>
            </w:pPr>
            <w:r>
              <w:rPr>
                <w:rFonts w:ascii="宋体" w:hAnsi="宋体" w:eastAsia="宋体"/>
                <w:sz w:val="16"/>
              </w:rPr>
              <w:t>按时报送各项医疗保险基金季报数据及分析</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7810C5B9">
            <w:pPr>
              <w:jc w:val="center"/>
            </w:pPr>
            <w:r>
              <w:rPr>
                <w:rFonts w:ascii="宋体" w:hAnsi="宋体" w:eastAsia="宋体"/>
                <w:sz w:val="16"/>
              </w:rPr>
              <w:t>季度终了后15日内</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504AE22">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17509E">
            <w:pPr>
              <w:jc w:val="center"/>
            </w:pPr>
            <w:r>
              <w:rPr>
                <w:rFonts w:ascii="宋体" w:hAnsi="宋体" w:eastAsia="宋体"/>
                <w:sz w:val="16"/>
              </w:rPr>
              <w:t>季度终了后4日</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98A5919">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F425BF9">
            <w:pPr>
              <w:jc w:val="center"/>
            </w:pPr>
            <w:r>
              <w:rPr>
                <w:rFonts w:ascii="宋体" w:hAnsi="宋体" w:eastAsia="宋体"/>
                <w:sz w:val="16"/>
              </w:rPr>
              <w:t>直接赋分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4E0465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D2B124">
            <w:pPr>
              <w:jc w:val="center"/>
            </w:pPr>
            <w:r>
              <w:rPr>
                <w:rFonts w:ascii="宋体" w:hAnsi="宋体" w:eastAsia="宋体"/>
                <w:sz w:val="16"/>
              </w:rPr>
              <w:t>季度终了2日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A9B5">
            <w:pPr>
              <w:jc w:val="center"/>
            </w:pPr>
            <w:r>
              <w:rPr>
                <w:rFonts w:ascii="宋体" w:hAnsi="宋体" w:eastAsia="宋体"/>
                <w:sz w:val="16"/>
              </w:rPr>
              <w:t>6</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A131F">
            <w:pPr>
              <w:jc w:val="center"/>
            </w:pPr>
          </w:p>
        </w:tc>
      </w:tr>
      <w:tr w14:paraId="4DFE12A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618409F"/>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E2D9548"/>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4C29669"/>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320C91B">
            <w:pPr>
              <w:jc w:val="center"/>
            </w:pPr>
            <w:r>
              <w:rPr>
                <w:rFonts w:ascii="宋体" w:hAnsi="宋体" w:eastAsia="宋体"/>
                <w:sz w:val="16"/>
              </w:rPr>
              <w:t>按时报送各项医疗保险基金决算数据及分析</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7CDCE7D6">
            <w:pPr>
              <w:jc w:val="center"/>
            </w:pPr>
            <w:r>
              <w:rPr>
                <w:rFonts w:ascii="宋体" w:hAnsi="宋体" w:eastAsia="宋体"/>
                <w:sz w:val="16"/>
              </w:rPr>
              <w:t>次年1月15日前</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BE530D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649976">
            <w:pPr>
              <w:jc w:val="center"/>
            </w:pPr>
            <w:r>
              <w:rPr>
                <w:rFonts w:ascii="宋体" w:hAnsi="宋体" w:eastAsia="宋体"/>
                <w:sz w:val="16"/>
              </w:rPr>
              <w:t>次年1月30日</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3B856D">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EA13018">
            <w:pPr>
              <w:jc w:val="center"/>
            </w:pPr>
            <w:r>
              <w:rPr>
                <w:rFonts w:ascii="宋体" w:hAnsi="宋体" w:eastAsia="宋体"/>
                <w:sz w:val="16"/>
              </w:rPr>
              <w:t>直接赋分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EBA17C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E02AD4">
            <w:pPr>
              <w:jc w:val="center"/>
            </w:pPr>
            <w:r>
              <w:rPr>
                <w:rFonts w:ascii="宋体" w:hAnsi="宋体" w:eastAsia="宋体"/>
                <w:sz w:val="16"/>
              </w:rPr>
              <w:t>次年1月3日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CC76">
            <w:pPr>
              <w:jc w:val="center"/>
            </w:pPr>
            <w:r>
              <w:rPr>
                <w:rFonts w:ascii="宋体" w:hAnsi="宋体" w:eastAsia="宋体"/>
                <w:sz w:val="16"/>
              </w:rPr>
              <w:t>6</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F83A8">
            <w:pPr>
              <w:jc w:val="center"/>
            </w:pPr>
          </w:p>
        </w:tc>
      </w:tr>
      <w:tr w14:paraId="7F297AEA">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F02F87A"/>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2DC5AE8">
            <w:pPr>
              <w:jc w:val="center"/>
            </w:pPr>
            <w:r>
              <w:rPr>
                <w:rFonts w:ascii="宋体" w:hAnsi="宋体" w:eastAsia="宋体"/>
                <w:sz w:val="16"/>
              </w:rPr>
              <w:t>成本指标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E953974">
            <w:pPr>
              <w:jc w:val="center"/>
            </w:pPr>
            <w:r>
              <w:rPr>
                <w:rFonts w:ascii="宋体" w:hAnsi="宋体" w:eastAsia="宋体"/>
                <w:sz w:val="16"/>
              </w:rPr>
              <w:t>经济成本指标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C18940A">
            <w:pPr>
              <w:jc w:val="center"/>
            </w:pPr>
            <w:r>
              <w:rPr>
                <w:rFonts w:ascii="宋体" w:hAnsi="宋体" w:eastAsia="宋体"/>
                <w:sz w:val="16"/>
              </w:rPr>
              <w:t>医疗保险全民参保及医疗服务工作经费预算控制数</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5782106F">
            <w:pPr>
              <w:jc w:val="center"/>
            </w:pPr>
            <w:r>
              <w:rPr>
                <w:rFonts w:ascii="宋体" w:hAnsi="宋体" w:eastAsia="宋体"/>
                <w:sz w:val="16"/>
              </w:rPr>
              <w:t>&lt;=5.32万元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2786374">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375E27">
            <w:pPr>
              <w:jc w:val="center"/>
            </w:pPr>
            <w:r>
              <w:rPr>
                <w:rFonts w:ascii="宋体" w:hAnsi="宋体" w:eastAsia="宋体"/>
                <w:sz w:val="16"/>
              </w:rPr>
              <w:t>5.31万元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867BFFF">
            <w:pPr>
              <w:jc w:val="center"/>
            </w:pPr>
            <w:r>
              <w:rPr>
                <w:rFonts w:ascii="宋体" w:hAnsi="宋体" w:eastAsia="宋体"/>
                <w:sz w:val="16"/>
              </w:rPr>
              <w:t>20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3E48778">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FB4B54F">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58F444">
            <w:pPr>
              <w:jc w:val="center"/>
            </w:pPr>
            <w:r>
              <w:rPr>
                <w:rFonts w:ascii="宋体" w:hAnsi="宋体" w:eastAsia="宋体"/>
                <w:sz w:val="16"/>
              </w:rPr>
              <w:t>=5.32万元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74F5">
            <w:pPr>
              <w:jc w:val="center"/>
            </w:pPr>
            <w:r>
              <w:rPr>
                <w:rFonts w:ascii="宋体" w:hAnsi="宋体" w:eastAsia="宋体"/>
                <w:sz w:val="16"/>
              </w:rPr>
              <w:t>20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57B15">
            <w:pPr>
              <w:jc w:val="center"/>
            </w:pPr>
          </w:p>
        </w:tc>
      </w:tr>
      <w:tr w14:paraId="13E0C07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253BE95"/>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9E7FF">
            <w:pPr>
              <w:jc w:val="center"/>
            </w:pPr>
            <w:r>
              <w:rPr>
                <w:rFonts w:ascii="宋体" w:hAnsi="宋体" w:eastAsia="宋体"/>
                <w:sz w:val="16"/>
              </w:rPr>
              <w:t>效益指标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6CBA4">
            <w:pPr>
              <w:jc w:val="center"/>
            </w:pPr>
            <w:r>
              <w:rPr>
                <w:rFonts w:ascii="宋体" w:hAnsi="宋体" w:eastAsia="宋体"/>
                <w:sz w:val="16"/>
              </w:rPr>
              <w:t>社会效益指标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7684B94">
            <w:pPr>
              <w:jc w:val="center"/>
            </w:pPr>
            <w:r>
              <w:rPr>
                <w:rFonts w:ascii="宋体" w:hAnsi="宋体" w:eastAsia="宋体"/>
                <w:sz w:val="16"/>
              </w:rPr>
              <w:t>医保政策知晓率</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5671D571">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9CB8B58">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72F6F1">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5305AAF">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C44A104">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6C1740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5F2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A25F">
            <w:pPr>
              <w:jc w:val="center"/>
            </w:pPr>
            <w:r>
              <w:rPr>
                <w:rFonts w:ascii="宋体" w:hAnsi="宋体" w:eastAsia="宋体"/>
                <w:sz w:val="16"/>
              </w:rPr>
              <w:t>10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E2CE">
            <w:pPr>
              <w:jc w:val="center"/>
            </w:pPr>
          </w:p>
        </w:tc>
      </w:tr>
      <w:tr w14:paraId="38CED44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CFEBA50"/>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9878B72"/>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7F13953"/>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AD4004F">
            <w:pPr>
              <w:jc w:val="center"/>
            </w:pPr>
            <w:r>
              <w:rPr>
                <w:rFonts w:ascii="宋体" w:hAnsi="宋体" w:eastAsia="宋体"/>
                <w:sz w:val="16"/>
              </w:rPr>
              <w:t>减轻参保人员就医经济负担，缓解社会矛盾</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367D3C5D">
            <w:pPr>
              <w:jc w:val="center"/>
            </w:pPr>
            <w:r>
              <w:rPr>
                <w:rFonts w:ascii="宋体" w:hAnsi="宋体" w:eastAsia="宋体"/>
                <w:sz w:val="16"/>
              </w:rPr>
              <w:t>有效减轻</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18D3057">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3D7AE7">
            <w:pPr>
              <w:jc w:val="center"/>
            </w:pPr>
            <w:r>
              <w:rPr>
                <w:rFonts w:ascii="宋体" w:hAnsi="宋体" w:eastAsia="宋体"/>
                <w:sz w:val="16"/>
              </w:rPr>
              <w:t>有效减轻</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B9E2C62">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F4C559B">
            <w:pPr>
              <w:jc w:val="center"/>
            </w:pPr>
            <w:r>
              <w:rPr>
                <w:rFonts w:ascii="宋体" w:hAnsi="宋体" w:eastAsia="宋体"/>
                <w:sz w:val="16"/>
              </w:rPr>
              <w:t>按评判等级赋分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79EA9A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9D4CD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4113">
            <w:pPr>
              <w:jc w:val="center"/>
            </w:pPr>
            <w:r>
              <w:rPr>
                <w:rFonts w:ascii="宋体" w:hAnsi="宋体" w:eastAsia="宋体"/>
                <w:sz w:val="16"/>
              </w:rPr>
              <w:t>10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E0471">
            <w:pPr>
              <w:jc w:val="center"/>
            </w:pPr>
          </w:p>
        </w:tc>
      </w:tr>
      <w:tr w14:paraId="3AD22064">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0428B8F"/>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717734E">
            <w:pPr>
              <w:jc w:val="center"/>
            </w:pPr>
            <w:r>
              <w:rPr>
                <w:rFonts w:ascii="宋体" w:hAnsi="宋体" w:eastAsia="宋体"/>
                <w:sz w:val="16"/>
              </w:rPr>
              <w:t>满意度指标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86B66BC">
            <w:pPr>
              <w:jc w:val="center"/>
            </w:pPr>
            <w:r>
              <w:rPr>
                <w:rFonts w:ascii="宋体" w:hAnsi="宋体" w:eastAsia="宋体"/>
                <w:sz w:val="16"/>
              </w:rPr>
              <w:t>满意度指标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265B138F">
            <w:pPr>
              <w:jc w:val="center"/>
            </w:pPr>
            <w:r>
              <w:rPr>
                <w:rFonts w:ascii="宋体" w:hAnsi="宋体" w:eastAsia="宋体"/>
                <w:sz w:val="16"/>
              </w:rPr>
              <w:t>基本医疗保险参保群众满意度</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527DAC83">
            <w:pPr>
              <w:jc w:val="center"/>
            </w:pPr>
            <w:r>
              <w:rPr>
                <w:rFonts w:ascii="宋体" w:hAnsi="宋体" w:eastAsia="宋体"/>
                <w:sz w:val="16"/>
              </w:rPr>
              <w:t>&gt;=98%</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D38BA1C">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175064">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9DB98E8">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256AA5D">
            <w:pPr>
              <w:jc w:val="center"/>
            </w:pPr>
            <w:r>
              <w:rPr>
                <w:rFonts w:ascii="宋体" w:hAnsi="宋体" w:eastAsia="宋体"/>
                <w:sz w:val="16"/>
              </w:rPr>
              <w:t>满意度赋分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B472E4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D66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0B85">
            <w:pPr>
              <w:jc w:val="center"/>
            </w:pPr>
            <w:r>
              <w:rPr>
                <w:rFonts w:ascii="宋体" w:hAnsi="宋体" w:eastAsia="宋体"/>
                <w:sz w:val="16"/>
              </w:rPr>
              <w:t>10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493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57427B2">
        <w:tblPrEx>
          <w:tblCellMar>
            <w:top w:w="0" w:type="dxa"/>
            <w:left w:w="108" w:type="dxa"/>
            <w:bottom w:w="0" w:type="dxa"/>
            <w:right w:w="108" w:type="dxa"/>
          </w:tblCellMar>
        </w:tblPrEx>
        <w:tc>
          <w:tcPr>
            <w:tcW w:w="46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EFEA6">
            <w:pPr>
              <w:jc w:val="center"/>
            </w:pPr>
            <w:r>
              <w:rPr>
                <w:rFonts w:ascii="宋体" w:hAnsi="宋体" w:eastAsia="宋体"/>
                <w:sz w:val="16"/>
              </w:rPr>
              <w:t>总分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E9E6BF5">
            <w:pPr>
              <w:jc w:val="center"/>
            </w:pPr>
            <w:r>
              <w:rPr>
                <w:rFonts w:ascii="宋体" w:hAnsi="宋体" w:eastAsia="宋体"/>
                <w:sz w:val="16"/>
              </w:rPr>
              <w:t>100</w:t>
            </w:r>
          </w:p>
        </w:tc>
        <w:tc>
          <w:tcPr>
            <w:tcW w:w="1988" w:type="dxa"/>
            <w:gridSpan w:val="3"/>
            <w:tcBorders>
              <w:top w:val="single" w:color="auto" w:sz="10" w:space="0"/>
              <w:left w:val="single" w:color="auto" w:sz="10" w:space="0"/>
              <w:bottom w:val="single" w:color="auto" w:sz="10" w:space="0"/>
              <w:right w:val="single" w:color="auto" w:sz="10" w:space="0"/>
              <w:insideV w:val="single" w:sz="10" w:space="0"/>
            </w:tcBorders>
          </w:tcPr>
          <w:p w14:paraId="65096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BCF4">
            <w:pPr>
              <w:jc w:val="center"/>
            </w:pPr>
            <w:r>
              <w:rPr>
                <w:rFonts w:ascii="宋体" w:hAnsi="宋体" w:eastAsia="宋体"/>
                <w:sz w:val="16"/>
              </w:rPr>
              <w:t>100分</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tcPr>
          <w:p w14:paraId="01076742"/>
        </w:tc>
      </w:tr>
    </w:tbl>
    <w:p w14:paraId="44B85591">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590"/>
        <w:gridCol w:w="936"/>
        <w:gridCol w:w="590"/>
        <w:gridCol w:w="776"/>
        <w:gridCol w:w="603"/>
        <w:gridCol w:w="590"/>
        <w:gridCol w:w="590"/>
        <w:gridCol w:w="776"/>
        <w:gridCol w:w="632"/>
        <w:gridCol w:w="552"/>
        <w:gridCol w:w="629"/>
      </w:tblGrid>
      <w:tr w14:paraId="2A7DE95F">
        <w:tblPrEx>
          <w:tblCellMar>
            <w:top w:w="0" w:type="dxa"/>
            <w:left w:w="108" w:type="dxa"/>
            <w:bottom w:w="0" w:type="dxa"/>
            <w:right w:w="108" w:type="dxa"/>
          </w:tblCellMar>
        </w:tblPrEx>
        <w:tc>
          <w:tcPr>
            <w:tcW w:w="8848" w:type="dxa"/>
            <w:gridSpan w:val="14"/>
            <w:vAlign w:val="center"/>
          </w:tcPr>
          <w:p w14:paraId="221F4849">
            <w:pPr>
              <w:jc w:val="center"/>
            </w:pPr>
            <w:r>
              <w:rPr>
                <w:rFonts w:ascii="宋体" w:hAnsi="宋体" w:eastAsia="宋体"/>
                <w:sz w:val="24"/>
              </w:rPr>
              <w:t>项目支出绩效自评表</w:t>
            </w:r>
          </w:p>
        </w:tc>
      </w:tr>
      <w:tr w14:paraId="23125474">
        <w:tblPrEx>
          <w:tblCellMar>
            <w:top w:w="0" w:type="dxa"/>
            <w:left w:w="108" w:type="dxa"/>
            <w:bottom w:w="0" w:type="dxa"/>
            <w:right w:w="108" w:type="dxa"/>
          </w:tblCellMar>
        </w:tblPrEx>
        <w:tc>
          <w:tcPr>
            <w:tcW w:w="8848" w:type="dxa"/>
            <w:gridSpan w:val="14"/>
            <w:vAlign w:val="center"/>
          </w:tcPr>
          <w:p w14:paraId="7614E0C4">
            <w:pPr>
              <w:jc w:val="center"/>
            </w:pPr>
            <w:r>
              <w:rPr>
                <w:rFonts w:ascii="宋体" w:hAnsi="宋体" w:eastAsia="宋体"/>
                <w:sz w:val="24"/>
              </w:rPr>
              <w:t>(2024年度)</w:t>
            </w:r>
          </w:p>
        </w:tc>
      </w:tr>
      <w:tr w14:paraId="783EE8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88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81F451">
            <w:pPr>
              <w:jc w:val="center"/>
            </w:pPr>
            <w:r>
              <w:rPr>
                <w:rFonts w:ascii="宋体" w:hAnsi="宋体" w:eastAsia="宋体"/>
                <w:sz w:val="16"/>
              </w:rPr>
              <w:t>破产企业工伤定期领取人员基本医疗保险和大额医疗保险项目</w:t>
            </w:r>
          </w:p>
        </w:tc>
      </w:tr>
      <w:tr w14:paraId="2E2866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EA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E88A6">
            <w:pPr>
              <w:jc w:val="center"/>
            </w:pPr>
            <w:r>
              <w:rPr>
                <w:rFonts w:ascii="宋体" w:hAnsi="宋体" w:eastAsia="宋体"/>
                <w:sz w:val="16"/>
              </w:rPr>
              <w:t>岳普湖县医疗保障局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94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B640BA">
            <w:pPr>
              <w:jc w:val="center"/>
            </w:pPr>
            <w:r>
              <w:rPr>
                <w:rFonts w:ascii="宋体" w:hAnsi="宋体" w:eastAsia="宋体"/>
                <w:sz w:val="16"/>
              </w:rPr>
              <w:t>岳普湖县医疗保障局</w:t>
            </w:r>
          </w:p>
        </w:tc>
      </w:tr>
      <w:tr w14:paraId="58C26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1E4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7D3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19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C9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485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CA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7A0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2171">
            <w:pPr>
              <w:jc w:val="center"/>
            </w:pPr>
            <w:r>
              <w:rPr>
                <w:rFonts w:ascii="宋体" w:hAnsi="宋体" w:eastAsia="宋体"/>
                <w:sz w:val="16"/>
              </w:rPr>
              <w:t>得分</w:t>
            </w:r>
          </w:p>
        </w:tc>
      </w:tr>
      <w:tr w14:paraId="4D3B7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0BC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55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0DF5">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2A19">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80B3">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6E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641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4623">
            <w:pPr>
              <w:jc w:val="center"/>
            </w:pPr>
            <w:r>
              <w:rPr>
                <w:rFonts w:ascii="宋体" w:hAnsi="宋体" w:eastAsia="宋体"/>
                <w:sz w:val="16"/>
              </w:rPr>
              <w:t>10.00分</w:t>
            </w:r>
          </w:p>
        </w:tc>
      </w:tr>
      <w:tr w14:paraId="41E50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2CC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72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3A12">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50F4">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D2E54">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05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4DA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E45A">
            <w:pPr>
              <w:jc w:val="center"/>
            </w:pPr>
            <w:r>
              <w:rPr>
                <w:rFonts w:ascii="宋体" w:hAnsi="宋体" w:eastAsia="宋体"/>
                <w:sz w:val="16"/>
              </w:rPr>
              <w:t>—</w:t>
            </w:r>
          </w:p>
        </w:tc>
      </w:tr>
      <w:tr w14:paraId="14F5B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B7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4F0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76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A8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A19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02E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EB4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619E">
            <w:pPr>
              <w:jc w:val="center"/>
            </w:pPr>
            <w:r>
              <w:rPr>
                <w:rFonts w:ascii="宋体" w:hAnsi="宋体" w:eastAsia="宋体"/>
                <w:sz w:val="16"/>
              </w:rPr>
              <w:t>—</w:t>
            </w:r>
          </w:p>
        </w:tc>
      </w:tr>
      <w:tr w14:paraId="0582CE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E65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1D1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E88ACC">
            <w:pPr>
              <w:jc w:val="center"/>
            </w:pPr>
            <w:r>
              <w:rPr>
                <w:rFonts w:ascii="宋体" w:hAnsi="宋体" w:eastAsia="宋体"/>
                <w:sz w:val="16"/>
              </w:rPr>
              <w:t>实际完成情况</w:t>
            </w:r>
          </w:p>
        </w:tc>
      </w:tr>
      <w:tr w14:paraId="39F56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D75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49300">
            <w:pPr>
              <w:jc w:val="both"/>
            </w:pPr>
            <w:r>
              <w:rPr>
                <w:rFonts w:ascii="宋体" w:hAnsi="宋体" w:eastAsia="宋体"/>
                <w:sz w:val="16"/>
              </w:rPr>
              <w:t>对破产企业2名工伤人员的基本医疗保障和大额医疗保险单位缴纳部分进行补贴，其中：基本医疗保险标准3733.20元/人·年、基本医疗保险差额补缴标准262.80元/人·年、大额医疗保险标准120元/人·年。项目的实施有效减轻破产企业员工的经济负担，对健全医疗保障制度成效明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8AA19">
            <w:pPr>
              <w:jc w:val="both"/>
            </w:pPr>
            <w:r>
              <w:rPr>
                <w:rFonts w:ascii="宋体" w:hAnsi="宋体" w:eastAsia="宋体"/>
                <w:sz w:val="16"/>
              </w:rPr>
              <w:t>已完成对破产企业2名工伤人员的基本医疗保障和大额医疗保险单位缴纳部分的补贴发放，预算执行率为100%。项目的实施有效减轻破产企业员工的经济负担，对健全医疗保障制度成效明显。破产企业工伤人员对医疗保险补贴满意度为100%。</w:t>
            </w:r>
          </w:p>
        </w:tc>
      </w:tr>
      <w:tr w14:paraId="063C00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2C6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49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1F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66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EE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51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B7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12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B4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A1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74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F6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14C4C">
            <w:pPr>
              <w:jc w:val="center"/>
            </w:pPr>
            <w:r>
              <w:rPr>
                <w:rFonts w:ascii="宋体" w:hAnsi="宋体" w:eastAsia="宋体"/>
                <w:sz w:val="16"/>
              </w:rPr>
              <w:t>偏差原因分析及改进措施</w:t>
            </w:r>
          </w:p>
        </w:tc>
      </w:tr>
      <w:tr w14:paraId="5CE363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768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A7D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A2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CF6">
            <w:pPr>
              <w:jc w:val="center"/>
            </w:pPr>
            <w:r>
              <w:rPr>
                <w:rFonts w:ascii="宋体" w:hAnsi="宋体" w:eastAsia="宋体"/>
                <w:sz w:val="16"/>
              </w:rPr>
              <w:t>破产企业工伤人员领取补助人数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0B82">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6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C07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2E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25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8C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B5B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E2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955F6">
            <w:pPr>
              <w:jc w:val="center"/>
            </w:pPr>
          </w:p>
        </w:tc>
      </w:tr>
      <w:tr w14:paraId="019F7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9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919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463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F278">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A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A3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3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80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5D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10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A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8A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2BD67">
            <w:pPr>
              <w:jc w:val="center"/>
            </w:pPr>
          </w:p>
        </w:tc>
      </w:tr>
      <w:tr w14:paraId="0FE63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A89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2F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F7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B0A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B2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A0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78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EA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F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A2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2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64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66C36">
            <w:pPr>
              <w:jc w:val="center"/>
            </w:pPr>
          </w:p>
        </w:tc>
      </w:tr>
      <w:tr w14:paraId="05352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E8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D5E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420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7D8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28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E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E7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A0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2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09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0C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57F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CC78">
            <w:pPr>
              <w:jc w:val="center"/>
            </w:pPr>
          </w:p>
        </w:tc>
      </w:tr>
      <w:tr w14:paraId="3ED43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53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4B3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50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97E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22D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7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DDC2">
            <w:pPr>
              <w:jc w:val="center"/>
            </w:pPr>
            <w:r>
              <w:rPr>
                <w:rFonts w:ascii="宋体" w:hAnsi="宋体" w:eastAsia="宋体"/>
                <w:sz w:val="16"/>
              </w:rPr>
              <w:t>2023年10月27日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63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27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DC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F06E">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3C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99E7F">
            <w:pPr>
              <w:jc w:val="center"/>
            </w:pPr>
          </w:p>
        </w:tc>
      </w:tr>
      <w:tr w14:paraId="041B2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D92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E71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E02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3A93">
            <w:pPr>
              <w:jc w:val="center"/>
            </w:pPr>
            <w:r>
              <w:rPr>
                <w:rFonts w:ascii="宋体" w:hAnsi="宋体" w:eastAsia="宋体"/>
                <w:sz w:val="16"/>
              </w:rPr>
              <w:t>基本医疗保险</w:t>
            </w:r>
            <w:bookmarkStart w:id="0" w:name="_GoBack"/>
            <w:bookmarkEnd w:id="0"/>
            <w:r>
              <w:rPr>
                <w:rFonts w:ascii="宋体" w:hAnsi="宋体" w:eastAsia="宋体"/>
                <w:sz w:val="16"/>
              </w:rPr>
              <w:t>单位部分标准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CA12">
            <w:pPr>
              <w:jc w:val="center"/>
            </w:pPr>
            <w:r>
              <w:rPr>
                <w:rFonts w:ascii="宋体" w:hAnsi="宋体" w:eastAsia="宋体"/>
                <w:sz w:val="16"/>
              </w:rPr>
              <w:t>&lt;=3733.20元/人·年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AE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20EF">
            <w:pPr>
              <w:jc w:val="center"/>
            </w:pPr>
            <w:r>
              <w:rPr>
                <w:rFonts w:ascii="宋体" w:hAnsi="宋体" w:eastAsia="宋体"/>
                <w:sz w:val="16"/>
              </w:rPr>
              <w:t>3470.45元/人·年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A9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A2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12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510F">
            <w:pPr>
              <w:jc w:val="center"/>
            </w:pPr>
            <w:r>
              <w:rPr>
                <w:rFonts w:ascii="宋体" w:hAnsi="宋体" w:eastAsia="宋体"/>
                <w:sz w:val="16"/>
              </w:rPr>
              <w:t>=3733.2元/人·年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A39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01D92">
            <w:pPr>
              <w:jc w:val="center"/>
            </w:pPr>
          </w:p>
        </w:tc>
      </w:tr>
      <w:tr w14:paraId="58555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64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94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5A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1501">
            <w:pPr>
              <w:jc w:val="center"/>
            </w:pPr>
            <w:r>
              <w:rPr>
                <w:rFonts w:ascii="宋体" w:hAnsi="宋体" w:eastAsia="宋体"/>
                <w:sz w:val="16"/>
              </w:rPr>
              <w:t>基本医疗保险差额缴纳单位部分标准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9879">
            <w:pPr>
              <w:jc w:val="center"/>
            </w:pPr>
            <w:r>
              <w:rPr>
                <w:rFonts w:ascii="宋体" w:hAnsi="宋体" w:eastAsia="宋体"/>
                <w:sz w:val="16"/>
              </w:rPr>
              <w:t>&lt;=262.80元/人·年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15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9A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5F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F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4B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92B3">
            <w:pPr>
              <w:jc w:val="center"/>
            </w:pPr>
            <w:r>
              <w:rPr>
                <w:rFonts w:ascii="宋体" w:hAnsi="宋体" w:eastAsia="宋体"/>
                <w:sz w:val="16"/>
              </w:rPr>
              <w:t>=262.8元/人·年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DD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86BF">
            <w:pPr>
              <w:jc w:val="center"/>
            </w:pPr>
          </w:p>
        </w:tc>
      </w:tr>
      <w:tr w14:paraId="7EA62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42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75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75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19A4">
            <w:pPr>
              <w:jc w:val="center"/>
            </w:pPr>
            <w:r>
              <w:rPr>
                <w:rFonts w:ascii="宋体" w:hAnsi="宋体" w:eastAsia="宋体"/>
                <w:sz w:val="16"/>
              </w:rPr>
              <w:t>大额医疗保险单位部分标准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F6EB">
            <w:pPr>
              <w:jc w:val="center"/>
            </w:pPr>
            <w:r>
              <w:rPr>
                <w:rFonts w:ascii="宋体" w:hAnsi="宋体" w:eastAsia="宋体"/>
                <w:sz w:val="16"/>
              </w:rPr>
              <w:t>&lt;=120元/人·年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6E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5759">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FD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69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85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BEF8">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03B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8870">
            <w:pPr>
              <w:jc w:val="center"/>
            </w:pPr>
          </w:p>
        </w:tc>
      </w:tr>
      <w:tr w14:paraId="2893B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CA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FD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CE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2B9F">
            <w:pPr>
              <w:jc w:val="center"/>
            </w:pPr>
            <w:r>
              <w:rPr>
                <w:rFonts w:ascii="宋体" w:hAnsi="宋体" w:eastAsia="宋体"/>
                <w:sz w:val="16"/>
              </w:rPr>
              <w:t>减轻破产企业人员经济负担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200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E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C4E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A6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15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57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A9B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C6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2FC2">
            <w:pPr>
              <w:jc w:val="center"/>
            </w:pPr>
          </w:p>
        </w:tc>
      </w:tr>
      <w:tr w14:paraId="179B5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C3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E8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DF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07C6">
            <w:pPr>
              <w:jc w:val="center"/>
            </w:pPr>
            <w:r>
              <w:rPr>
                <w:rFonts w:ascii="宋体" w:hAnsi="宋体" w:eastAsia="宋体"/>
                <w:sz w:val="16"/>
              </w:rPr>
              <w:t>破产企业工伤人员对医疗保险补贴满意度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ECC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8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2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03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61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A6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8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FE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F7B8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EFA0F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D5E7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2A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F2D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BC8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068F07"/>
        </w:tc>
      </w:tr>
    </w:tbl>
    <w:p w14:paraId="0C849728">
      <w:r>
        <w:br w:type="page"/>
      </w:r>
    </w:p>
    <w:p w14:paraId="346254E0">
      <w:pPr>
        <w:spacing w:line="640" w:lineRule="exact"/>
        <w:ind w:firstLine="640"/>
        <w:jc w:val="both"/>
        <w:outlineLvl w:val="2"/>
      </w:pPr>
      <w:r>
        <w:rPr>
          <w:rFonts w:ascii="黑体" w:hAnsi="黑体" w:eastAsia="黑体"/>
          <w:sz w:val="32"/>
        </w:rPr>
        <w:t>十二、其他需说明的事项</w:t>
      </w:r>
    </w:p>
    <w:p w14:paraId="3596C13D">
      <w:pPr>
        <w:spacing w:line="580" w:lineRule="exact"/>
        <w:ind w:firstLine="640"/>
        <w:jc w:val="both"/>
      </w:pPr>
      <w:r>
        <w:rPr>
          <w:rFonts w:ascii="仿宋_GB2312" w:hAnsi="仿宋_GB2312" w:eastAsia="仿宋_GB2312"/>
          <w:b w:val="0"/>
          <w:sz w:val="32"/>
        </w:rPr>
        <w:t>本单位无其他需说明的事项。</w:t>
      </w:r>
    </w:p>
    <w:p w14:paraId="07F24F7C">
      <w:r>
        <w:br w:type="page"/>
      </w:r>
    </w:p>
    <w:p w14:paraId="7C90EBF0">
      <w:pPr>
        <w:spacing w:line="240" w:lineRule="auto"/>
        <w:jc w:val="center"/>
        <w:outlineLvl w:val="1"/>
      </w:pPr>
      <w:r>
        <w:rPr>
          <w:rFonts w:ascii="黑体" w:hAnsi="黑体" w:eastAsia="黑体"/>
          <w:sz w:val="32"/>
        </w:rPr>
        <w:t>第三部分 专业名词解释</w:t>
      </w:r>
    </w:p>
    <w:p w14:paraId="4CC31B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4447F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25009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5E36C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D30AC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61AEE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1B0BD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954AF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08223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CD52E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C1954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AE52B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8FD8B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4E58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8CC683">
      <w:r>
        <w:br w:type="page"/>
      </w:r>
    </w:p>
    <w:p w14:paraId="700CE94E">
      <w:pPr>
        <w:spacing w:line="240" w:lineRule="auto"/>
        <w:jc w:val="center"/>
        <w:outlineLvl w:val="1"/>
      </w:pPr>
      <w:r>
        <w:rPr>
          <w:rFonts w:ascii="黑体" w:hAnsi="黑体" w:eastAsia="黑体"/>
          <w:sz w:val="32"/>
        </w:rPr>
        <w:t>第四部分 部门决算报表（见附表）</w:t>
      </w:r>
    </w:p>
    <w:p w14:paraId="307A62B0">
      <w:pPr>
        <w:spacing w:line="240" w:lineRule="auto"/>
        <w:ind w:firstLine="640"/>
        <w:jc w:val="both"/>
      </w:pPr>
      <w:r>
        <w:rPr>
          <w:rFonts w:ascii="仿宋_GB2312" w:hAnsi="仿宋_GB2312" w:eastAsia="仿宋_GB2312"/>
          <w:b w:val="0"/>
          <w:sz w:val="32"/>
        </w:rPr>
        <w:t>一、《收入支出决算总表》</w:t>
      </w:r>
    </w:p>
    <w:p w14:paraId="7F1ACED8">
      <w:pPr>
        <w:spacing w:line="240" w:lineRule="auto"/>
        <w:ind w:firstLine="640"/>
        <w:jc w:val="both"/>
      </w:pPr>
      <w:r>
        <w:rPr>
          <w:rFonts w:ascii="仿宋_GB2312" w:hAnsi="仿宋_GB2312" w:eastAsia="仿宋_GB2312"/>
          <w:b w:val="0"/>
          <w:sz w:val="32"/>
        </w:rPr>
        <w:t>二、《收入决算表》</w:t>
      </w:r>
    </w:p>
    <w:p w14:paraId="5FDF7588">
      <w:pPr>
        <w:spacing w:line="240" w:lineRule="auto"/>
        <w:ind w:firstLine="640"/>
        <w:jc w:val="both"/>
      </w:pPr>
      <w:r>
        <w:rPr>
          <w:rFonts w:ascii="仿宋_GB2312" w:hAnsi="仿宋_GB2312" w:eastAsia="仿宋_GB2312"/>
          <w:b w:val="0"/>
          <w:sz w:val="32"/>
        </w:rPr>
        <w:t>三、《支出决算表》</w:t>
      </w:r>
    </w:p>
    <w:p w14:paraId="18D56ACD">
      <w:pPr>
        <w:spacing w:line="240" w:lineRule="auto"/>
        <w:ind w:firstLine="640"/>
        <w:jc w:val="both"/>
      </w:pPr>
      <w:r>
        <w:rPr>
          <w:rFonts w:ascii="仿宋_GB2312" w:hAnsi="仿宋_GB2312" w:eastAsia="仿宋_GB2312"/>
          <w:b w:val="0"/>
          <w:sz w:val="32"/>
        </w:rPr>
        <w:t>四、《财政拨款收入支出决算总表》</w:t>
      </w:r>
    </w:p>
    <w:p w14:paraId="4DFB55C5">
      <w:pPr>
        <w:spacing w:line="240" w:lineRule="auto"/>
        <w:ind w:firstLine="640"/>
        <w:jc w:val="both"/>
      </w:pPr>
      <w:r>
        <w:rPr>
          <w:rFonts w:ascii="仿宋_GB2312" w:hAnsi="仿宋_GB2312" w:eastAsia="仿宋_GB2312"/>
          <w:b w:val="0"/>
          <w:sz w:val="32"/>
        </w:rPr>
        <w:t>五、《一般公共预算财政拨款支出决算表》</w:t>
      </w:r>
    </w:p>
    <w:p w14:paraId="3931D065">
      <w:pPr>
        <w:spacing w:line="240" w:lineRule="auto"/>
        <w:ind w:firstLine="640"/>
        <w:jc w:val="both"/>
      </w:pPr>
      <w:r>
        <w:rPr>
          <w:rFonts w:ascii="仿宋_GB2312" w:hAnsi="仿宋_GB2312" w:eastAsia="仿宋_GB2312"/>
          <w:b w:val="0"/>
          <w:sz w:val="32"/>
        </w:rPr>
        <w:t>六、《一般公共预算财政拨款基本支出决算表》</w:t>
      </w:r>
    </w:p>
    <w:p w14:paraId="2CB4B5F8">
      <w:pPr>
        <w:spacing w:line="240" w:lineRule="auto"/>
        <w:ind w:firstLine="640"/>
        <w:jc w:val="both"/>
      </w:pPr>
      <w:r>
        <w:rPr>
          <w:rFonts w:ascii="仿宋_GB2312" w:hAnsi="仿宋_GB2312" w:eastAsia="仿宋_GB2312"/>
          <w:b w:val="0"/>
          <w:sz w:val="32"/>
        </w:rPr>
        <w:t>七、《政府性基金预算财政拨款收入支出决算表》</w:t>
      </w:r>
    </w:p>
    <w:p w14:paraId="7AE43EFE">
      <w:pPr>
        <w:spacing w:line="240" w:lineRule="auto"/>
        <w:ind w:firstLine="640"/>
        <w:jc w:val="both"/>
      </w:pPr>
      <w:r>
        <w:rPr>
          <w:rFonts w:ascii="仿宋_GB2312" w:hAnsi="仿宋_GB2312" w:eastAsia="仿宋_GB2312"/>
          <w:b w:val="0"/>
          <w:sz w:val="32"/>
        </w:rPr>
        <w:t>八、《国有资本经营预算财政拨款收入支出决算表》</w:t>
      </w:r>
    </w:p>
    <w:p w14:paraId="6E368797">
      <w:pPr>
        <w:spacing w:line="240" w:lineRule="auto"/>
        <w:ind w:firstLine="640"/>
        <w:jc w:val="both"/>
      </w:pPr>
      <w:r>
        <w:rPr>
          <w:rFonts w:ascii="仿宋_GB2312" w:hAnsi="仿宋_GB2312" w:eastAsia="仿宋_GB2312"/>
          <w:b w:val="0"/>
          <w:sz w:val="32"/>
        </w:rPr>
        <w:t>九、《财政拨款“三公”经费支出决算表》</w:t>
      </w:r>
    </w:p>
    <w:p w14:paraId="53BF84D0">
      <w:pPr>
        <w:spacing w:line="240" w:lineRule="auto"/>
        <w:ind w:firstLine="640"/>
        <w:jc w:val="both"/>
      </w:pPr>
    </w:p>
    <w:p w14:paraId="26639E1F">
      <w:pPr>
        <w:spacing w:line="240" w:lineRule="auto"/>
        <w:ind w:firstLine="640"/>
        <w:jc w:val="both"/>
      </w:pPr>
    </w:p>
    <w:p w14:paraId="20D99604">
      <w:pPr>
        <w:spacing w:line="240" w:lineRule="auto"/>
        <w:ind w:firstLine="640"/>
        <w:jc w:val="both"/>
      </w:pPr>
    </w:p>
    <w:p w14:paraId="565F4762">
      <w:pPr>
        <w:spacing w:line="240" w:lineRule="auto"/>
        <w:ind w:firstLine="640"/>
        <w:jc w:val="both"/>
      </w:pPr>
    </w:p>
    <w:p w14:paraId="4563707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0E140B"/>
    <w:rsid w:val="40834692"/>
    <w:rsid w:val="423A32B2"/>
    <w:rsid w:val="423C0CB4"/>
    <w:rsid w:val="427B5743"/>
    <w:rsid w:val="42E64542"/>
    <w:rsid w:val="464B7E04"/>
    <w:rsid w:val="464F7E64"/>
    <w:rsid w:val="46901EEE"/>
    <w:rsid w:val="469C74D2"/>
    <w:rsid w:val="47445515"/>
    <w:rsid w:val="49C45CE8"/>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5286</Words>
  <Characters>6084</Characters>
  <Lines>0</Lines>
  <Paragraphs>0</Paragraphs>
  <TotalTime>9</TotalTime>
  <ScaleCrop>false</ScaleCrop>
  <LinksUpToDate>false</LinksUpToDate>
  <CharactersWithSpaces>6092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2025-09-12T10:39:51Z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