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岳普湖县卫生服务站2024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E0E24B">
      <w:r>
        <w:br w:type="page"/>
      </w:r>
    </w:p>
    <w:p w14:paraId="0218D052">
      <w:pPr>
        <w:spacing w:line="640" w:lineRule="exact"/>
        <w:jc w:val="center"/>
        <w:outlineLvl w:val="1"/>
      </w:pPr>
      <w:r>
        <w:rPr>
          <w:rFonts w:ascii="黑体" w:hAnsi="黑体" w:eastAsia="黑体"/>
          <w:sz w:val="32"/>
        </w:rPr>
        <w:t>第一部分 单位概况</w:t>
      </w:r>
    </w:p>
    <w:p w14:paraId="69582AA2">
      <w:pPr>
        <w:spacing w:line="640" w:lineRule="exact"/>
        <w:ind w:firstLine="640"/>
        <w:jc w:val="both"/>
        <w:outlineLvl w:val="2"/>
      </w:pPr>
      <w:r>
        <w:rPr>
          <w:rFonts w:ascii="黑体" w:hAnsi="黑体" w:eastAsia="黑体"/>
          <w:sz w:val="32"/>
        </w:rPr>
        <w:t>一、主要职能</w:t>
      </w:r>
    </w:p>
    <w:p w14:paraId="7713CB53">
      <w:pPr>
        <w:spacing w:line="580" w:lineRule="exact"/>
        <w:ind w:firstLine="640"/>
        <w:jc w:val="both"/>
      </w:pPr>
      <w:r>
        <w:rPr>
          <w:rFonts w:ascii="仿宋_GB2312" w:hAnsi="仿宋_GB2312" w:eastAsia="仿宋_GB2312"/>
          <w:sz w:val="32"/>
        </w:rPr>
        <w:t>卫生服务站按照（食品卫生法）（传染病防治法）（卫生检疫法）等有关法律加大执法力度，切实保护人民群众的身体健康和合法权益，并对法律的执行情况进行监督，开展卫生法律知识宣传教育。</w:t>
      </w:r>
    </w:p>
    <w:p w14:paraId="61E69B8E">
      <w:pPr>
        <w:spacing w:line="640" w:lineRule="exact"/>
        <w:ind w:firstLine="640"/>
        <w:jc w:val="both"/>
        <w:outlineLvl w:val="2"/>
      </w:pPr>
      <w:r>
        <w:rPr>
          <w:rFonts w:ascii="黑体" w:hAnsi="黑体" w:eastAsia="黑体"/>
          <w:sz w:val="32"/>
        </w:rPr>
        <w:t>二、机构设置及人员情况</w:t>
      </w:r>
    </w:p>
    <w:p w14:paraId="352D5CFA">
      <w:pPr>
        <w:spacing w:line="580" w:lineRule="exact"/>
        <w:ind w:firstLine="640"/>
        <w:jc w:val="both"/>
      </w:pPr>
      <w:r>
        <w:rPr>
          <w:rFonts w:ascii="仿宋_GB2312" w:hAnsi="仿宋_GB2312" w:eastAsia="仿宋_GB2312"/>
          <w:sz w:val="32"/>
        </w:rPr>
        <w:t>岳普湖县卫生服务站2024年度，实有人数7人，其中：在职人员6人，增加0人；离休人员0人，增加0人；退休人员1人,增加0人。</w:t>
      </w:r>
    </w:p>
    <w:p w14:paraId="2FE76BEF">
      <w:pPr>
        <w:spacing w:line="580" w:lineRule="exact"/>
        <w:ind w:firstLine="640"/>
        <w:jc w:val="both"/>
      </w:pPr>
      <w:r>
        <w:rPr>
          <w:rFonts w:ascii="仿宋_GB2312" w:hAnsi="仿宋_GB2312" w:eastAsia="仿宋_GB2312"/>
          <w:sz w:val="32"/>
        </w:rPr>
        <w:t>岳普湖县卫生服务站无下属预算单位，下设2个科室，分别是：办公室、监督办公室。</w:t>
      </w:r>
    </w:p>
    <w:p w14:paraId="66188106">
      <w:r>
        <w:br w:type="page"/>
      </w:r>
    </w:p>
    <w:p w14:paraId="737FB5E3">
      <w:pPr>
        <w:spacing w:line="240" w:lineRule="auto"/>
        <w:jc w:val="center"/>
        <w:outlineLvl w:val="1"/>
      </w:pPr>
      <w:r>
        <w:rPr>
          <w:rFonts w:ascii="黑体" w:hAnsi="黑体" w:eastAsia="黑体"/>
          <w:sz w:val="32"/>
        </w:rPr>
        <w:t>第二部分 部门决算情况说明</w:t>
      </w:r>
    </w:p>
    <w:p w14:paraId="164FD1B0">
      <w:pPr>
        <w:spacing w:line="640" w:lineRule="exact"/>
        <w:ind w:firstLine="640"/>
        <w:jc w:val="both"/>
        <w:outlineLvl w:val="2"/>
      </w:pPr>
      <w:r>
        <w:rPr>
          <w:rFonts w:ascii="黑体" w:hAnsi="黑体" w:eastAsia="黑体"/>
          <w:sz w:val="32"/>
        </w:rPr>
        <w:t>一、收入支出决算总体情况说明</w:t>
      </w:r>
    </w:p>
    <w:p w14:paraId="320DF140">
      <w:pPr>
        <w:spacing w:line="580" w:lineRule="exact"/>
        <w:ind w:firstLine="640"/>
        <w:jc w:val="both"/>
      </w:pPr>
      <w:r>
        <w:rPr>
          <w:rFonts w:ascii="仿宋_GB2312" w:hAnsi="仿宋_GB2312" w:eastAsia="仿宋_GB2312"/>
          <w:b/>
          <w:sz w:val="32"/>
        </w:rPr>
        <w:t>2024年度收入总计107.79万元，</w:t>
      </w:r>
      <w:r>
        <w:rPr>
          <w:rFonts w:ascii="仿宋_GB2312" w:hAnsi="仿宋_GB2312" w:eastAsia="仿宋_GB2312"/>
          <w:b w:val="0"/>
          <w:sz w:val="32"/>
        </w:rPr>
        <w:t>其中：本年收入合计107.79万元，使用非财政拨款结余（含专用结余）0.00万元，年初结转和结余0.00万元。</w:t>
      </w:r>
    </w:p>
    <w:p w14:paraId="140DF9CB">
      <w:pPr>
        <w:spacing w:line="580" w:lineRule="exact"/>
        <w:ind w:firstLine="640"/>
        <w:jc w:val="both"/>
      </w:pPr>
      <w:r>
        <w:rPr>
          <w:rFonts w:ascii="仿宋_GB2312" w:hAnsi="仿宋_GB2312" w:eastAsia="仿宋_GB2312"/>
          <w:b/>
          <w:sz w:val="32"/>
        </w:rPr>
        <w:t>2024年度支出总计107.79万元，</w:t>
      </w:r>
      <w:r>
        <w:rPr>
          <w:rFonts w:ascii="仿宋_GB2312" w:hAnsi="仿宋_GB2312" w:eastAsia="仿宋_GB2312"/>
          <w:b w:val="0"/>
          <w:sz w:val="32"/>
        </w:rPr>
        <w:t>其中：本年支出合计107.79万元，结余分配0.00万元，年末结转和结余0.00万元。</w:t>
      </w:r>
    </w:p>
    <w:p w14:paraId="762E94C6">
      <w:pPr>
        <w:spacing w:line="580" w:lineRule="exact"/>
        <w:ind w:firstLine="640"/>
        <w:jc w:val="both"/>
      </w:pPr>
      <w:r>
        <w:rPr>
          <w:rFonts w:ascii="仿宋_GB2312" w:hAnsi="仿宋_GB2312" w:eastAsia="仿宋_GB2312"/>
          <w:b w:val="0"/>
          <w:sz w:val="32"/>
        </w:rPr>
        <w:t>收入支出总体与上年相比，增加4.32万元，增长4.18%，主要原因是：本年在职人员工资调增，社保、公积金基数调增，人员经费增加。</w:t>
      </w:r>
    </w:p>
    <w:p w14:paraId="19CD37E7">
      <w:pPr>
        <w:spacing w:line="640" w:lineRule="exact"/>
        <w:ind w:firstLine="640"/>
        <w:jc w:val="both"/>
        <w:outlineLvl w:val="2"/>
      </w:pPr>
      <w:r>
        <w:rPr>
          <w:rFonts w:ascii="黑体" w:hAnsi="黑体" w:eastAsia="黑体"/>
          <w:sz w:val="32"/>
        </w:rPr>
        <w:t>二、收入决算情况说明</w:t>
      </w:r>
    </w:p>
    <w:p w14:paraId="257CEDFC">
      <w:pPr>
        <w:spacing w:line="580" w:lineRule="exact"/>
        <w:ind w:firstLine="640"/>
        <w:jc w:val="both"/>
      </w:pPr>
      <w:r>
        <w:rPr>
          <w:rFonts w:ascii="仿宋_GB2312" w:hAnsi="仿宋_GB2312" w:eastAsia="仿宋_GB2312"/>
          <w:b/>
          <w:sz w:val="32"/>
        </w:rPr>
        <w:t>本年收入107.79万元，</w:t>
      </w:r>
      <w:r>
        <w:rPr>
          <w:rFonts w:ascii="仿宋_GB2312" w:hAnsi="仿宋_GB2312" w:eastAsia="仿宋_GB2312"/>
          <w:b w:val="0"/>
          <w:sz w:val="32"/>
        </w:rPr>
        <w:t>其中：财政拨款收入107.79万元，占100.00%；上级补助收入0.00万元，占0.00%；事业收入0.00万元，占0.00%；经营收入0.00万元，占0.00%；附属单位上缴收入0.00万元，占0.00%；其他收入0.00万元，占0.00%。</w:t>
      </w:r>
    </w:p>
    <w:p w14:paraId="3B20EEA5">
      <w:pPr>
        <w:spacing w:line="640" w:lineRule="exact"/>
        <w:ind w:firstLine="640"/>
        <w:jc w:val="both"/>
        <w:outlineLvl w:val="2"/>
      </w:pPr>
      <w:r>
        <w:rPr>
          <w:rFonts w:ascii="黑体" w:hAnsi="黑体" w:eastAsia="黑体"/>
          <w:sz w:val="32"/>
        </w:rPr>
        <w:t>三、支出决算情况说明</w:t>
      </w:r>
    </w:p>
    <w:p w14:paraId="441D96A8">
      <w:pPr>
        <w:spacing w:line="580" w:lineRule="exact"/>
        <w:ind w:firstLine="640"/>
        <w:jc w:val="both"/>
      </w:pPr>
      <w:r>
        <w:rPr>
          <w:rFonts w:ascii="仿宋_GB2312" w:hAnsi="仿宋_GB2312" w:eastAsia="仿宋_GB2312"/>
          <w:b/>
          <w:sz w:val="32"/>
        </w:rPr>
        <w:t>本年支出107.79万元，</w:t>
      </w:r>
      <w:r>
        <w:rPr>
          <w:rFonts w:ascii="仿宋_GB2312" w:hAnsi="仿宋_GB2312" w:eastAsia="仿宋_GB2312"/>
          <w:b w:val="0"/>
          <w:sz w:val="32"/>
        </w:rPr>
        <w:t>其中：基本支出107.30万元，占99.55%；项目支出0.50万元，占0.46%；上缴上级支出0.00万元，占0.00%；经营支出0.00万元，占0.00%；对附属单位补助支出0.00万元，占0.00%。</w:t>
      </w:r>
    </w:p>
    <w:p w14:paraId="4E2B6EED">
      <w:pPr>
        <w:spacing w:line="640" w:lineRule="exact"/>
        <w:ind w:firstLine="640"/>
        <w:jc w:val="both"/>
        <w:outlineLvl w:val="2"/>
      </w:pPr>
      <w:r>
        <w:rPr>
          <w:rFonts w:ascii="黑体" w:hAnsi="黑体" w:eastAsia="黑体"/>
          <w:sz w:val="32"/>
        </w:rPr>
        <w:t>四、财政拨款收入支出决算总体情况说明</w:t>
      </w:r>
    </w:p>
    <w:p w14:paraId="54B42C89">
      <w:pPr>
        <w:spacing w:line="580" w:lineRule="exact"/>
        <w:ind w:firstLine="640"/>
        <w:jc w:val="both"/>
      </w:pPr>
      <w:r>
        <w:rPr>
          <w:rFonts w:ascii="仿宋_GB2312" w:hAnsi="仿宋_GB2312" w:eastAsia="仿宋_GB2312"/>
          <w:b/>
          <w:sz w:val="32"/>
        </w:rPr>
        <w:t>2024年度财政拨款收入总计107.79万元，</w:t>
      </w:r>
      <w:r>
        <w:rPr>
          <w:rFonts w:ascii="仿宋_GB2312" w:hAnsi="仿宋_GB2312" w:eastAsia="仿宋_GB2312"/>
          <w:b w:val="0"/>
          <w:sz w:val="32"/>
        </w:rPr>
        <w:t>其中：年初财政拨款结转和结余0.00万元，本年财政拨款收入107.79万元。</w:t>
      </w:r>
      <w:r>
        <w:rPr>
          <w:rFonts w:ascii="仿宋_GB2312" w:hAnsi="仿宋_GB2312" w:eastAsia="仿宋_GB2312"/>
          <w:b/>
          <w:sz w:val="32"/>
        </w:rPr>
        <w:t>财政拨款支出总计107.79万元，</w:t>
      </w:r>
      <w:r>
        <w:rPr>
          <w:rFonts w:ascii="仿宋_GB2312" w:hAnsi="仿宋_GB2312" w:eastAsia="仿宋_GB2312"/>
          <w:b w:val="0"/>
          <w:sz w:val="32"/>
        </w:rPr>
        <w:t>其中：年末财政拨款结转和结余0.00万元，本年财政拨款支出107.79万元。</w:t>
      </w:r>
    </w:p>
    <w:p w14:paraId="425CAC6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增加4.32万元，增长4.18%，主要原因是：本年在职人员工资调增，社保、公积金基数调增，人员经费增加。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年初预算数170.11万元，决算数107.79万元，预决算差异率-36.64%，主要原因是：年中调减基本公共卫生服务项目经费，导致预决算存在差异。</w:t>
      </w:r>
    </w:p>
    <w:p w14:paraId="58B2F5F4">
      <w:pPr>
        <w:spacing w:line="640" w:lineRule="exact"/>
        <w:ind w:firstLine="640"/>
        <w:jc w:val="both"/>
        <w:outlineLvl w:val="2"/>
      </w:pPr>
      <w:r>
        <w:rPr>
          <w:rFonts w:ascii="黑体" w:hAnsi="黑体" w:eastAsia="黑体"/>
          <w:sz w:val="32"/>
        </w:rPr>
        <w:t>五、一般公共预算财政拨款支出决算情况说明</w:t>
      </w:r>
    </w:p>
    <w:p w14:paraId="041733AF">
      <w:pPr>
        <w:spacing w:line="640" w:lineRule="exact"/>
        <w:ind w:firstLine="640"/>
        <w:jc w:val="both"/>
        <w:outlineLvl w:val="3"/>
      </w:pPr>
      <w:r>
        <w:rPr>
          <w:rFonts w:ascii="楷体_GB2312" w:hAnsi="楷体_GB2312" w:eastAsia="楷体_GB2312"/>
          <w:b/>
          <w:sz w:val="32"/>
        </w:rPr>
        <w:t>（一）一般公共预算财政拨款支出决算总体情况</w:t>
      </w:r>
    </w:p>
    <w:p w14:paraId="43E4D366">
      <w:pPr>
        <w:spacing w:line="580" w:lineRule="exact"/>
        <w:ind w:firstLine="640"/>
        <w:jc w:val="both"/>
      </w:pPr>
      <w:r>
        <w:rPr>
          <w:rFonts w:ascii="仿宋_GB2312" w:hAnsi="仿宋_GB2312" w:eastAsia="仿宋_GB2312"/>
          <w:b/>
          <w:sz w:val="32"/>
        </w:rPr>
        <w:t>2024年度一般公共预算财政拨款支出107.79万元，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增加4.32万元，增长4.18%，主要原因是：本年在职人员工资调增，社保、公积金基数调增，人员经费增加。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年初预算数170.11万元，决算数107.79万元，预决算差异率-36.64%，主要原因是：年中调减基本公共卫生服务项目经费，导致预决算存在差异。</w:t>
      </w:r>
    </w:p>
    <w:p w14:paraId="1E5DECD7">
      <w:pPr>
        <w:spacing w:line="640" w:lineRule="exact"/>
        <w:ind w:firstLine="640"/>
        <w:jc w:val="both"/>
        <w:outlineLvl w:val="3"/>
      </w:pPr>
      <w:r>
        <w:rPr>
          <w:rFonts w:ascii="楷体_GB2312" w:hAnsi="楷体_GB2312" w:eastAsia="楷体_GB2312"/>
          <w:b/>
          <w:sz w:val="32"/>
        </w:rPr>
        <w:t>（二）一般公共预算财政拨款支出决算结构情况</w:t>
      </w:r>
    </w:p>
    <w:p w14:paraId="3B815995">
      <w:pPr>
        <w:spacing w:line="580" w:lineRule="exact"/>
        <w:ind w:firstLine="640"/>
        <w:jc w:val="both"/>
      </w:pPr>
      <w:r>
        <w:rPr>
          <w:rFonts w:ascii="仿宋_GB2312" w:hAnsi="仿宋_GB2312" w:eastAsia="仿宋_GB2312"/>
          <w:b w:val="0"/>
          <w:sz w:val="32"/>
        </w:rPr>
        <w:t>1.社会保障和就业支出(类)11.27万元,占10.46%。</w:t>
      </w:r>
    </w:p>
    <w:p w14:paraId="64DA68B9">
      <w:pPr>
        <w:spacing w:line="580" w:lineRule="exact"/>
        <w:ind w:firstLine="640"/>
        <w:jc w:val="both"/>
      </w:pPr>
      <w:r>
        <w:rPr>
          <w:rFonts w:ascii="仿宋_GB2312" w:hAnsi="仿宋_GB2312" w:eastAsia="仿宋_GB2312"/>
          <w:b w:val="0"/>
          <w:sz w:val="32"/>
        </w:rPr>
        <w:t>2.卫生健康支出(类)88.45万元,占82.06%。</w:t>
      </w:r>
    </w:p>
    <w:p w14:paraId="6A44E16C">
      <w:pPr>
        <w:spacing w:line="580" w:lineRule="exact"/>
        <w:ind w:firstLine="640"/>
        <w:jc w:val="both"/>
      </w:pPr>
      <w:r>
        <w:rPr>
          <w:rFonts w:ascii="仿宋_GB2312" w:hAnsi="仿宋_GB2312" w:eastAsia="仿宋_GB2312"/>
          <w:b w:val="0"/>
          <w:sz w:val="32"/>
        </w:rPr>
        <w:t>3.住房保障支出(类)8.08万元,占7.50%。</w:t>
      </w:r>
    </w:p>
    <w:p w14:paraId="78258EC7">
      <w:pPr>
        <w:spacing w:line="640" w:lineRule="exact"/>
        <w:ind w:firstLine="640"/>
        <w:jc w:val="both"/>
        <w:outlineLvl w:val="3"/>
      </w:pPr>
      <w:r>
        <w:rPr>
          <w:rFonts w:ascii="楷体_GB2312" w:hAnsi="楷体_GB2312" w:eastAsia="楷体_GB2312"/>
          <w:b/>
          <w:sz w:val="32"/>
        </w:rPr>
        <w:t>（三）一般公共预算财政拨款支出决算具体情况</w:t>
      </w:r>
    </w:p>
    <w:p w14:paraId="31564F6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1.社会保障和就业支出(类)行政事业单位养老支出(款)事业单位离退休(项):支出决算数为1.29万元，比上年决算增加0.21万元，增长19.44%,主要原因是：本年增加退休人员基础绩效奖，退休费支出增加。</w:t>
      </w:r>
    </w:p>
    <w:p w14:paraId="5D30F2C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9.98万元，比上年决算增加1.01万元，增长11.26%,主要原因是：本年在职人员工资基数调增，养老缴费基数上涨，相应支出增加。</w:t>
      </w:r>
    </w:p>
    <w:p w14:paraId="7A9F97C9">
      <w:pPr>
        <w:spacing w:line="580" w:lineRule="exact"/>
        <w:ind w:firstLine="640"/>
        <w:jc w:val="both"/>
      </w:pPr>
      <w:r>
        <w:rPr>
          <w:rFonts w:ascii="仿宋_GB2312" w:hAnsi="仿宋_GB2312" w:eastAsia="仿宋_GB2312"/>
          <w:b w:val="0"/>
          <w:sz w:val="32"/>
        </w:rPr>
        <w:t>3.卫生健康支出(类)公共卫生(款)卫生监督机构(项):支出决算数为83.16万元，比上年决算增加3.04万元，增长3.79%,主要原因是：本年在职人员工资调薪，工资等相关人员经费增加。本年印刷费、差旅费等经费增加，相关支出增加。</w:t>
      </w:r>
    </w:p>
    <w:p w14:paraId="59EFDDC1">
      <w:pPr>
        <w:spacing w:line="580" w:lineRule="exact"/>
        <w:ind w:firstLine="640"/>
        <w:jc w:val="both"/>
      </w:pPr>
      <w:r>
        <w:rPr>
          <w:rFonts w:ascii="仿宋_GB2312" w:hAnsi="仿宋_GB2312" w:eastAsia="仿宋_GB2312"/>
          <w:b w:val="0"/>
          <w:sz w:val="32"/>
        </w:rPr>
        <w:t>4.卫生健康支出(类)公共卫生(款)基本公共卫生服务(项):支出决算数为0.00万元，比上年决算减少0.80万元，下降100.00%,主要原因是：本年减少</w:t>
      </w:r>
      <w:r>
        <w:rPr>
          <w:rFonts w:hint="eastAsia" w:ascii="仿宋_GB2312" w:hAnsi="仿宋_GB2312" w:eastAsia="仿宋_GB2312"/>
          <w:b w:val="0"/>
          <w:sz w:val="32"/>
        </w:rPr>
        <w:t>基本公共卫生服务-“双随机”监督抽查项目</w:t>
      </w:r>
      <w:r>
        <w:rPr>
          <w:rFonts w:ascii="仿宋_GB2312" w:hAnsi="仿宋_GB2312" w:eastAsia="仿宋_GB2312"/>
          <w:b w:val="0"/>
          <w:sz w:val="32"/>
        </w:rPr>
        <w:t>。</w:t>
      </w:r>
    </w:p>
    <w:p w14:paraId="7CC8C2F0">
      <w:pPr>
        <w:spacing w:line="580" w:lineRule="exact"/>
        <w:ind w:firstLine="640"/>
        <w:jc w:val="both"/>
      </w:pPr>
      <w:r>
        <w:rPr>
          <w:rFonts w:ascii="仿宋_GB2312" w:hAnsi="仿宋_GB2312" w:eastAsia="仿宋_GB2312"/>
          <w:b w:val="0"/>
          <w:sz w:val="32"/>
        </w:rPr>
        <w:t>5.卫生健康支出(类)公共卫生(款)重大公共卫生服务(项):支出决算数为0.50万元，比上年决算增加0.50万元，增长100.00%,主要原因是：本年增加</w:t>
      </w:r>
      <w:r>
        <w:rPr>
          <w:rFonts w:hint="eastAsia" w:ascii="仿宋_GB2312" w:hAnsi="仿宋_GB2312" w:eastAsia="仿宋_GB2312"/>
          <w:b w:val="0"/>
          <w:sz w:val="32"/>
        </w:rPr>
        <w:t>国家随机监督抽查项目</w:t>
      </w:r>
      <w:r>
        <w:rPr>
          <w:rFonts w:ascii="仿宋_GB2312" w:hAnsi="仿宋_GB2312" w:eastAsia="仿宋_GB2312"/>
          <w:b w:val="0"/>
          <w:sz w:val="32"/>
        </w:rPr>
        <w:t>。</w:t>
      </w:r>
    </w:p>
    <w:p w14:paraId="2E398D4D">
      <w:pPr>
        <w:spacing w:line="580" w:lineRule="exact"/>
        <w:ind w:firstLine="640"/>
        <w:jc w:val="both"/>
      </w:pPr>
      <w:r>
        <w:rPr>
          <w:rFonts w:ascii="仿宋_GB2312" w:hAnsi="仿宋_GB2312" w:eastAsia="仿宋_GB2312"/>
          <w:b w:val="0"/>
          <w:sz w:val="32"/>
        </w:rPr>
        <w:t>6.卫生健康支出(类)行政事业单位医疗(款)事业单位医疗(项):支出决算数为4.27万元，比上年决算增加0.07万元，增长1.67%,主要原因是：本年在职人员工资基数调增，医疗缴费基数上涨，相应支出增加。</w:t>
      </w:r>
    </w:p>
    <w:p w14:paraId="668512B2">
      <w:pPr>
        <w:spacing w:line="580" w:lineRule="exact"/>
        <w:ind w:firstLine="640"/>
        <w:jc w:val="both"/>
      </w:pPr>
      <w:r>
        <w:rPr>
          <w:rFonts w:ascii="仿宋_GB2312" w:hAnsi="仿宋_GB2312" w:eastAsia="仿宋_GB2312"/>
          <w:b w:val="0"/>
          <w:sz w:val="32"/>
        </w:rPr>
        <w:t>7.卫生健康支出(类)行政事业单位医疗(款)公务员医疗补助(项):支出决算数为0.52万元，比上年决算减少0.70万元，下降57.38%,主要原因是：因退休人员医疗保险制度改革，退休人员基本医疗不再由单位缴纳，导致经费较上年减少。</w:t>
      </w:r>
    </w:p>
    <w:p w14:paraId="16002595">
      <w:pPr>
        <w:spacing w:line="580" w:lineRule="exact"/>
        <w:ind w:firstLine="640"/>
        <w:jc w:val="both"/>
      </w:pPr>
      <w:r>
        <w:rPr>
          <w:rFonts w:ascii="仿宋_GB2312" w:hAnsi="仿宋_GB2312" w:eastAsia="仿宋_GB2312"/>
          <w:b w:val="0"/>
          <w:sz w:val="32"/>
        </w:rPr>
        <w:t>8.住房保障支出(类)住房改革支出(款)住房公积金(项):支出决算数为8.08万元，比上年决算增加1.00万元，增长14.12%,主要原因是：本年在职人员工资基数调增，公积金缴费基数上涨，相应支出增加。</w:t>
      </w:r>
    </w:p>
    <w:p w14:paraId="4FB0CE86">
      <w:pPr>
        <w:spacing w:line="640" w:lineRule="exact"/>
        <w:ind w:firstLine="640"/>
        <w:jc w:val="both"/>
        <w:outlineLvl w:val="2"/>
      </w:pPr>
      <w:r>
        <w:rPr>
          <w:rFonts w:ascii="黑体" w:hAnsi="黑体" w:eastAsia="黑体"/>
          <w:sz w:val="32"/>
        </w:rPr>
        <w:t>六、一般公共预算财政拨款基本支出决算情况说明</w:t>
      </w:r>
    </w:p>
    <w:p w14:paraId="5626A6E2">
      <w:pPr>
        <w:spacing w:line="580" w:lineRule="exact"/>
        <w:ind w:firstLine="640"/>
        <w:jc w:val="both"/>
      </w:pPr>
      <w:r>
        <w:rPr>
          <w:rFonts w:ascii="仿宋_GB2312" w:hAnsi="仿宋_GB2312" w:eastAsia="仿宋_GB2312"/>
          <w:b w:val="0"/>
          <w:sz w:val="32"/>
        </w:rPr>
        <w:t>2024年度一般公共预算财政拨款基本支出107.30万元，其中：</w:t>
      </w:r>
      <w:r>
        <w:rPr>
          <w:rFonts w:ascii="仿宋_GB2312" w:hAnsi="仿宋_GB2312" w:eastAsia="仿宋_GB2312"/>
          <w:b/>
          <w:sz w:val="32"/>
        </w:rPr>
        <w:t>人员经费100.36万元，</w:t>
      </w:r>
      <w:r>
        <w:rPr>
          <w:rFonts w:ascii="仿宋_GB2312" w:hAnsi="仿宋_GB2312" w:eastAsia="仿宋_GB2312"/>
          <w:b w:val="0"/>
          <w:sz w:val="32"/>
        </w:rPr>
        <w:t>包括：基本工资、津贴补贴、机关事业单位基本养老保险缴费、职工基本医疗保险缴费、公务员医疗补助缴费、其他社会保障缴费、住房公积金、退休费。</w:t>
      </w:r>
    </w:p>
    <w:p w14:paraId="2365DED2">
      <w:pPr>
        <w:spacing w:line="580" w:lineRule="exact"/>
        <w:ind w:firstLine="640"/>
        <w:jc w:val="both"/>
      </w:pPr>
      <w:r>
        <w:rPr>
          <w:rFonts w:ascii="仿宋_GB2312" w:hAnsi="仿宋_GB2312" w:eastAsia="仿宋_GB2312"/>
          <w:b/>
          <w:sz w:val="32"/>
        </w:rPr>
        <w:t>公用经费6.94万元，</w:t>
      </w:r>
      <w:r>
        <w:rPr>
          <w:rFonts w:ascii="仿宋_GB2312" w:hAnsi="仿宋_GB2312" w:eastAsia="仿宋_GB2312"/>
          <w:b w:val="0"/>
          <w:sz w:val="32"/>
        </w:rPr>
        <w:t>包括：办公费、印刷费、邮电费、取暖费、差旅费、劳务费、公务用车运行维护费。</w:t>
      </w:r>
    </w:p>
    <w:p w14:paraId="0563FF09">
      <w:pPr>
        <w:spacing w:line="640" w:lineRule="exact"/>
        <w:ind w:firstLine="640"/>
        <w:jc w:val="both"/>
        <w:outlineLvl w:val="2"/>
      </w:pPr>
      <w:r>
        <w:rPr>
          <w:rFonts w:ascii="黑体" w:hAnsi="黑体" w:eastAsia="黑体"/>
          <w:sz w:val="32"/>
        </w:rPr>
        <w:t>七、政府性基金预算财政拨款收入支出决算情况说明</w:t>
      </w:r>
    </w:p>
    <w:p w14:paraId="70179DE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A0526D">
      <w:pPr>
        <w:spacing w:line="640" w:lineRule="exact"/>
        <w:ind w:firstLine="640"/>
        <w:jc w:val="both"/>
        <w:outlineLvl w:val="2"/>
      </w:pPr>
      <w:r>
        <w:rPr>
          <w:rFonts w:ascii="黑体" w:hAnsi="黑体" w:eastAsia="黑体"/>
          <w:sz w:val="32"/>
        </w:rPr>
        <w:t>八、国有资本经营预算财政拨款收入支出决算情况说明</w:t>
      </w:r>
    </w:p>
    <w:p w14:paraId="657A260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1FAE5AA">
      <w:pPr>
        <w:spacing w:line="640" w:lineRule="exact"/>
        <w:ind w:firstLine="640"/>
        <w:jc w:val="both"/>
        <w:outlineLvl w:val="2"/>
      </w:pPr>
      <w:r>
        <w:rPr>
          <w:rFonts w:ascii="黑体" w:hAnsi="黑体" w:eastAsia="黑体"/>
          <w:sz w:val="32"/>
        </w:rPr>
        <w:t>九、财政拨款“三公”经费支出决算情况说明</w:t>
      </w:r>
    </w:p>
    <w:p w14:paraId="01B8F6E9">
      <w:pPr>
        <w:spacing w:line="580" w:lineRule="exact"/>
        <w:ind w:firstLine="640"/>
        <w:jc w:val="both"/>
      </w:pPr>
      <w:r>
        <w:rPr>
          <w:rFonts w:ascii="仿宋_GB2312" w:hAnsi="仿宋_GB2312" w:eastAsia="仿宋_GB2312"/>
          <w:b/>
          <w:sz w:val="32"/>
        </w:rPr>
        <w:t>2024年度财政拨款“三公”经费支出2.12万元，</w:t>
      </w:r>
      <w:r>
        <w:rPr>
          <w:rFonts w:ascii="仿宋_GB2312" w:hAnsi="仿宋_GB2312" w:eastAsia="仿宋_GB2312"/>
          <w:b w:val="0"/>
          <w:sz w:val="32"/>
        </w:rPr>
        <w:t>比上年增加0.67万元，增长46.21%，主要原因是：本年因业务需求，用车次数增加，加油费增加，导致公务用车运行维护费较上年增加。其中：因公出国（境）费支出0.00万元，占0.00%，比上年增加0.00万元，增长0.00%，主要原因是：2023年与2024年均未安排因公出国（境）费支出。公务用车购置及运行维护费支出2.12万元，占100.00%，比上年增加0.67万元，增长46.21%，主要原因是：本年因业务需求，用车次数增加，加油费增加，导致公务用车运行维护费较上年增加。公务接待费支出0.00万元，占0.00%，比上年增加0.00万元，增长0.00%，主要原因是：2023年与2024年均未安排公务接待费支出。</w:t>
      </w:r>
    </w:p>
    <w:p w14:paraId="14312A25">
      <w:pPr>
        <w:spacing w:line="580" w:lineRule="exact"/>
        <w:ind w:firstLine="640"/>
        <w:jc w:val="both"/>
      </w:pPr>
      <w:r>
        <w:rPr>
          <w:rFonts w:ascii="仿宋_GB2312" w:hAnsi="仿宋_GB2312" w:eastAsia="仿宋_GB2312"/>
          <w:b/>
          <w:sz w:val="32"/>
        </w:rPr>
        <w:t>具体情况如下：</w:t>
      </w:r>
    </w:p>
    <w:p w14:paraId="1165366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42C72D">
      <w:pPr>
        <w:spacing w:line="580" w:lineRule="exact"/>
        <w:ind w:firstLine="640"/>
        <w:jc w:val="both"/>
      </w:pPr>
      <w:r>
        <w:rPr>
          <w:rFonts w:ascii="仿宋_GB2312" w:hAnsi="仿宋_GB2312" w:eastAsia="仿宋_GB2312"/>
          <w:b w:val="0"/>
          <w:sz w:val="32"/>
        </w:rPr>
        <w:t>公务用车购置及运行维护费2.12万元，其中：公务用车购置费0.00万元，公务用车运行维护费2.12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4F7662B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401F9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2.12万元，决算数2.12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2.12万元，决算数2.12万元，预决算差异率0.00%，主要原因是：严格按照预算执行，预决算无差异。公务接待费全年预算数0.00万元，决算数0.00万元，预决算差异率0.00%，主要原因是：本单位无公务接待费。</w:t>
      </w:r>
    </w:p>
    <w:p w14:paraId="5A2CC518">
      <w:pPr>
        <w:spacing w:line="640" w:lineRule="exact"/>
        <w:ind w:firstLine="640"/>
        <w:jc w:val="both"/>
        <w:outlineLvl w:val="2"/>
      </w:pPr>
      <w:r>
        <w:rPr>
          <w:rFonts w:ascii="黑体" w:hAnsi="黑体" w:eastAsia="黑体"/>
          <w:sz w:val="32"/>
        </w:rPr>
        <w:t>十、其他重要事项的情况说明</w:t>
      </w:r>
    </w:p>
    <w:p w14:paraId="25680B6D">
      <w:pPr>
        <w:spacing w:line="640" w:lineRule="exact"/>
        <w:ind w:firstLine="640"/>
        <w:jc w:val="both"/>
        <w:outlineLvl w:val="3"/>
      </w:pPr>
      <w:r>
        <w:rPr>
          <w:rFonts w:ascii="楷体_GB2312" w:hAnsi="楷体_GB2312" w:eastAsia="楷体_GB2312"/>
          <w:b/>
          <w:sz w:val="32"/>
        </w:rPr>
        <w:t>（一）机关运行经费及公用经费支出情况</w:t>
      </w:r>
    </w:p>
    <w:p w14:paraId="6662817E">
      <w:pPr>
        <w:spacing w:line="580" w:lineRule="exact"/>
        <w:ind w:firstLine="640"/>
        <w:jc w:val="both"/>
      </w:pPr>
      <w:r>
        <w:rPr>
          <w:rFonts w:ascii="仿宋_GB2312" w:hAnsi="仿宋_GB2312" w:eastAsia="仿宋_GB2312"/>
          <w:b w:val="0"/>
          <w:sz w:val="32"/>
        </w:rPr>
        <w:t>2024年度岳普湖县卫生服务站（行政单位和参照公务员法管理事业单位）机关运行经费支出6.94万元，比上年增加1.36万元，增长24.37%，主要原因是：本年业务量增加，机关运行经费</w:t>
      </w:r>
      <w:bookmarkStart w:id="0" w:name="_GoBack"/>
      <w:bookmarkEnd w:id="0"/>
      <w:r>
        <w:rPr>
          <w:rFonts w:ascii="仿宋_GB2312" w:hAnsi="仿宋_GB2312" w:eastAsia="仿宋_GB2312"/>
          <w:b w:val="0"/>
          <w:sz w:val="32"/>
        </w:rPr>
        <w:t>增加。</w:t>
      </w:r>
    </w:p>
    <w:p w14:paraId="468B9C69">
      <w:pPr>
        <w:spacing w:line="640" w:lineRule="exact"/>
        <w:ind w:firstLine="640"/>
        <w:jc w:val="both"/>
        <w:outlineLvl w:val="3"/>
      </w:pPr>
      <w:r>
        <w:rPr>
          <w:rFonts w:ascii="楷体_GB2312" w:hAnsi="楷体_GB2312" w:eastAsia="楷体_GB2312"/>
          <w:b/>
          <w:sz w:val="32"/>
        </w:rPr>
        <w:t>（二）政府采购情况</w:t>
      </w:r>
    </w:p>
    <w:p w14:paraId="1FB510A1">
      <w:pPr>
        <w:spacing w:line="580" w:lineRule="exact"/>
        <w:ind w:firstLine="640"/>
        <w:jc w:val="both"/>
      </w:pPr>
      <w:r>
        <w:rPr>
          <w:rFonts w:ascii="仿宋_GB2312" w:hAnsi="仿宋_GB2312" w:eastAsia="仿宋_GB2312"/>
          <w:b w:val="0"/>
          <w:sz w:val="32"/>
        </w:rPr>
        <w:t>2024年度政府采购支出总额1.20万元，其中：政府采购货物支出0.00万元、政府采购工程支出0.00万元、政府采购服务支出1.20万元。</w:t>
      </w:r>
    </w:p>
    <w:p w14:paraId="78C77092">
      <w:pPr>
        <w:spacing w:line="580" w:lineRule="exact"/>
        <w:ind w:firstLine="640"/>
        <w:jc w:val="both"/>
      </w:pPr>
      <w:r>
        <w:rPr>
          <w:rFonts w:ascii="仿宋_GB2312" w:hAnsi="仿宋_GB2312" w:eastAsia="仿宋_GB2312"/>
          <w:b w:val="0"/>
          <w:sz w:val="32"/>
        </w:rPr>
        <w:t>授予中小企业合同金额1.20万元，占政府采购支出总额的100.00%，其中：授予小微企业合同金额1.20万元，占政府采购支出总额的100.00%。</w:t>
      </w:r>
    </w:p>
    <w:p w14:paraId="31AB5E4A">
      <w:pPr>
        <w:spacing w:line="640" w:lineRule="exact"/>
        <w:ind w:firstLine="640"/>
        <w:jc w:val="both"/>
        <w:outlineLvl w:val="3"/>
      </w:pPr>
      <w:r>
        <w:rPr>
          <w:rFonts w:ascii="楷体_GB2312" w:hAnsi="楷体_GB2312" w:eastAsia="楷体_GB2312"/>
          <w:b/>
          <w:sz w:val="32"/>
        </w:rPr>
        <w:t>（三）国有资产占用情况说明</w:t>
      </w:r>
    </w:p>
    <w:p w14:paraId="5C75A7CD">
      <w:pPr>
        <w:spacing w:line="580" w:lineRule="exact"/>
        <w:ind w:firstLine="640"/>
        <w:jc w:val="both"/>
      </w:pPr>
      <w:r>
        <w:rPr>
          <w:rFonts w:ascii="仿宋_GB2312" w:hAnsi="仿宋_GB2312" w:eastAsia="仿宋_GB2312"/>
          <w:b w:val="0"/>
          <w:sz w:val="32"/>
        </w:rPr>
        <w:t>截至2024年12月31日，房屋1,369.70平方米，价值269.39万元。车辆2辆，价值33.57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0C96566E">
      <w:pPr>
        <w:spacing w:line="640" w:lineRule="exact"/>
        <w:ind w:firstLine="640"/>
        <w:jc w:val="both"/>
        <w:outlineLvl w:val="2"/>
      </w:pPr>
      <w:r>
        <w:rPr>
          <w:rFonts w:ascii="黑体" w:hAnsi="黑体" w:eastAsia="黑体"/>
          <w:sz w:val="32"/>
        </w:rPr>
        <w:t>十一、预算绩效的情况说明</w:t>
      </w:r>
    </w:p>
    <w:p w14:paraId="6FDBB0B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03D8F56">
      <w:r>
        <w:br w:type="page"/>
      </w:r>
    </w:p>
    <w:p w14:paraId="0A8F9C7A">
      <w:pPr>
        <w:spacing w:line="640" w:lineRule="exact"/>
        <w:ind w:firstLine="640"/>
        <w:jc w:val="both"/>
        <w:outlineLvl w:val="2"/>
      </w:pPr>
      <w:r>
        <w:rPr>
          <w:rFonts w:ascii="黑体" w:hAnsi="黑体" w:eastAsia="黑体"/>
          <w:sz w:val="32"/>
        </w:rPr>
        <w:t>十二、其他需说明的事项</w:t>
      </w:r>
    </w:p>
    <w:p w14:paraId="5F79AB5C">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2862D70D">
      <w:r>
        <w:br w:type="page"/>
      </w:r>
    </w:p>
    <w:p w14:paraId="4A199544">
      <w:pPr>
        <w:spacing w:line="240" w:lineRule="auto"/>
        <w:jc w:val="center"/>
        <w:outlineLvl w:val="1"/>
      </w:pPr>
      <w:r>
        <w:rPr>
          <w:rFonts w:ascii="黑体" w:hAnsi="黑体" w:eastAsia="黑体"/>
          <w:sz w:val="32"/>
        </w:rPr>
        <w:t>第三部分 专业名词解释</w:t>
      </w:r>
    </w:p>
    <w:p w14:paraId="01E725C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7E2BF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AB74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8709C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3D9B7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FFB8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C82B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C294B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EEECB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1F5D0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8B7672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8179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C65C0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C1716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96F5B7">
      <w:r>
        <w:br w:type="page"/>
      </w:r>
    </w:p>
    <w:p w14:paraId="0A47A825">
      <w:pPr>
        <w:spacing w:line="240" w:lineRule="auto"/>
        <w:jc w:val="center"/>
        <w:outlineLvl w:val="1"/>
      </w:pPr>
      <w:r>
        <w:rPr>
          <w:rFonts w:ascii="黑体" w:hAnsi="黑体" w:eastAsia="黑体"/>
          <w:sz w:val="32"/>
        </w:rPr>
        <w:t>第四部分 部门决算报表（见附表）</w:t>
      </w:r>
    </w:p>
    <w:p w14:paraId="42E279A0">
      <w:pPr>
        <w:spacing w:line="240" w:lineRule="auto"/>
        <w:ind w:firstLine="640"/>
        <w:jc w:val="both"/>
      </w:pPr>
      <w:r>
        <w:rPr>
          <w:rFonts w:ascii="仿宋_GB2312" w:hAnsi="仿宋_GB2312" w:eastAsia="仿宋_GB2312"/>
          <w:b w:val="0"/>
          <w:sz w:val="32"/>
        </w:rPr>
        <w:t>一、《收入支出决算总表》</w:t>
      </w:r>
    </w:p>
    <w:p w14:paraId="138833F7">
      <w:pPr>
        <w:spacing w:line="240" w:lineRule="auto"/>
        <w:ind w:firstLine="640"/>
        <w:jc w:val="both"/>
      </w:pPr>
      <w:r>
        <w:rPr>
          <w:rFonts w:ascii="仿宋_GB2312" w:hAnsi="仿宋_GB2312" w:eastAsia="仿宋_GB2312"/>
          <w:b w:val="0"/>
          <w:sz w:val="32"/>
        </w:rPr>
        <w:t>二、《收入决算表》</w:t>
      </w:r>
    </w:p>
    <w:p w14:paraId="62C428A6">
      <w:pPr>
        <w:spacing w:line="240" w:lineRule="auto"/>
        <w:ind w:firstLine="640"/>
        <w:jc w:val="both"/>
      </w:pPr>
      <w:r>
        <w:rPr>
          <w:rFonts w:ascii="仿宋_GB2312" w:hAnsi="仿宋_GB2312" w:eastAsia="仿宋_GB2312"/>
          <w:b w:val="0"/>
          <w:sz w:val="32"/>
        </w:rPr>
        <w:t>三、《支出决算表》</w:t>
      </w:r>
    </w:p>
    <w:p w14:paraId="423009E4">
      <w:pPr>
        <w:spacing w:line="240" w:lineRule="auto"/>
        <w:ind w:firstLine="640"/>
        <w:jc w:val="both"/>
      </w:pPr>
      <w:r>
        <w:rPr>
          <w:rFonts w:ascii="仿宋_GB2312" w:hAnsi="仿宋_GB2312" w:eastAsia="仿宋_GB2312"/>
          <w:b w:val="0"/>
          <w:sz w:val="32"/>
        </w:rPr>
        <w:t>四、《财政拨款收入支出决算总表》</w:t>
      </w:r>
    </w:p>
    <w:p w14:paraId="62AC79F9">
      <w:pPr>
        <w:spacing w:line="240" w:lineRule="auto"/>
        <w:ind w:firstLine="640"/>
        <w:jc w:val="both"/>
      </w:pPr>
      <w:r>
        <w:rPr>
          <w:rFonts w:ascii="仿宋_GB2312" w:hAnsi="仿宋_GB2312" w:eastAsia="仿宋_GB2312"/>
          <w:b w:val="0"/>
          <w:sz w:val="32"/>
        </w:rPr>
        <w:t>五、《一般公共预算财政拨款支出决算表》</w:t>
      </w:r>
    </w:p>
    <w:p w14:paraId="5AD514A1">
      <w:pPr>
        <w:spacing w:line="240" w:lineRule="auto"/>
        <w:ind w:firstLine="640"/>
        <w:jc w:val="both"/>
      </w:pPr>
      <w:r>
        <w:rPr>
          <w:rFonts w:ascii="仿宋_GB2312" w:hAnsi="仿宋_GB2312" w:eastAsia="仿宋_GB2312"/>
          <w:b w:val="0"/>
          <w:sz w:val="32"/>
        </w:rPr>
        <w:t>六、《一般公共预算财政拨款基本支出决算表》</w:t>
      </w:r>
    </w:p>
    <w:p w14:paraId="51CDA254">
      <w:pPr>
        <w:spacing w:line="240" w:lineRule="auto"/>
        <w:ind w:firstLine="640"/>
        <w:jc w:val="both"/>
      </w:pPr>
      <w:r>
        <w:rPr>
          <w:rFonts w:ascii="仿宋_GB2312" w:hAnsi="仿宋_GB2312" w:eastAsia="仿宋_GB2312"/>
          <w:b w:val="0"/>
          <w:sz w:val="32"/>
        </w:rPr>
        <w:t>七、《政府性基金预算财政拨款收入支出决算表》</w:t>
      </w:r>
    </w:p>
    <w:p w14:paraId="0609BC89">
      <w:pPr>
        <w:spacing w:line="240" w:lineRule="auto"/>
        <w:ind w:firstLine="640"/>
        <w:jc w:val="both"/>
      </w:pPr>
      <w:r>
        <w:rPr>
          <w:rFonts w:ascii="仿宋_GB2312" w:hAnsi="仿宋_GB2312" w:eastAsia="仿宋_GB2312"/>
          <w:b w:val="0"/>
          <w:sz w:val="32"/>
        </w:rPr>
        <w:t>八、《国有资本经营预算财政拨款收入支出决算表》</w:t>
      </w:r>
    </w:p>
    <w:p w14:paraId="614E705D">
      <w:pPr>
        <w:spacing w:line="240" w:lineRule="auto"/>
        <w:ind w:firstLine="640"/>
        <w:jc w:val="both"/>
      </w:pPr>
      <w:r>
        <w:rPr>
          <w:rFonts w:ascii="仿宋_GB2312" w:hAnsi="仿宋_GB2312" w:eastAsia="仿宋_GB2312"/>
          <w:b w:val="0"/>
          <w:sz w:val="32"/>
        </w:rPr>
        <w:t>九、《财政拨款“三公”经费支出决算表》</w:t>
      </w:r>
    </w:p>
    <w:p w14:paraId="4044196A">
      <w:pPr>
        <w:spacing w:line="240" w:lineRule="auto"/>
        <w:ind w:firstLine="640"/>
        <w:jc w:val="both"/>
      </w:pPr>
    </w:p>
    <w:p w14:paraId="5023B70D">
      <w:pPr>
        <w:spacing w:line="240" w:lineRule="auto"/>
        <w:ind w:firstLine="640"/>
        <w:jc w:val="both"/>
      </w:pPr>
    </w:p>
    <w:p w14:paraId="52E362B3">
      <w:pPr>
        <w:spacing w:line="240" w:lineRule="auto"/>
        <w:ind w:firstLine="640"/>
        <w:jc w:val="both"/>
      </w:pPr>
    </w:p>
    <w:p w14:paraId="1571E978">
      <w:pPr>
        <w:spacing w:line="240" w:lineRule="auto"/>
        <w:ind w:firstLine="640"/>
        <w:jc w:val="both"/>
      </w:pPr>
    </w:p>
    <w:p w14:paraId="41FBB2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470D3B"/>
    <w:rsid w:val="23BC04D2"/>
    <w:rsid w:val="25275618"/>
    <w:rsid w:val="25651981"/>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9D56D9"/>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5038</Words>
  <Characters>5644</Characters>
  <Lines>0</Lines>
  <Paragraphs>0</Paragraphs>
  <TotalTime>0</TotalTime>
  <ScaleCrop>false</ScaleCrop>
  <LinksUpToDate>false</LinksUpToDate>
  <CharactersWithSpaces>5654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2025-09-12T11:08:31Z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