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岳普湖县妇幼保健计划生育服务中心2024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D7BD61C">
      <w:r>
        <w:br w:type="page"/>
      </w:r>
    </w:p>
    <w:p w14:paraId="56B0E0D5">
      <w:pPr>
        <w:spacing w:line="640" w:lineRule="exact"/>
        <w:jc w:val="center"/>
        <w:outlineLvl w:val="1"/>
      </w:pPr>
      <w:r>
        <w:rPr>
          <w:rFonts w:ascii="黑体" w:hAnsi="黑体" w:eastAsia="黑体"/>
          <w:sz w:val="32"/>
        </w:rPr>
        <w:t>第一部分 单位概况</w:t>
      </w:r>
    </w:p>
    <w:p w14:paraId="12C899A2">
      <w:pPr>
        <w:spacing w:line="640" w:lineRule="exact"/>
        <w:ind w:firstLine="640"/>
        <w:jc w:val="both"/>
        <w:outlineLvl w:val="2"/>
      </w:pPr>
      <w:r>
        <w:rPr>
          <w:rFonts w:ascii="黑体" w:hAnsi="黑体" w:eastAsia="黑体"/>
          <w:sz w:val="32"/>
        </w:rPr>
        <w:t>一、主要职能</w:t>
      </w:r>
    </w:p>
    <w:p w14:paraId="20040C51">
      <w:pPr>
        <w:spacing w:line="580" w:lineRule="exact"/>
        <w:ind w:firstLine="640"/>
        <w:jc w:val="both"/>
      </w:pPr>
      <w:r>
        <w:rPr>
          <w:rFonts w:ascii="仿宋_GB2312" w:hAnsi="仿宋_GB2312" w:eastAsia="仿宋_GB2312"/>
          <w:sz w:val="32"/>
        </w:rPr>
        <w:t>为本辖区内妇女提供围产保健、妇幼保健、儿童保健等妇幼保健和妇女儿童常见防治、助产技术服务等；承担计划生育宣传教育、技术服务、优生指导、药具发放、信息咨询、随访服务、生殖保健、人员培训等任务；开展孕前优生健康检查和出生缺陷综合防治等工作。对乡村级服务机构进行技术指导和培训。完成主管部门交办的</w:t>
      </w:r>
      <w:r>
        <w:rPr>
          <w:rFonts w:hint="eastAsia" w:ascii="仿宋_GB2312" w:hAnsi="仿宋_GB2312" w:eastAsia="仿宋_GB2312"/>
          <w:sz w:val="32"/>
          <w:lang w:eastAsia="zh-CN"/>
        </w:rPr>
        <w:t>其他</w:t>
      </w:r>
      <w:r>
        <w:rPr>
          <w:rFonts w:ascii="仿宋_GB2312" w:hAnsi="仿宋_GB2312" w:eastAsia="仿宋_GB2312"/>
          <w:sz w:val="32"/>
        </w:rPr>
        <w:t>工作。</w:t>
      </w:r>
    </w:p>
    <w:p w14:paraId="042F9458">
      <w:pPr>
        <w:spacing w:line="640" w:lineRule="exact"/>
        <w:ind w:firstLine="640"/>
        <w:jc w:val="both"/>
        <w:outlineLvl w:val="2"/>
      </w:pPr>
      <w:r>
        <w:rPr>
          <w:rFonts w:ascii="黑体" w:hAnsi="黑体" w:eastAsia="黑体"/>
          <w:sz w:val="32"/>
        </w:rPr>
        <w:t>二、机构设置及人员情况</w:t>
      </w:r>
    </w:p>
    <w:p w14:paraId="2E73FE8F">
      <w:pPr>
        <w:spacing w:line="580" w:lineRule="exact"/>
        <w:ind w:firstLine="640"/>
        <w:jc w:val="both"/>
      </w:pPr>
      <w:r>
        <w:rPr>
          <w:rFonts w:ascii="仿宋_GB2312" w:hAnsi="仿宋_GB2312" w:eastAsia="仿宋_GB2312"/>
          <w:sz w:val="32"/>
        </w:rPr>
        <w:t>岳普湖县妇幼保健计划生育服务中心2024年度，实有人数53人，其中：在职人员26人，减少2人；离休人员0人，增加0人；退休人员27人,增加3人。</w:t>
      </w:r>
    </w:p>
    <w:p w14:paraId="4F49882F">
      <w:pPr>
        <w:spacing w:line="580" w:lineRule="exact"/>
        <w:ind w:firstLine="640"/>
        <w:jc w:val="both"/>
      </w:pPr>
      <w:r>
        <w:rPr>
          <w:rFonts w:ascii="仿宋_GB2312" w:hAnsi="仿宋_GB2312" w:eastAsia="仿宋_GB2312"/>
          <w:sz w:val="32"/>
        </w:rPr>
        <w:t>岳普湖县妇幼保健计划生育服务中心无下属预算单位，下设15个科室，分别是：财务室、化验室、产前门诊、B超室、婚检办公室、党建办公室、行政办公室、住院部医生办公室、住院部护士办公室、放射科、药房、门诊医生办公室、儿科、计生科、中医妇科。</w:t>
      </w:r>
    </w:p>
    <w:p w14:paraId="3C7FB75A">
      <w:r>
        <w:br w:type="page"/>
      </w:r>
    </w:p>
    <w:p w14:paraId="689106B1">
      <w:pPr>
        <w:spacing w:line="240" w:lineRule="auto"/>
        <w:jc w:val="center"/>
        <w:outlineLvl w:val="1"/>
      </w:pPr>
      <w:r>
        <w:rPr>
          <w:rFonts w:ascii="黑体" w:hAnsi="黑体" w:eastAsia="黑体"/>
          <w:sz w:val="32"/>
        </w:rPr>
        <w:t>第二部分 部门决算情况说明</w:t>
      </w:r>
    </w:p>
    <w:p w14:paraId="56830742">
      <w:pPr>
        <w:spacing w:line="640" w:lineRule="exact"/>
        <w:ind w:firstLine="640"/>
        <w:jc w:val="both"/>
        <w:outlineLvl w:val="2"/>
      </w:pPr>
      <w:r>
        <w:rPr>
          <w:rFonts w:ascii="黑体" w:hAnsi="黑体" w:eastAsia="黑体"/>
          <w:sz w:val="32"/>
        </w:rPr>
        <w:t>一、收入支出决算总体情况说明</w:t>
      </w:r>
    </w:p>
    <w:p w14:paraId="72D4CFE0">
      <w:pPr>
        <w:spacing w:line="580" w:lineRule="exact"/>
        <w:ind w:firstLine="640"/>
        <w:jc w:val="both"/>
      </w:pPr>
      <w:r>
        <w:rPr>
          <w:rFonts w:ascii="仿宋_GB2312" w:hAnsi="仿宋_GB2312" w:eastAsia="仿宋_GB2312"/>
          <w:b/>
          <w:sz w:val="32"/>
        </w:rPr>
        <w:t>2024年度收入总计1,084.79万元，</w:t>
      </w:r>
      <w:r>
        <w:rPr>
          <w:rFonts w:ascii="仿宋_GB2312" w:hAnsi="仿宋_GB2312" w:eastAsia="仿宋_GB2312"/>
          <w:b w:val="0"/>
          <w:sz w:val="32"/>
        </w:rPr>
        <w:t>其中：本年收入合计1,070.16万元，使用非财政拨款结余（含专用结余）7.87万元，年初结转和结余6.75万元。</w:t>
      </w:r>
    </w:p>
    <w:p w14:paraId="714BCE7A">
      <w:pPr>
        <w:spacing w:line="580" w:lineRule="exact"/>
        <w:ind w:firstLine="640"/>
        <w:jc w:val="both"/>
      </w:pPr>
      <w:r>
        <w:rPr>
          <w:rFonts w:ascii="仿宋_GB2312" w:hAnsi="仿宋_GB2312" w:eastAsia="仿宋_GB2312"/>
          <w:b/>
          <w:sz w:val="32"/>
        </w:rPr>
        <w:t>2024年度支出总计1,084.79万元，</w:t>
      </w:r>
      <w:r>
        <w:rPr>
          <w:rFonts w:ascii="仿宋_GB2312" w:hAnsi="仿宋_GB2312" w:eastAsia="仿宋_GB2312"/>
          <w:b w:val="0"/>
          <w:sz w:val="32"/>
        </w:rPr>
        <w:t>其中：本年支出合计1,084.79万元，结余分配0.00万元，年末结转和结余0.00万元。</w:t>
      </w:r>
    </w:p>
    <w:p w14:paraId="79FD237A">
      <w:pPr>
        <w:spacing w:line="580" w:lineRule="exact"/>
        <w:ind w:firstLine="640"/>
        <w:jc w:val="both"/>
      </w:pPr>
      <w:r>
        <w:rPr>
          <w:rFonts w:ascii="仿宋_GB2312" w:hAnsi="仿宋_GB2312" w:eastAsia="仿宋_GB2312"/>
          <w:b w:val="0"/>
          <w:sz w:val="32"/>
        </w:rPr>
        <w:t>收入支出总体与上年相比，减少450.72万元，下降29.35%，主要原因是：本年减少山东援疆资金项目、中央公益彩票两癌筛查等项目。</w:t>
      </w:r>
    </w:p>
    <w:p w14:paraId="7CAC8E0E">
      <w:pPr>
        <w:spacing w:line="640" w:lineRule="exact"/>
        <w:ind w:firstLine="640"/>
        <w:jc w:val="both"/>
        <w:outlineLvl w:val="2"/>
      </w:pPr>
      <w:r>
        <w:rPr>
          <w:rFonts w:ascii="黑体" w:hAnsi="黑体" w:eastAsia="黑体"/>
          <w:sz w:val="32"/>
        </w:rPr>
        <w:t>二、收入决算情况说明</w:t>
      </w:r>
    </w:p>
    <w:p w14:paraId="0BCC96AD">
      <w:pPr>
        <w:spacing w:line="580" w:lineRule="exact"/>
        <w:ind w:firstLine="640"/>
        <w:jc w:val="both"/>
      </w:pPr>
      <w:r>
        <w:rPr>
          <w:rFonts w:ascii="仿宋_GB2312" w:hAnsi="仿宋_GB2312" w:eastAsia="仿宋_GB2312"/>
          <w:b/>
          <w:sz w:val="32"/>
        </w:rPr>
        <w:t>本年收入1,070.16万元，</w:t>
      </w:r>
      <w:r>
        <w:rPr>
          <w:rFonts w:ascii="仿宋_GB2312" w:hAnsi="仿宋_GB2312" w:eastAsia="仿宋_GB2312"/>
          <w:b w:val="0"/>
          <w:sz w:val="32"/>
        </w:rPr>
        <w:t>其中：财政拨款收入597.95万元，占55.87%；上级补助收入0.00万元，占0.00%；事业收入296.50万元，占27.71%；经营收入0.00万元，占0.00%；附属单位上缴收入0.00万元，占0.00%；其他收入175.71万元，占16.42%。</w:t>
      </w:r>
    </w:p>
    <w:p w14:paraId="5BB73A34">
      <w:pPr>
        <w:spacing w:line="640" w:lineRule="exact"/>
        <w:ind w:firstLine="640"/>
        <w:jc w:val="both"/>
        <w:outlineLvl w:val="2"/>
      </w:pPr>
      <w:r>
        <w:rPr>
          <w:rFonts w:ascii="黑体" w:hAnsi="黑体" w:eastAsia="黑体"/>
          <w:sz w:val="32"/>
        </w:rPr>
        <w:t>三、支出决算情况说明</w:t>
      </w:r>
    </w:p>
    <w:p w14:paraId="16F7BD30">
      <w:pPr>
        <w:spacing w:line="580" w:lineRule="exact"/>
        <w:ind w:firstLine="640"/>
        <w:jc w:val="both"/>
      </w:pPr>
      <w:r>
        <w:rPr>
          <w:rFonts w:ascii="仿宋_GB2312" w:hAnsi="仿宋_GB2312" w:eastAsia="仿宋_GB2312"/>
          <w:b/>
          <w:sz w:val="32"/>
        </w:rPr>
        <w:t>本年支出1,084.79万元，</w:t>
      </w:r>
      <w:r>
        <w:rPr>
          <w:rFonts w:ascii="仿宋_GB2312" w:hAnsi="仿宋_GB2312" w:eastAsia="仿宋_GB2312"/>
          <w:b w:val="0"/>
          <w:sz w:val="32"/>
        </w:rPr>
        <w:t>其中：基本支出821.12万元，占75.69%；项目支出263.66万元，占24.31%；上缴上级支出0.00万元，占0.00%；经营支出0.00万元，占0.00%；对附属单位补助支出0.00万元，占0.00%。</w:t>
      </w:r>
    </w:p>
    <w:p w14:paraId="61606390">
      <w:pPr>
        <w:spacing w:line="640" w:lineRule="exact"/>
        <w:ind w:firstLine="640"/>
        <w:jc w:val="both"/>
        <w:outlineLvl w:val="2"/>
      </w:pPr>
      <w:r>
        <w:rPr>
          <w:rFonts w:ascii="黑体" w:hAnsi="黑体" w:eastAsia="黑体"/>
          <w:sz w:val="32"/>
        </w:rPr>
        <w:t>四、财政拨款收入支出决算总体情况说明</w:t>
      </w:r>
    </w:p>
    <w:p w14:paraId="3069D8A7">
      <w:pPr>
        <w:spacing w:line="580" w:lineRule="exact"/>
        <w:ind w:firstLine="640"/>
        <w:jc w:val="both"/>
      </w:pPr>
      <w:r>
        <w:rPr>
          <w:rFonts w:ascii="仿宋_GB2312" w:hAnsi="仿宋_GB2312" w:eastAsia="仿宋_GB2312"/>
          <w:b/>
          <w:sz w:val="32"/>
        </w:rPr>
        <w:t>2024年度财政拨款收入总计597.95万元，</w:t>
      </w:r>
      <w:r>
        <w:rPr>
          <w:rFonts w:ascii="仿宋_GB2312" w:hAnsi="仿宋_GB2312" w:eastAsia="仿宋_GB2312"/>
          <w:b w:val="0"/>
          <w:sz w:val="32"/>
        </w:rPr>
        <w:t>其中：年初财政拨款结转和结余0.00万元，本年财政拨款收入597.95万元。</w:t>
      </w:r>
      <w:r>
        <w:rPr>
          <w:rFonts w:ascii="仿宋_GB2312" w:hAnsi="仿宋_GB2312" w:eastAsia="仿宋_GB2312"/>
          <w:b/>
          <w:sz w:val="32"/>
        </w:rPr>
        <w:t>财政拨款支出总计597.95万元，</w:t>
      </w:r>
      <w:r>
        <w:rPr>
          <w:rFonts w:ascii="仿宋_GB2312" w:hAnsi="仿宋_GB2312" w:eastAsia="仿宋_GB2312"/>
          <w:b w:val="0"/>
          <w:sz w:val="32"/>
        </w:rPr>
        <w:t>其中：年末财政拨款结转和结余0.00万元，本年财政拨款支出597.95万元。</w:t>
      </w:r>
    </w:p>
    <w:p w14:paraId="3B54E19B">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增加2.31万元，增长0.39%，主要原因是：本年新增退休人员较上年增加，导致职业年金缴费支出增加。</w:t>
      </w:r>
      <w:r>
        <w:rPr>
          <w:rFonts w:ascii="仿宋_GB2312" w:hAnsi="仿宋_GB2312" w:eastAsia="仿宋_GB2312"/>
          <w:b/>
          <w:sz w:val="32"/>
        </w:rPr>
        <w:t>与年初预算相比，</w:t>
      </w:r>
      <w:r>
        <w:rPr>
          <w:rFonts w:ascii="仿宋_GB2312" w:hAnsi="仿宋_GB2312" w:eastAsia="仿宋_GB2312"/>
          <w:b w:val="0"/>
          <w:sz w:val="32"/>
        </w:rPr>
        <w:t>年初预算数521.05万元，决算数597.95万元，预决算差异率14.76%，主要原因是：年中追加农村妇女宫颈癌，乳腺癌项目资金，导致预决算存在差异。</w:t>
      </w:r>
    </w:p>
    <w:p w14:paraId="2301E825">
      <w:pPr>
        <w:spacing w:line="640" w:lineRule="exact"/>
        <w:ind w:firstLine="640"/>
        <w:jc w:val="both"/>
        <w:outlineLvl w:val="2"/>
      </w:pPr>
      <w:r>
        <w:rPr>
          <w:rFonts w:ascii="黑体" w:hAnsi="黑体" w:eastAsia="黑体"/>
          <w:sz w:val="32"/>
        </w:rPr>
        <w:t>五、一般公共预算财政拨款支出决算情况说明</w:t>
      </w:r>
    </w:p>
    <w:p w14:paraId="3B07802A">
      <w:pPr>
        <w:spacing w:line="640" w:lineRule="exact"/>
        <w:ind w:firstLine="640"/>
        <w:jc w:val="both"/>
        <w:outlineLvl w:val="3"/>
      </w:pPr>
      <w:r>
        <w:rPr>
          <w:rFonts w:ascii="楷体_GB2312" w:hAnsi="楷体_GB2312" w:eastAsia="楷体_GB2312"/>
          <w:b/>
          <w:sz w:val="32"/>
        </w:rPr>
        <w:t>（一）一般公共预算财政拨款支出决算总体情况</w:t>
      </w:r>
    </w:p>
    <w:p w14:paraId="2CBB8F97">
      <w:pPr>
        <w:spacing w:line="580" w:lineRule="exact"/>
        <w:ind w:firstLine="640"/>
        <w:jc w:val="both"/>
      </w:pPr>
      <w:r>
        <w:rPr>
          <w:rFonts w:ascii="仿宋_GB2312" w:hAnsi="仿宋_GB2312" w:eastAsia="仿宋_GB2312"/>
          <w:b/>
          <w:sz w:val="32"/>
        </w:rPr>
        <w:t>2024年度一般公共预算财政拨款支出589.95万元，</w:t>
      </w:r>
      <w:r>
        <w:rPr>
          <w:rFonts w:ascii="仿宋_GB2312" w:hAnsi="仿宋_GB2312" w:eastAsia="仿宋_GB2312"/>
          <w:b w:val="0"/>
          <w:sz w:val="32"/>
        </w:rPr>
        <w:t>占本年支出合计的54.38%。</w:t>
      </w:r>
      <w:r>
        <w:rPr>
          <w:rFonts w:ascii="仿宋_GB2312" w:hAnsi="仿宋_GB2312" w:eastAsia="仿宋_GB2312"/>
          <w:b/>
          <w:sz w:val="32"/>
        </w:rPr>
        <w:t>与上年相比，</w:t>
      </w:r>
      <w:r>
        <w:rPr>
          <w:rFonts w:ascii="仿宋_GB2312" w:hAnsi="仿宋_GB2312" w:eastAsia="仿宋_GB2312"/>
          <w:b w:val="0"/>
          <w:sz w:val="32"/>
        </w:rPr>
        <w:t>增加11.31万元，增长1.95%，主要原因是：本年新增退休人员较上年增加，导致职业年金缴费支出增加。</w:t>
      </w:r>
      <w:r>
        <w:rPr>
          <w:rFonts w:ascii="仿宋_GB2312" w:hAnsi="仿宋_GB2312" w:eastAsia="仿宋_GB2312"/>
          <w:b/>
          <w:sz w:val="32"/>
        </w:rPr>
        <w:t>与年初预算相比,</w:t>
      </w:r>
      <w:r>
        <w:rPr>
          <w:rFonts w:ascii="仿宋_GB2312" w:hAnsi="仿宋_GB2312" w:eastAsia="仿宋_GB2312"/>
          <w:b w:val="0"/>
          <w:sz w:val="32"/>
        </w:rPr>
        <w:t>年初预算数513.05万元，决算数589.95万元，预决算差异率14.99%，主要原因是：年中追加农村妇女宫颈癌，乳腺癌项目资金，导致预决算存在差异。</w:t>
      </w:r>
    </w:p>
    <w:p w14:paraId="4842B71B">
      <w:pPr>
        <w:spacing w:line="640" w:lineRule="exact"/>
        <w:ind w:firstLine="640"/>
        <w:jc w:val="both"/>
        <w:outlineLvl w:val="3"/>
      </w:pPr>
      <w:r>
        <w:rPr>
          <w:rFonts w:ascii="楷体_GB2312" w:hAnsi="楷体_GB2312" w:eastAsia="楷体_GB2312"/>
          <w:b/>
          <w:sz w:val="32"/>
        </w:rPr>
        <w:t>（二）一般公共预算财政拨款支出决算结构情况</w:t>
      </w:r>
    </w:p>
    <w:p w14:paraId="632022B6">
      <w:pPr>
        <w:spacing w:line="580" w:lineRule="exact"/>
        <w:ind w:firstLine="640"/>
        <w:jc w:val="both"/>
      </w:pPr>
      <w:r>
        <w:rPr>
          <w:rFonts w:ascii="仿宋_GB2312" w:hAnsi="仿宋_GB2312" w:eastAsia="仿宋_GB2312"/>
          <w:b w:val="0"/>
          <w:sz w:val="32"/>
        </w:rPr>
        <w:t>1.社会保障和就业支出(类)97.90万元,占16.59%。</w:t>
      </w:r>
    </w:p>
    <w:p w14:paraId="666BEB14">
      <w:pPr>
        <w:spacing w:line="580" w:lineRule="exact"/>
        <w:ind w:firstLine="640"/>
        <w:jc w:val="both"/>
      </w:pPr>
      <w:r>
        <w:rPr>
          <w:rFonts w:ascii="仿宋_GB2312" w:hAnsi="仿宋_GB2312" w:eastAsia="仿宋_GB2312"/>
          <w:b w:val="0"/>
          <w:sz w:val="32"/>
        </w:rPr>
        <w:t>2.卫生健康支出(类)455.16万元,占77.15%。</w:t>
      </w:r>
    </w:p>
    <w:p w14:paraId="1E501CAB">
      <w:pPr>
        <w:spacing w:line="580" w:lineRule="exact"/>
        <w:ind w:firstLine="640"/>
        <w:jc w:val="both"/>
      </w:pPr>
      <w:r>
        <w:rPr>
          <w:rFonts w:ascii="仿宋_GB2312" w:hAnsi="仿宋_GB2312" w:eastAsia="仿宋_GB2312"/>
          <w:b w:val="0"/>
          <w:sz w:val="32"/>
        </w:rPr>
        <w:t>3.住房保障支出(类)36.89万元,占6.25%。</w:t>
      </w:r>
    </w:p>
    <w:p w14:paraId="793413E7">
      <w:pPr>
        <w:spacing w:line="640" w:lineRule="exact"/>
        <w:ind w:firstLine="640"/>
        <w:jc w:val="both"/>
        <w:outlineLvl w:val="3"/>
      </w:pPr>
      <w:r>
        <w:rPr>
          <w:rFonts w:ascii="楷体_GB2312" w:hAnsi="楷体_GB2312" w:eastAsia="楷体_GB2312"/>
          <w:b/>
          <w:sz w:val="32"/>
        </w:rPr>
        <w:t>（三）一般公共预算财政拨款支出决算具体情况</w:t>
      </w:r>
    </w:p>
    <w:p w14:paraId="34C2F361">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1.社会保障和就业支出(类)行政事业单位养老支出(款)事业单位离退休(项):支出决算数为30.78万元，比上年决算增加5.76万元，增长23.02%,主要原因是：本年补发退休人员绩效，</w:t>
      </w:r>
      <w:r>
        <w:rPr>
          <w:rFonts w:hint="eastAsia" w:ascii="仿宋_GB2312" w:hAnsi="仿宋_GB2312" w:eastAsia="仿宋_GB2312"/>
          <w:b w:val="0"/>
          <w:sz w:val="32"/>
          <w:lang w:val="en-US" w:eastAsia="zh-CN"/>
        </w:rPr>
        <w:t>退休人员增加，</w:t>
      </w:r>
      <w:r>
        <w:rPr>
          <w:rFonts w:ascii="仿宋_GB2312" w:hAnsi="仿宋_GB2312" w:eastAsia="仿宋_GB2312"/>
          <w:b w:val="0"/>
          <w:sz w:val="32"/>
        </w:rPr>
        <w:t>导致退休费较上年增加。</w:t>
      </w:r>
    </w:p>
    <w:p w14:paraId="0E507D92">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45.57万元，比上年决算增加1.56万元，增长3.54%,主要原因是：本年在职人员工资基数调增，养老缴费基数上涨，相应支出增加。</w:t>
      </w:r>
    </w:p>
    <w:p w14:paraId="780BCF5C">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21.56万元，比上年决算增加16.19万元，增长301.49%,主要原因是：本年新增退休人员较上年增加，导致职业年金缴费支出增加。</w:t>
      </w:r>
    </w:p>
    <w:p w14:paraId="7E175794">
      <w:pPr>
        <w:spacing w:line="580" w:lineRule="exact"/>
        <w:ind w:firstLine="640"/>
        <w:jc w:val="both"/>
      </w:pPr>
      <w:r>
        <w:rPr>
          <w:rFonts w:ascii="仿宋_GB2312" w:hAnsi="仿宋_GB2312" w:eastAsia="仿宋_GB2312"/>
          <w:b w:val="0"/>
          <w:sz w:val="32"/>
        </w:rPr>
        <w:t>4.卫生健康支出(类)公共卫生(款)妇幼保健机构(项):支出决算数为355.84万元，比上年决算减少94.36万元，下降20.96%,主要原因是：本年在职人员减少，相关人员经费减少，本年度科目调整，事业单位医疗支出、住房公积金科目上年度在主科目列支，本年单独列支，导致经费较上年减少。</w:t>
      </w:r>
    </w:p>
    <w:p w14:paraId="7FC9E8BB">
      <w:pPr>
        <w:spacing w:line="580" w:lineRule="exact"/>
        <w:ind w:firstLine="640"/>
        <w:jc w:val="both"/>
      </w:pPr>
      <w:r>
        <w:rPr>
          <w:rFonts w:ascii="仿宋_GB2312" w:hAnsi="仿宋_GB2312" w:eastAsia="仿宋_GB2312"/>
          <w:b w:val="0"/>
          <w:sz w:val="32"/>
        </w:rPr>
        <w:t>5.卫生健康支出(类)公共卫生(款)基本公共卫生服务(项):支出决算数为55.13万元，比上年决算增加12.26万元，增长28.60%,主要原因是：本年新生儿疾病筛查项目，新生儿先天性心脏病筛查项目下达资金比往年增加。</w:t>
      </w:r>
    </w:p>
    <w:p w14:paraId="38C20352">
      <w:pPr>
        <w:spacing w:line="580" w:lineRule="exact"/>
        <w:ind w:firstLine="640"/>
        <w:jc w:val="both"/>
      </w:pPr>
      <w:r>
        <w:rPr>
          <w:rFonts w:ascii="仿宋_GB2312" w:hAnsi="仿宋_GB2312" w:eastAsia="仿宋_GB2312"/>
          <w:b w:val="0"/>
          <w:sz w:val="32"/>
        </w:rPr>
        <w:t>6.卫生健康支出(类)公共卫生(款)重大公共卫生服务(项):支出决算数为14.24万元，比上年决算增加6.78万元，增长90.88%,主要原因是：本年增加2024年中央重大</w:t>
      </w:r>
      <w:bookmarkStart w:id="0" w:name="_GoBack"/>
      <w:r>
        <w:rPr>
          <w:rFonts w:ascii="仿宋_GB2312" w:hAnsi="仿宋_GB2312" w:eastAsia="仿宋_GB2312"/>
          <w:b w:val="0"/>
          <w:sz w:val="32"/>
        </w:rPr>
        <w:t>传染病</w:t>
      </w:r>
      <w:bookmarkEnd w:id="0"/>
      <w:r>
        <w:rPr>
          <w:rFonts w:ascii="仿宋_GB2312" w:hAnsi="仿宋_GB2312" w:eastAsia="仿宋_GB2312"/>
          <w:b w:val="0"/>
          <w:sz w:val="32"/>
        </w:rPr>
        <w:t>防控经费。</w:t>
      </w:r>
    </w:p>
    <w:p w14:paraId="6210819D">
      <w:pPr>
        <w:spacing w:line="580" w:lineRule="exact"/>
        <w:ind w:firstLine="640"/>
        <w:jc w:val="both"/>
      </w:pPr>
      <w:r>
        <w:rPr>
          <w:rFonts w:ascii="仿宋_GB2312" w:hAnsi="仿宋_GB2312" w:eastAsia="仿宋_GB2312"/>
          <w:b w:val="0"/>
          <w:sz w:val="32"/>
        </w:rPr>
        <w:t>7.卫生健康支出(类)计划生育事务(款)计划生育服务(项):支出决算数为10.58万元，比上年决算增加6.88万元，增长185.95%,主要原因是：本年增加2023年计生免费补助项目。</w:t>
      </w:r>
    </w:p>
    <w:p w14:paraId="149E3431">
      <w:pPr>
        <w:spacing w:line="580" w:lineRule="exact"/>
        <w:ind w:firstLine="640"/>
        <w:jc w:val="both"/>
      </w:pPr>
      <w:r>
        <w:rPr>
          <w:rFonts w:ascii="仿宋_GB2312" w:hAnsi="仿宋_GB2312" w:eastAsia="仿宋_GB2312"/>
          <w:b w:val="0"/>
          <w:sz w:val="32"/>
        </w:rPr>
        <w:t>8.卫生健康支出(类)行政事业单位医疗(款)事业单位医疗(项):支出决算数为19.37万元，比上年决算增加19.37万元，增长100.00%,主要原因是：本年功能科目调整，事业单位医疗支出上年度在主科目列支，本年单独列支，导致经费较上年增加。</w:t>
      </w:r>
    </w:p>
    <w:p w14:paraId="4551E9A8">
      <w:pPr>
        <w:spacing w:line="580" w:lineRule="exact"/>
        <w:ind w:firstLine="640"/>
        <w:jc w:val="both"/>
      </w:pPr>
      <w:r>
        <w:rPr>
          <w:rFonts w:ascii="仿宋_GB2312" w:hAnsi="仿宋_GB2312" w:eastAsia="仿宋_GB2312"/>
          <w:b w:val="0"/>
          <w:sz w:val="32"/>
        </w:rPr>
        <w:t>9.住房保障支出(类)住房改革支出(款)住房公积金(项):支出决算数为36.89万元，比上年决算增加36.89万元，增长100.00%,主要原因是：本年功能科目调整，住房公积金上年度在主科目列支，本年单独列支，导致经费较上年增加。</w:t>
      </w:r>
    </w:p>
    <w:p w14:paraId="1CE5FC95">
      <w:pPr>
        <w:spacing w:line="640" w:lineRule="exact"/>
        <w:ind w:firstLine="640"/>
        <w:jc w:val="both"/>
        <w:outlineLvl w:val="2"/>
      </w:pPr>
      <w:r>
        <w:rPr>
          <w:rFonts w:ascii="黑体" w:hAnsi="黑体" w:eastAsia="黑体"/>
          <w:sz w:val="32"/>
        </w:rPr>
        <w:t>六、一般公共预算财政拨款基本支出决算情况说明</w:t>
      </w:r>
    </w:p>
    <w:p w14:paraId="4C2D8A40">
      <w:pPr>
        <w:spacing w:line="580" w:lineRule="exact"/>
        <w:ind w:firstLine="640"/>
        <w:jc w:val="both"/>
      </w:pPr>
      <w:r>
        <w:rPr>
          <w:rFonts w:ascii="仿宋_GB2312" w:hAnsi="仿宋_GB2312" w:eastAsia="仿宋_GB2312"/>
          <w:b w:val="0"/>
          <w:sz w:val="32"/>
        </w:rPr>
        <w:t>2024年度一般公共预算财政拨款基本支出510.00万元，其中：</w:t>
      </w:r>
      <w:r>
        <w:rPr>
          <w:rFonts w:ascii="仿宋_GB2312" w:hAnsi="仿宋_GB2312" w:eastAsia="仿宋_GB2312"/>
          <w:b/>
          <w:sz w:val="32"/>
        </w:rPr>
        <w:t>人员经费510.00万元，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w:t>
      </w:r>
    </w:p>
    <w:p w14:paraId="7BB61207">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019BF7EC">
      <w:pPr>
        <w:spacing w:line="640" w:lineRule="exact"/>
        <w:ind w:firstLine="640"/>
        <w:jc w:val="both"/>
        <w:outlineLvl w:val="2"/>
      </w:pPr>
      <w:r>
        <w:rPr>
          <w:rFonts w:ascii="黑体" w:hAnsi="黑体" w:eastAsia="黑体"/>
          <w:sz w:val="32"/>
        </w:rPr>
        <w:t>七、政府性基金预算财政拨款收入支出决算情况说明</w:t>
      </w:r>
    </w:p>
    <w:p w14:paraId="70FDF6B1">
      <w:pPr>
        <w:spacing w:line="580" w:lineRule="exact"/>
        <w:ind w:firstLine="640"/>
        <w:jc w:val="both"/>
      </w:pPr>
      <w:r>
        <w:rPr>
          <w:rFonts w:ascii="仿宋_GB2312" w:hAnsi="仿宋_GB2312" w:eastAsia="仿宋_GB2312"/>
          <w:b/>
          <w:sz w:val="32"/>
        </w:rPr>
        <w:t>2024年度政府性基金预算财政拨款收入总计8.00万元，</w:t>
      </w:r>
      <w:r>
        <w:rPr>
          <w:rFonts w:ascii="仿宋_GB2312" w:hAnsi="仿宋_GB2312" w:eastAsia="仿宋_GB2312"/>
          <w:b w:val="0"/>
          <w:sz w:val="32"/>
        </w:rPr>
        <w:t>其中：年初结转和结余0.00万元，本年收入8.00万元。</w:t>
      </w:r>
      <w:r>
        <w:rPr>
          <w:rFonts w:ascii="仿宋_GB2312" w:hAnsi="仿宋_GB2312" w:eastAsia="仿宋_GB2312"/>
          <w:b/>
          <w:sz w:val="32"/>
        </w:rPr>
        <w:t>政府性基金预算财政拨款支出总计8.00万元，</w:t>
      </w:r>
      <w:r>
        <w:rPr>
          <w:rFonts w:ascii="仿宋_GB2312" w:hAnsi="仿宋_GB2312" w:eastAsia="仿宋_GB2312"/>
          <w:b w:val="0"/>
          <w:sz w:val="32"/>
        </w:rPr>
        <w:t>其中：年末结转和结余0.00万元，本年支出8.00万元。</w:t>
      </w:r>
    </w:p>
    <w:p w14:paraId="0D9C76DF">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减少9.00万元，下降52.94%，主要原因是：本年计生服务项目资金较上年减少。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年初预算数8.00万元，决算数8.00万元，预决算差异率0.00%，主要原因是：严格按照预算执行，预决算无差异。</w:t>
      </w:r>
    </w:p>
    <w:p w14:paraId="08CD5275">
      <w:pPr>
        <w:spacing w:line="580" w:lineRule="exact"/>
        <w:ind w:firstLine="640"/>
        <w:jc w:val="both"/>
      </w:pPr>
      <w:r>
        <w:rPr>
          <w:rFonts w:ascii="仿宋_GB2312" w:hAnsi="仿宋_GB2312" w:eastAsia="仿宋_GB2312"/>
          <w:b w:val="0"/>
          <w:sz w:val="32"/>
        </w:rPr>
        <w:t>政府性基金预算财政拨款支出8.00万元。</w:t>
      </w:r>
    </w:p>
    <w:p w14:paraId="34A757E6">
      <w:pPr>
        <w:spacing w:line="580" w:lineRule="exact"/>
        <w:ind w:firstLine="640"/>
        <w:jc w:val="both"/>
      </w:pPr>
      <w:r>
        <w:rPr>
          <w:rFonts w:ascii="仿宋_GB2312" w:hAnsi="仿宋_GB2312" w:eastAsia="仿宋_GB2312"/>
          <w:b w:val="0"/>
          <w:sz w:val="32"/>
        </w:rPr>
        <w:t>1.其他支出(类)彩票公益金安排的支出(款)用于城乡医疗救助的彩票公益金支出(项):支出决算数为8.00万元，比上年决算减少9.00万元，下降52.94%,主要原因是：本年计生服务项目资金较上年减少。</w:t>
      </w:r>
    </w:p>
    <w:p w14:paraId="6E31E65D">
      <w:pPr>
        <w:spacing w:line="640" w:lineRule="exact"/>
        <w:ind w:firstLine="640"/>
        <w:jc w:val="both"/>
        <w:outlineLvl w:val="2"/>
      </w:pPr>
      <w:r>
        <w:rPr>
          <w:rFonts w:ascii="黑体" w:hAnsi="黑体" w:eastAsia="黑体"/>
          <w:sz w:val="32"/>
        </w:rPr>
        <w:t>八、国有资本经营预算财政拨款收入支出决算情况说明</w:t>
      </w:r>
    </w:p>
    <w:p w14:paraId="051D735B">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1B4CF93">
      <w:pPr>
        <w:spacing w:line="640" w:lineRule="exact"/>
        <w:ind w:firstLine="640"/>
        <w:jc w:val="both"/>
        <w:outlineLvl w:val="2"/>
      </w:pPr>
      <w:r>
        <w:rPr>
          <w:rFonts w:ascii="黑体" w:hAnsi="黑体" w:eastAsia="黑体"/>
          <w:sz w:val="32"/>
        </w:rPr>
        <w:t>九、财政拨款“三公”经费支出决算情况说明</w:t>
      </w:r>
    </w:p>
    <w:p w14:paraId="7093DA9B">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12EC69C7">
      <w:pPr>
        <w:spacing w:line="580" w:lineRule="exact"/>
        <w:ind w:firstLine="640"/>
        <w:jc w:val="both"/>
      </w:pPr>
      <w:r>
        <w:rPr>
          <w:rFonts w:ascii="仿宋_GB2312" w:hAnsi="仿宋_GB2312" w:eastAsia="仿宋_GB2312"/>
          <w:b/>
          <w:sz w:val="32"/>
        </w:rPr>
        <w:t>具体情况如下：</w:t>
      </w:r>
    </w:p>
    <w:p w14:paraId="024CCF6C">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777C3C7">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4辆，与公务用车保有量差异原因是：差异车辆为</w:t>
      </w:r>
      <w:r>
        <w:rPr>
          <w:rFonts w:hint="eastAsia" w:ascii="仿宋_GB2312" w:hAnsi="仿宋_GB2312" w:eastAsia="仿宋_GB2312"/>
          <w:b w:val="0"/>
          <w:sz w:val="32"/>
          <w:lang w:eastAsia="zh-CN"/>
        </w:rPr>
        <w:t>本单位</w:t>
      </w:r>
      <w:r>
        <w:rPr>
          <w:rFonts w:ascii="仿宋_GB2312" w:hAnsi="仿宋_GB2312" w:eastAsia="仿宋_GB2312"/>
          <w:b w:val="0"/>
          <w:sz w:val="32"/>
        </w:rPr>
        <w:t>救护车，使用单位自有资金运行维护。</w:t>
      </w:r>
    </w:p>
    <w:p w14:paraId="135E9EC3">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E0F1716">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6C4E6434">
      <w:pPr>
        <w:spacing w:line="640" w:lineRule="exact"/>
        <w:ind w:firstLine="640"/>
        <w:jc w:val="both"/>
        <w:outlineLvl w:val="2"/>
      </w:pPr>
      <w:r>
        <w:rPr>
          <w:rFonts w:ascii="黑体" w:hAnsi="黑体" w:eastAsia="黑体"/>
          <w:sz w:val="32"/>
        </w:rPr>
        <w:t>十、其他重要事项的情况说明</w:t>
      </w:r>
    </w:p>
    <w:p w14:paraId="12CB06B0">
      <w:pPr>
        <w:spacing w:line="640" w:lineRule="exact"/>
        <w:ind w:firstLine="640"/>
        <w:jc w:val="both"/>
        <w:outlineLvl w:val="3"/>
      </w:pPr>
      <w:r>
        <w:rPr>
          <w:rFonts w:ascii="楷体_GB2312" w:hAnsi="楷体_GB2312" w:eastAsia="楷体_GB2312"/>
          <w:b/>
          <w:sz w:val="32"/>
        </w:rPr>
        <w:t>（一）机关运行经费及公用经费支出情况</w:t>
      </w:r>
    </w:p>
    <w:p w14:paraId="002D344A">
      <w:pPr>
        <w:spacing w:line="580" w:lineRule="exact"/>
        <w:ind w:firstLine="640"/>
        <w:jc w:val="both"/>
      </w:pPr>
      <w:r>
        <w:rPr>
          <w:rFonts w:ascii="仿宋_GB2312" w:hAnsi="仿宋_GB2312" w:eastAsia="仿宋_GB2312"/>
          <w:b w:val="0"/>
          <w:sz w:val="32"/>
        </w:rPr>
        <w:t>2024年度岳普湖县妇幼保健计划生育服务中心（事业单位）公用经费支出0.00万元，比上年增加0.00万元，增长0.00%，主要原因是：2023年与2024年均未安排公用经费支出。</w:t>
      </w:r>
    </w:p>
    <w:p w14:paraId="4BD9C6CC">
      <w:pPr>
        <w:spacing w:line="640" w:lineRule="exact"/>
        <w:ind w:firstLine="640"/>
        <w:jc w:val="both"/>
        <w:outlineLvl w:val="3"/>
      </w:pPr>
      <w:r>
        <w:rPr>
          <w:rFonts w:ascii="楷体_GB2312" w:hAnsi="楷体_GB2312" w:eastAsia="楷体_GB2312"/>
          <w:b/>
          <w:sz w:val="32"/>
        </w:rPr>
        <w:t>（二）政府采购情况</w:t>
      </w:r>
    </w:p>
    <w:p w14:paraId="339EF410">
      <w:pPr>
        <w:spacing w:line="580" w:lineRule="exact"/>
        <w:ind w:firstLine="640"/>
        <w:jc w:val="both"/>
      </w:pPr>
      <w:r>
        <w:rPr>
          <w:rFonts w:ascii="仿宋_GB2312" w:hAnsi="仿宋_GB2312" w:eastAsia="仿宋_GB2312"/>
          <w:b w:val="0"/>
          <w:sz w:val="32"/>
        </w:rPr>
        <w:t>2024年度政府采购支出总额150.26万元，其中：政府采购货物支出125.89万元、政府采购工程支出1.55万元、政府采购服务支出22.83万元。</w:t>
      </w:r>
    </w:p>
    <w:p w14:paraId="3BBB92C3">
      <w:pPr>
        <w:spacing w:line="580" w:lineRule="exact"/>
        <w:ind w:firstLine="640"/>
        <w:jc w:val="both"/>
      </w:pPr>
      <w:r>
        <w:rPr>
          <w:rFonts w:ascii="仿宋_GB2312" w:hAnsi="仿宋_GB2312" w:eastAsia="仿宋_GB2312"/>
          <w:b w:val="0"/>
          <w:sz w:val="32"/>
        </w:rPr>
        <w:t>授予中小企业合同金额34.63万元，占政府采购支出总额的23.05%，其中：授予小微企业合同金额33.90万元，占政府采购支出总额的22.56%。</w:t>
      </w:r>
    </w:p>
    <w:p w14:paraId="291CA96A">
      <w:pPr>
        <w:spacing w:line="640" w:lineRule="exact"/>
        <w:ind w:firstLine="640"/>
        <w:jc w:val="both"/>
        <w:outlineLvl w:val="3"/>
      </w:pPr>
      <w:r>
        <w:rPr>
          <w:rFonts w:ascii="楷体_GB2312" w:hAnsi="楷体_GB2312" w:eastAsia="楷体_GB2312"/>
          <w:b/>
          <w:sz w:val="32"/>
        </w:rPr>
        <w:t>（三）国有资产占用情况说明</w:t>
      </w:r>
    </w:p>
    <w:p w14:paraId="1DD19BE0">
      <w:pPr>
        <w:spacing w:line="580" w:lineRule="exact"/>
        <w:ind w:firstLine="640"/>
        <w:jc w:val="both"/>
      </w:pPr>
      <w:r>
        <w:rPr>
          <w:rFonts w:ascii="仿宋_GB2312" w:hAnsi="仿宋_GB2312" w:eastAsia="仿宋_GB2312"/>
          <w:b w:val="0"/>
          <w:sz w:val="32"/>
        </w:rPr>
        <w:t>截至2024年12月31日，房屋6,255.88平方米，价值1,418.36万元。车辆4辆，价值59.58万元，其中：副部（省）级及以上领导用车0辆、主要负责人用车0辆、机要通信用车0辆、应急保障用车0辆、执法执勤用车0辆、特种专业技术用车3辆、离退休干部服务用车0辆、其他用车1辆，其他用车主要是：单位业务用车。单价100万元（含）以上设备（不含车辆）2台（套）。</w:t>
      </w:r>
    </w:p>
    <w:p w14:paraId="64AE31A0">
      <w:pPr>
        <w:spacing w:line="640" w:lineRule="exact"/>
        <w:ind w:firstLine="640"/>
        <w:jc w:val="both"/>
        <w:outlineLvl w:val="2"/>
      </w:pPr>
      <w:r>
        <w:rPr>
          <w:rFonts w:ascii="黑体" w:hAnsi="黑体" w:eastAsia="黑体"/>
          <w:sz w:val="32"/>
        </w:rPr>
        <w:t>十一、预算绩效的情况说明</w:t>
      </w:r>
    </w:p>
    <w:p w14:paraId="218FA227">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w:t>
      </w:r>
      <w:r>
        <w:rPr>
          <w:rFonts w:hint="eastAsia" w:ascii="仿宋_GB2312" w:hAnsi="仿宋_GB2312" w:eastAsia="仿宋_GB2312"/>
          <w:b w:val="0"/>
          <w:sz w:val="32"/>
          <w:lang w:eastAsia="zh-CN"/>
        </w:rPr>
        <w:t>本单位</w:t>
      </w:r>
      <w:r>
        <w:rPr>
          <w:rFonts w:ascii="仿宋_GB2312" w:hAnsi="仿宋_GB2312" w:eastAsia="仿宋_GB2312"/>
          <w:b w:val="0"/>
          <w:sz w:val="32"/>
        </w:rPr>
        <w:t>无预算绩效项目自评表。发现的问题及原因：</w:t>
      </w:r>
      <w:r>
        <w:rPr>
          <w:rFonts w:hint="eastAsia" w:ascii="仿宋_GB2312" w:hAnsi="仿宋_GB2312" w:eastAsia="仿宋_GB2312"/>
          <w:b w:val="0"/>
          <w:sz w:val="32"/>
          <w:lang w:eastAsia="zh-CN"/>
        </w:rPr>
        <w:t>本单位</w:t>
      </w:r>
      <w:r>
        <w:rPr>
          <w:rFonts w:ascii="仿宋_GB2312" w:hAnsi="仿宋_GB2312" w:eastAsia="仿宋_GB2312"/>
          <w:b w:val="0"/>
          <w:sz w:val="32"/>
        </w:rPr>
        <w:t>无预算绩效项目自评表。下一步改进措施：</w:t>
      </w:r>
      <w:r>
        <w:rPr>
          <w:rFonts w:hint="eastAsia" w:ascii="仿宋_GB2312" w:hAnsi="仿宋_GB2312" w:eastAsia="仿宋_GB2312"/>
          <w:b w:val="0"/>
          <w:sz w:val="32"/>
          <w:lang w:eastAsia="zh-CN"/>
        </w:rPr>
        <w:t>本单位</w:t>
      </w:r>
      <w:r>
        <w:rPr>
          <w:rFonts w:ascii="仿宋_GB2312" w:hAnsi="仿宋_GB2312" w:eastAsia="仿宋_GB2312"/>
          <w:b w:val="0"/>
          <w:sz w:val="32"/>
        </w:rPr>
        <w:t>无预算绩效项目自评表。</w:t>
      </w:r>
    </w:p>
    <w:p w14:paraId="241C983F">
      <w:r>
        <w:br w:type="page"/>
      </w:r>
    </w:p>
    <w:p w14:paraId="6B729D3B">
      <w:pPr>
        <w:spacing w:line="640" w:lineRule="exact"/>
        <w:ind w:firstLine="640"/>
        <w:jc w:val="both"/>
        <w:outlineLvl w:val="2"/>
      </w:pPr>
      <w:r>
        <w:rPr>
          <w:rFonts w:ascii="黑体" w:hAnsi="黑体" w:eastAsia="黑体"/>
          <w:sz w:val="32"/>
        </w:rPr>
        <w:t>十二、其他需说明的事项</w:t>
      </w:r>
    </w:p>
    <w:p w14:paraId="0CE3C3F7">
      <w:pPr>
        <w:spacing w:line="580" w:lineRule="exact"/>
        <w:ind w:firstLine="640"/>
        <w:jc w:val="both"/>
      </w:pPr>
      <w:r>
        <w:rPr>
          <w:rFonts w:ascii="仿宋_GB2312" w:hAnsi="仿宋_GB2312" w:eastAsia="仿宋_GB2312"/>
          <w:b w:val="0"/>
          <w:sz w:val="32"/>
        </w:rPr>
        <w:t>本年度本单位整体绩效自评表由卫生健康委员会编报并公开。</w:t>
      </w:r>
    </w:p>
    <w:p w14:paraId="31966999">
      <w:r>
        <w:br w:type="page"/>
      </w:r>
    </w:p>
    <w:p w14:paraId="4DC2420D">
      <w:pPr>
        <w:spacing w:line="240" w:lineRule="auto"/>
        <w:jc w:val="center"/>
        <w:outlineLvl w:val="1"/>
      </w:pPr>
      <w:r>
        <w:rPr>
          <w:rFonts w:ascii="黑体" w:hAnsi="黑体" w:eastAsia="黑体"/>
          <w:sz w:val="32"/>
        </w:rPr>
        <w:t>第三部分 专业名词解释</w:t>
      </w:r>
    </w:p>
    <w:p w14:paraId="0B710024">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2804EF3">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0728CDD">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B4E8A20">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F2C5CE6">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ECDE482">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E73395F">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80C05FF">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E6E4BC9">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25BD503">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1423803">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17A05CE">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94674FA">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E3418AF">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4753591">
      <w:r>
        <w:br w:type="page"/>
      </w:r>
    </w:p>
    <w:p w14:paraId="6C3CB473">
      <w:pPr>
        <w:spacing w:line="240" w:lineRule="auto"/>
        <w:jc w:val="center"/>
        <w:outlineLvl w:val="1"/>
      </w:pPr>
      <w:r>
        <w:rPr>
          <w:rFonts w:ascii="黑体" w:hAnsi="黑体" w:eastAsia="黑体"/>
          <w:sz w:val="32"/>
        </w:rPr>
        <w:t>第四部分 部门决算报表（见附表）</w:t>
      </w:r>
    </w:p>
    <w:p w14:paraId="7224DFD4">
      <w:pPr>
        <w:spacing w:line="240" w:lineRule="auto"/>
        <w:ind w:firstLine="640"/>
        <w:jc w:val="both"/>
      </w:pPr>
      <w:r>
        <w:rPr>
          <w:rFonts w:ascii="仿宋_GB2312" w:hAnsi="仿宋_GB2312" w:eastAsia="仿宋_GB2312"/>
          <w:b w:val="0"/>
          <w:sz w:val="32"/>
        </w:rPr>
        <w:t>一、《收入支出决算总表》</w:t>
      </w:r>
    </w:p>
    <w:p w14:paraId="32B99D28">
      <w:pPr>
        <w:spacing w:line="240" w:lineRule="auto"/>
        <w:ind w:firstLine="640"/>
        <w:jc w:val="both"/>
      </w:pPr>
      <w:r>
        <w:rPr>
          <w:rFonts w:ascii="仿宋_GB2312" w:hAnsi="仿宋_GB2312" w:eastAsia="仿宋_GB2312"/>
          <w:b w:val="0"/>
          <w:sz w:val="32"/>
        </w:rPr>
        <w:t>二、《收入决算表》</w:t>
      </w:r>
    </w:p>
    <w:p w14:paraId="61958333">
      <w:pPr>
        <w:spacing w:line="240" w:lineRule="auto"/>
        <w:ind w:firstLine="640"/>
        <w:jc w:val="both"/>
      </w:pPr>
      <w:r>
        <w:rPr>
          <w:rFonts w:ascii="仿宋_GB2312" w:hAnsi="仿宋_GB2312" w:eastAsia="仿宋_GB2312"/>
          <w:b w:val="0"/>
          <w:sz w:val="32"/>
        </w:rPr>
        <w:t>三、《支出决算表》</w:t>
      </w:r>
    </w:p>
    <w:p w14:paraId="610895E1">
      <w:pPr>
        <w:spacing w:line="240" w:lineRule="auto"/>
        <w:ind w:firstLine="640"/>
        <w:jc w:val="both"/>
      </w:pPr>
      <w:r>
        <w:rPr>
          <w:rFonts w:ascii="仿宋_GB2312" w:hAnsi="仿宋_GB2312" w:eastAsia="仿宋_GB2312"/>
          <w:b w:val="0"/>
          <w:sz w:val="32"/>
        </w:rPr>
        <w:t>四、《财政拨款收入支出决算总表》</w:t>
      </w:r>
    </w:p>
    <w:p w14:paraId="6CD63F78">
      <w:pPr>
        <w:spacing w:line="240" w:lineRule="auto"/>
        <w:ind w:firstLine="640"/>
        <w:jc w:val="both"/>
      </w:pPr>
      <w:r>
        <w:rPr>
          <w:rFonts w:ascii="仿宋_GB2312" w:hAnsi="仿宋_GB2312" w:eastAsia="仿宋_GB2312"/>
          <w:b w:val="0"/>
          <w:sz w:val="32"/>
        </w:rPr>
        <w:t>五、《一般公共预算财政拨款支出决算表》</w:t>
      </w:r>
    </w:p>
    <w:p w14:paraId="49ED73CD">
      <w:pPr>
        <w:spacing w:line="240" w:lineRule="auto"/>
        <w:ind w:firstLine="640"/>
        <w:jc w:val="both"/>
      </w:pPr>
      <w:r>
        <w:rPr>
          <w:rFonts w:ascii="仿宋_GB2312" w:hAnsi="仿宋_GB2312" w:eastAsia="仿宋_GB2312"/>
          <w:b w:val="0"/>
          <w:sz w:val="32"/>
        </w:rPr>
        <w:t>六、《一般公共预算财政拨款基本支出决算表》</w:t>
      </w:r>
    </w:p>
    <w:p w14:paraId="620DF739">
      <w:pPr>
        <w:spacing w:line="240" w:lineRule="auto"/>
        <w:ind w:firstLine="640"/>
        <w:jc w:val="both"/>
      </w:pPr>
      <w:r>
        <w:rPr>
          <w:rFonts w:ascii="仿宋_GB2312" w:hAnsi="仿宋_GB2312" w:eastAsia="仿宋_GB2312"/>
          <w:b w:val="0"/>
          <w:sz w:val="32"/>
        </w:rPr>
        <w:t>七、《政府性基金预算财政拨款收入支出决算表》</w:t>
      </w:r>
    </w:p>
    <w:p w14:paraId="5B753B5F">
      <w:pPr>
        <w:spacing w:line="240" w:lineRule="auto"/>
        <w:ind w:firstLine="640"/>
        <w:jc w:val="both"/>
      </w:pPr>
      <w:r>
        <w:rPr>
          <w:rFonts w:ascii="仿宋_GB2312" w:hAnsi="仿宋_GB2312" w:eastAsia="仿宋_GB2312"/>
          <w:b w:val="0"/>
          <w:sz w:val="32"/>
        </w:rPr>
        <w:t>八、《国有资本经营预算财政拨款收入支出决算表》</w:t>
      </w:r>
    </w:p>
    <w:p w14:paraId="7D081F8D">
      <w:pPr>
        <w:spacing w:line="240" w:lineRule="auto"/>
        <w:ind w:firstLine="640"/>
        <w:jc w:val="both"/>
      </w:pPr>
      <w:r>
        <w:rPr>
          <w:rFonts w:ascii="仿宋_GB2312" w:hAnsi="仿宋_GB2312" w:eastAsia="仿宋_GB2312"/>
          <w:b w:val="0"/>
          <w:sz w:val="32"/>
        </w:rPr>
        <w:t>九、《财政拨款“三公”经费支出决算表》</w:t>
      </w:r>
    </w:p>
    <w:p w14:paraId="77E3BF02">
      <w:pPr>
        <w:spacing w:line="240" w:lineRule="auto"/>
        <w:ind w:firstLine="640"/>
        <w:jc w:val="both"/>
      </w:pPr>
    </w:p>
    <w:p w14:paraId="01EAFDFF">
      <w:pPr>
        <w:spacing w:line="240" w:lineRule="auto"/>
        <w:ind w:firstLine="640"/>
        <w:jc w:val="both"/>
      </w:pPr>
    </w:p>
    <w:p w14:paraId="19B17AB3">
      <w:pPr>
        <w:spacing w:line="240" w:lineRule="auto"/>
        <w:ind w:firstLine="640"/>
        <w:jc w:val="both"/>
      </w:pPr>
    </w:p>
    <w:p w14:paraId="1B844FFB">
      <w:pPr>
        <w:spacing w:line="240" w:lineRule="auto"/>
        <w:ind w:firstLine="640"/>
        <w:jc w:val="both"/>
      </w:pPr>
    </w:p>
    <w:p w14:paraId="38B1F0E5">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5F741B"/>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4F413096"/>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5546</Words>
  <Characters>6292</Characters>
  <Lines>0</Lines>
  <Paragraphs>0</Paragraphs>
  <TotalTime>8</TotalTime>
  <ScaleCrop>false</ScaleCrop>
  <LinksUpToDate>false</LinksUpToDate>
  <CharactersWithSpaces>6302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2025-09-12T10:29:17Z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eyJoZGlkIjoiZjc0YWFlMzUxNjVlZTcxY2FlZTNjZDFlMzE3YzBjNDEiLCJ1c2VySWQiOiIyMDM3MTI1NTkifQ==</vt:lpwstr>
  </property>
</Properties>
</file>