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068716E">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岳普湖县疾病预防控制中心2024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58BFDC2">
      <w:r>
        <w:br w:type="page"/>
      </w:r>
    </w:p>
    <w:p w14:paraId="4E3FC703">
      <w:pPr>
        <w:spacing w:line="640" w:lineRule="exact"/>
        <w:jc w:val="center"/>
        <w:outlineLvl w:val="1"/>
      </w:pPr>
      <w:r>
        <w:rPr>
          <w:rFonts w:ascii="黑体" w:hAnsi="黑体" w:eastAsia="黑体"/>
          <w:sz w:val="32"/>
        </w:rPr>
        <w:t>第一部分 单位概况</w:t>
      </w:r>
    </w:p>
    <w:p w14:paraId="444A6A9B">
      <w:pPr>
        <w:spacing w:line="640" w:lineRule="exact"/>
        <w:ind w:firstLine="640"/>
        <w:jc w:val="both"/>
        <w:outlineLvl w:val="2"/>
      </w:pPr>
      <w:r>
        <w:rPr>
          <w:rFonts w:ascii="黑体" w:hAnsi="黑体" w:eastAsia="黑体"/>
          <w:sz w:val="32"/>
        </w:rPr>
        <w:t>一、主要职能</w:t>
      </w:r>
    </w:p>
    <w:p w14:paraId="0F24237A">
      <w:pPr>
        <w:spacing w:line="580" w:lineRule="exact"/>
        <w:ind w:firstLine="640"/>
        <w:jc w:val="both"/>
      </w:pPr>
      <w:r>
        <w:rPr>
          <w:rFonts w:ascii="仿宋_GB2312" w:hAnsi="仿宋_GB2312" w:eastAsia="仿宋_GB2312"/>
          <w:sz w:val="32"/>
        </w:rPr>
        <w:t>预防控制相关疾病的发生与流行,承担《突发公共卫生事件应急条例》及相关法律法规规定的任务，开展突发公共卫生事件、救灾防病的应急准备、监测报告、调查确认、预测预警、现场处置和效果评估；构建和维护公共卫生信息网络系统，收集、报告、分析和评价疾病与健康危害因素等公共卫生信息,建立健全预测预警机制，为应急处置和疾病预防控制决策提供依据；减少食源性疾病、职业病、环境相关疾病、学生常见病和中毒事件的发生</w:t>
      </w:r>
      <w:r>
        <w:rPr>
          <w:rFonts w:hint="eastAsia" w:ascii="仿宋_GB2312" w:hAnsi="仿宋_GB2312" w:eastAsia="仿宋_GB2312"/>
          <w:sz w:val="32"/>
          <w:lang w:eastAsia="zh-CN"/>
        </w:rPr>
        <w:t>；</w:t>
      </w:r>
      <w:r>
        <w:rPr>
          <w:rFonts w:ascii="仿宋_GB2312" w:hAnsi="仿宋_GB2312" w:eastAsia="仿宋_GB2312"/>
          <w:sz w:val="32"/>
        </w:rPr>
        <w:t>开展疾病和健康相关危害因素的生物、物理、化学因子的检测，进行传染病病原学分离鉴定、疾病危害因素实验室诊断、中毒事件的毒物分析与鉴定和毒理学评价，为突发事件的应急处置、疾病和健康相关危害因素的预防控制及卫生监督执法等提供技术支持；开展健康教育、健康咨询，普及卫生防病知识，进行心理和行为干预。运用健康促进的策略，动员社会共同参与卫生防病工作，提高公众的健康意识和社会公德意识,帮助公众掌握自我保健与防护技能，减少疾病流行和突发事件造成的身心危害，提高生命与生活质量；负责拟定重点疾病及健康危害因素预防控制规划、预案和工作方案；对疾病预防控制工作进行技术指导、培训和考核。</w:t>
      </w:r>
    </w:p>
    <w:p w14:paraId="021D5616">
      <w:pPr>
        <w:spacing w:line="640" w:lineRule="exact"/>
        <w:ind w:firstLine="640"/>
        <w:jc w:val="both"/>
        <w:outlineLvl w:val="2"/>
      </w:pPr>
      <w:r>
        <w:rPr>
          <w:rFonts w:ascii="黑体" w:hAnsi="黑体" w:eastAsia="黑体"/>
          <w:sz w:val="32"/>
        </w:rPr>
        <w:t>二、机构设置及人员情况</w:t>
      </w:r>
    </w:p>
    <w:p w14:paraId="3D3BDCBA">
      <w:pPr>
        <w:spacing w:line="580" w:lineRule="exact"/>
        <w:ind w:firstLine="640"/>
        <w:jc w:val="both"/>
      </w:pPr>
      <w:r>
        <w:rPr>
          <w:rFonts w:ascii="仿宋_GB2312" w:hAnsi="仿宋_GB2312" w:eastAsia="仿宋_GB2312"/>
          <w:sz w:val="32"/>
        </w:rPr>
        <w:t>岳普湖县疾病预防控制中心2024年度，实有人数47人，其中：在职人员21人，减少1人；离休人员0人，增加0人；退休人员26人,增加0人。</w:t>
      </w:r>
    </w:p>
    <w:p w14:paraId="06CA15DD">
      <w:pPr>
        <w:spacing w:line="580" w:lineRule="exact"/>
        <w:ind w:firstLine="640"/>
        <w:jc w:val="both"/>
      </w:pPr>
      <w:r>
        <w:rPr>
          <w:rFonts w:ascii="仿宋_GB2312" w:hAnsi="仿宋_GB2312" w:eastAsia="仿宋_GB2312"/>
          <w:sz w:val="32"/>
        </w:rPr>
        <w:t>岳普湖县疾病预防控制中心无下属预算单位，下设8个科室，分别是：中心办公室、结核病防治科、</w:t>
      </w:r>
      <w:r>
        <w:rPr>
          <w:rFonts w:hint="eastAsia" w:ascii="方正仿宋_GB2312" w:hAnsi="方正仿宋_GB2312" w:eastAsia="方正仿宋_GB2312" w:cs="方正仿宋_GB2312"/>
          <w:sz w:val="32"/>
          <w:lang w:val="en-US" w:eastAsia="zh-CN"/>
        </w:rPr>
        <w:t>AZB</w:t>
      </w:r>
      <w:r>
        <w:rPr>
          <w:rFonts w:ascii="仿宋_GB2312" w:hAnsi="仿宋_GB2312" w:eastAsia="仿宋_GB2312"/>
          <w:sz w:val="32"/>
        </w:rPr>
        <w:t>防治科、计划免疫科、地方病防治科、检验科、财务科、疾控科。</w:t>
      </w:r>
    </w:p>
    <w:p w14:paraId="51B14CA8">
      <w:r>
        <w:br w:type="page"/>
      </w:r>
    </w:p>
    <w:p w14:paraId="43B38B3F">
      <w:pPr>
        <w:spacing w:line="240" w:lineRule="auto"/>
        <w:jc w:val="center"/>
        <w:outlineLvl w:val="1"/>
      </w:pPr>
      <w:r>
        <w:rPr>
          <w:rFonts w:ascii="黑体" w:hAnsi="黑体" w:eastAsia="黑体"/>
          <w:sz w:val="32"/>
        </w:rPr>
        <w:t>第二部分 部门决算情况说明</w:t>
      </w:r>
    </w:p>
    <w:p w14:paraId="1DDD4D12">
      <w:pPr>
        <w:spacing w:line="640" w:lineRule="exact"/>
        <w:ind w:firstLine="640"/>
        <w:jc w:val="both"/>
        <w:outlineLvl w:val="2"/>
      </w:pPr>
      <w:r>
        <w:rPr>
          <w:rFonts w:ascii="黑体" w:hAnsi="黑体" w:eastAsia="黑体"/>
          <w:sz w:val="32"/>
        </w:rPr>
        <w:t>一、收入支出决算总体情况说明</w:t>
      </w:r>
    </w:p>
    <w:p w14:paraId="4EEEE18E">
      <w:pPr>
        <w:spacing w:line="580" w:lineRule="exact"/>
        <w:ind w:firstLine="640"/>
        <w:jc w:val="both"/>
      </w:pPr>
      <w:r>
        <w:rPr>
          <w:rFonts w:ascii="仿宋_GB2312" w:hAnsi="仿宋_GB2312" w:eastAsia="仿宋_GB2312"/>
          <w:b/>
          <w:sz w:val="32"/>
        </w:rPr>
        <w:t>2024年度收入总计4,029.08万元，</w:t>
      </w:r>
      <w:r>
        <w:rPr>
          <w:rFonts w:ascii="仿宋_GB2312" w:hAnsi="仿宋_GB2312" w:eastAsia="仿宋_GB2312"/>
          <w:b w:val="0"/>
          <w:sz w:val="32"/>
        </w:rPr>
        <w:t>其中：本年收入合计4,029.08万元，使用非财政拨款结余（含专用结余）0.00万元，年初结转和结余0.00万元。</w:t>
      </w:r>
    </w:p>
    <w:p w14:paraId="45BAA1DF">
      <w:pPr>
        <w:spacing w:line="580" w:lineRule="exact"/>
        <w:ind w:firstLine="640"/>
        <w:jc w:val="both"/>
      </w:pPr>
      <w:r>
        <w:rPr>
          <w:rFonts w:ascii="仿宋_GB2312" w:hAnsi="仿宋_GB2312" w:eastAsia="仿宋_GB2312"/>
          <w:b/>
          <w:sz w:val="32"/>
        </w:rPr>
        <w:t>2024年度支出总计4,029.08万元，</w:t>
      </w:r>
      <w:r>
        <w:rPr>
          <w:rFonts w:ascii="仿宋_GB2312" w:hAnsi="仿宋_GB2312" w:eastAsia="仿宋_GB2312"/>
          <w:b w:val="0"/>
          <w:sz w:val="32"/>
        </w:rPr>
        <w:t>其中：本年支出合计4,029.08万元，结余分配0.00万元，年末结转和结余0.00万元。</w:t>
      </w:r>
    </w:p>
    <w:p w14:paraId="36F6FB0D">
      <w:pPr>
        <w:spacing w:line="580" w:lineRule="exact"/>
        <w:ind w:firstLine="640"/>
        <w:jc w:val="both"/>
      </w:pPr>
      <w:r>
        <w:rPr>
          <w:rFonts w:ascii="仿宋_GB2312" w:hAnsi="仿宋_GB2312" w:eastAsia="仿宋_GB2312"/>
          <w:b w:val="0"/>
          <w:sz w:val="32"/>
        </w:rPr>
        <w:t>收入支出总体与上年相比，增加2,084.15万元，增长107.16%，主要原因是：本年YQ防控物资支出较上年增加，导致经费较上年增加。</w:t>
      </w:r>
    </w:p>
    <w:p w14:paraId="488C0540">
      <w:pPr>
        <w:spacing w:line="640" w:lineRule="exact"/>
        <w:ind w:firstLine="640"/>
        <w:jc w:val="both"/>
        <w:outlineLvl w:val="2"/>
      </w:pPr>
      <w:r>
        <w:rPr>
          <w:rFonts w:ascii="黑体" w:hAnsi="黑体" w:eastAsia="黑体"/>
          <w:sz w:val="32"/>
        </w:rPr>
        <w:t>二、收入决算情况说明</w:t>
      </w:r>
    </w:p>
    <w:p w14:paraId="77865BE2">
      <w:pPr>
        <w:spacing w:line="580" w:lineRule="exact"/>
        <w:ind w:firstLine="640"/>
        <w:jc w:val="both"/>
      </w:pPr>
      <w:r>
        <w:rPr>
          <w:rFonts w:ascii="仿宋_GB2312" w:hAnsi="仿宋_GB2312" w:eastAsia="仿宋_GB2312"/>
          <w:b/>
          <w:sz w:val="32"/>
        </w:rPr>
        <w:t>本年收入4,029.08万元，</w:t>
      </w:r>
      <w:r>
        <w:rPr>
          <w:rFonts w:ascii="仿宋_GB2312" w:hAnsi="仿宋_GB2312" w:eastAsia="仿宋_GB2312"/>
          <w:b w:val="0"/>
          <w:sz w:val="32"/>
        </w:rPr>
        <w:t>其中：财政拨款收入3,939.68万元，占97.78%；上级补助收入0.00万元，占0.00%；事业收入0.00万元，占0.00%；经营收入0.00万元，占0.00%；附属单位上缴收入0.00万元，占0.00%；其他收入89.39万元，占2.22%。</w:t>
      </w:r>
    </w:p>
    <w:p w14:paraId="0092824D">
      <w:pPr>
        <w:spacing w:line="640" w:lineRule="exact"/>
        <w:ind w:firstLine="640"/>
        <w:jc w:val="both"/>
        <w:outlineLvl w:val="2"/>
      </w:pPr>
      <w:r>
        <w:rPr>
          <w:rFonts w:ascii="黑体" w:hAnsi="黑体" w:eastAsia="黑体"/>
          <w:sz w:val="32"/>
        </w:rPr>
        <w:t>三、支出决算情况说明</w:t>
      </w:r>
    </w:p>
    <w:p w14:paraId="4EDCDC3E">
      <w:pPr>
        <w:spacing w:line="580" w:lineRule="exact"/>
        <w:ind w:firstLine="640"/>
        <w:jc w:val="both"/>
      </w:pPr>
      <w:r>
        <w:rPr>
          <w:rFonts w:ascii="仿宋_GB2312" w:hAnsi="仿宋_GB2312" w:eastAsia="仿宋_GB2312"/>
          <w:b/>
          <w:sz w:val="32"/>
        </w:rPr>
        <w:t>本年支出4,029.08万元，</w:t>
      </w:r>
      <w:r>
        <w:rPr>
          <w:rFonts w:ascii="仿宋_GB2312" w:hAnsi="仿宋_GB2312" w:eastAsia="仿宋_GB2312"/>
          <w:b w:val="0"/>
          <w:sz w:val="32"/>
        </w:rPr>
        <w:t>其中：基本支出453.25万元，占11.25%；项目支出3,575.83万元，占88.75%；上缴上级支出0.00万元，占0.00%；经营支出0.00万元，占0.00%；对附属单位补助支出0.00万元，占0.00%。</w:t>
      </w:r>
    </w:p>
    <w:p w14:paraId="218CBD78">
      <w:pPr>
        <w:spacing w:line="640" w:lineRule="exact"/>
        <w:ind w:firstLine="640"/>
        <w:jc w:val="both"/>
        <w:outlineLvl w:val="2"/>
      </w:pPr>
      <w:r>
        <w:rPr>
          <w:rFonts w:ascii="黑体" w:hAnsi="黑体" w:eastAsia="黑体"/>
          <w:sz w:val="32"/>
        </w:rPr>
        <w:t>四、财政拨款收入支出决算总体情况说明</w:t>
      </w:r>
    </w:p>
    <w:p w14:paraId="403419D9">
      <w:pPr>
        <w:spacing w:line="580" w:lineRule="exact"/>
        <w:ind w:firstLine="640"/>
        <w:jc w:val="both"/>
      </w:pPr>
      <w:r>
        <w:rPr>
          <w:rFonts w:ascii="仿宋_GB2312" w:hAnsi="仿宋_GB2312" w:eastAsia="仿宋_GB2312"/>
          <w:b/>
          <w:sz w:val="32"/>
        </w:rPr>
        <w:t>2024年度财政拨款收入总计3,939.68万元，</w:t>
      </w:r>
      <w:r>
        <w:rPr>
          <w:rFonts w:ascii="仿宋_GB2312" w:hAnsi="仿宋_GB2312" w:eastAsia="仿宋_GB2312"/>
          <w:b w:val="0"/>
          <w:sz w:val="32"/>
        </w:rPr>
        <w:t>其中：年初财政拨款结转和结余0.00万元，本年财政拨款收入3,939.68万元。</w:t>
      </w:r>
      <w:r>
        <w:rPr>
          <w:rFonts w:ascii="仿宋_GB2312" w:hAnsi="仿宋_GB2312" w:eastAsia="仿宋_GB2312"/>
          <w:b/>
          <w:sz w:val="32"/>
        </w:rPr>
        <w:t>财政拨款支出总计3,939.68万元，</w:t>
      </w:r>
      <w:r>
        <w:rPr>
          <w:rFonts w:ascii="仿宋_GB2312" w:hAnsi="仿宋_GB2312" w:eastAsia="仿宋_GB2312"/>
          <w:b w:val="0"/>
          <w:sz w:val="32"/>
        </w:rPr>
        <w:t>其中：年末财政拨款结转和结余0.00万元，本年财政拨款支出3,939.68万元。</w:t>
      </w:r>
    </w:p>
    <w:p w14:paraId="61B6290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增加2,486.37万元，增长171.08%，主要原因是：本年YQ防控物资支出比上年增加。</w:t>
      </w:r>
      <w:r>
        <w:rPr>
          <w:rFonts w:ascii="仿宋_GB2312" w:hAnsi="仿宋_GB2312" w:eastAsia="仿宋_GB2312"/>
          <w:b/>
          <w:sz w:val="32"/>
        </w:rPr>
        <w:t>与年初预算相比，</w:t>
      </w:r>
      <w:r>
        <w:rPr>
          <w:rFonts w:ascii="仿宋_GB2312" w:hAnsi="仿宋_GB2312" w:eastAsia="仿宋_GB2312"/>
          <w:b w:val="0"/>
          <w:sz w:val="32"/>
        </w:rPr>
        <w:t>年初预算数3,789.77万元，决算数3,939.68万元，预决算差异率3.96%，主要原因是：年中追加人员工资、社保、公积金基数调增部分资金，年中追加2024年YQ防控补助项目、导致预决算存在差异。</w:t>
      </w:r>
    </w:p>
    <w:p w14:paraId="7754AD26">
      <w:pPr>
        <w:spacing w:line="640" w:lineRule="exact"/>
        <w:ind w:firstLine="640"/>
        <w:jc w:val="both"/>
        <w:outlineLvl w:val="2"/>
      </w:pPr>
      <w:r>
        <w:rPr>
          <w:rFonts w:ascii="黑体" w:hAnsi="黑体" w:eastAsia="黑体"/>
          <w:sz w:val="32"/>
        </w:rPr>
        <w:t>五、一般公共预算财政拨款支出决算情况说明</w:t>
      </w:r>
    </w:p>
    <w:p w14:paraId="7FB74015">
      <w:pPr>
        <w:spacing w:line="640" w:lineRule="exact"/>
        <w:ind w:firstLine="640"/>
        <w:jc w:val="both"/>
        <w:outlineLvl w:val="3"/>
      </w:pPr>
      <w:r>
        <w:rPr>
          <w:rFonts w:ascii="楷体_GB2312" w:hAnsi="楷体_GB2312" w:eastAsia="楷体_GB2312"/>
          <w:b/>
          <w:sz w:val="32"/>
        </w:rPr>
        <w:t>（一）一般公共预算财政拨款支出决算总体情况</w:t>
      </w:r>
    </w:p>
    <w:p w14:paraId="6D27442B">
      <w:pPr>
        <w:spacing w:line="580" w:lineRule="exact"/>
        <w:ind w:firstLine="640"/>
        <w:jc w:val="both"/>
      </w:pPr>
      <w:r>
        <w:rPr>
          <w:rFonts w:ascii="仿宋_GB2312" w:hAnsi="仿宋_GB2312" w:eastAsia="仿宋_GB2312"/>
          <w:b/>
          <w:sz w:val="32"/>
        </w:rPr>
        <w:t>2024年度一般公共预算财政拨款支出3,939.68万元，</w:t>
      </w:r>
      <w:r>
        <w:rPr>
          <w:rFonts w:ascii="仿宋_GB2312" w:hAnsi="仿宋_GB2312" w:eastAsia="仿宋_GB2312"/>
          <w:b w:val="0"/>
          <w:sz w:val="32"/>
        </w:rPr>
        <w:t>占本年支出合计的97.78%。</w:t>
      </w:r>
      <w:r>
        <w:rPr>
          <w:rFonts w:ascii="仿宋_GB2312" w:hAnsi="仿宋_GB2312" w:eastAsia="仿宋_GB2312"/>
          <w:b/>
          <w:sz w:val="32"/>
        </w:rPr>
        <w:t>与上年相比，</w:t>
      </w:r>
      <w:r>
        <w:rPr>
          <w:rFonts w:ascii="仿宋_GB2312" w:hAnsi="仿宋_GB2312" w:eastAsia="仿宋_GB2312"/>
          <w:b w:val="0"/>
          <w:sz w:val="32"/>
        </w:rPr>
        <w:t>增加2,486.37万元，增长171.08%，主要原因是：本年YQ防控物资支出较上年增加，导致经费较上年增加。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年初预算数3,789.77万元，决算数3,939.68万元，预决算差异率3.96%，主要原因是：年中追加人员工资、社保、公积金基数调增部分资金，年中追加2024年YQ防控补助项目、导致预决算存在差异。</w:t>
      </w:r>
    </w:p>
    <w:p w14:paraId="62828DBB">
      <w:pPr>
        <w:spacing w:line="640" w:lineRule="exact"/>
        <w:ind w:firstLine="640"/>
        <w:jc w:val="both"/>
        <w:outlineLvl w:val="3"/>
      </w:pPr>
      <w:r>
        <w:rPr>
          <w:rFonts w:ascii="楷体_GB2312" w:hAnsi="楷体_GB2312" w:eastAsia="楷体_GB2312"/>
          <w:b/>
          <w:sz w:val="32"/>
        </w:rPr>
        <w:t>（二）一般公共预算财政拨款支出决算结构情况</w:t>
      </w:r>
    </w:p>
    <w:p w14:paraId="421C2EA2">
      <w:pPr>
        <w:spacing w:line="580" w:lineRule="exact"/>
        <w:ind w:firstLine="640"/>
        <w:jc w:val="both"/>
      </w:pPr>
      <w:r>
        <w:rPr>
          <w:rFonts w:ascii="仿宋_GB2312" w:hAnsi="仿宋_GB2312" w:eastAsia="仿宋_GB2312"/>
          <w:b w:val="0"/>
          <w:sz w:val="32"/>
        </w:rPr>
        <w:t>1.社会保障和就业支出(类)80.81万元,占2.05%。</w:t>
      </w:r>
    </w:p>
    <w:p w14:paraId="63AD710B">
      <w:pPr>
        <w:spacing w:line="580" w:lineRule="exact"/>
        <w:ind w:firstLine="640"/>
        <w:jc w:val="both"/>
      </w:pPr>
      <w:r>
        <w:rPr>
          <w:rFonts w:ascii="仿宋_GB2312" w:hAnsi="仿宋_GB2312" w:eastAsia="仿宋_GB2312"/>
          <w:b w:val="0"/>
          <w:sz w:val="32"/>
        </w:rPr>
        <w:t>2.卫生健康支出(类)3,826.55万元,占97.13%。</w:t>
      </w:r>
    </w:p>
    <w:p w14:paraId="0BC144BE">
      <w:pPr>
        <w:spacing w:line="580" w:lineRule="exact"/>
        <w:ind w:firstLine="640"/>
        <w:jc w:val="both"/>
      </w:pPr>
      <w:r>
        <w:rPr>
          <w:rFonts w:ascii="仿宋_GB2312" w:hAnsi="仿宋_GB2312" w:eastAsia="仿宋_GB2312"/>
          <w:b w:val="0"/>
          <w:sz w:val="32"/>
        </w:rPr>
        <w:t>3.住房保障支出(类)32.32万元,占0.82%。</w:t>
      </w:r>
    </w:p>
    <w:p w14:paraId="62FAA49C">
      <w:pPr>
        <w:spacing w:line="640" w:lineRule="exact"/>
        <w:ind w:firstLine="640"/>
        <w:jc w:val="both"/>
        <w:outlineLvl w:val="3"/>
      </w:pPr>
      <w:r>
        <w:rPr>
          <w:rFonts w:ascii="楷体_GB2312" w:hAnsi="楷体_GB2312" w:eastAsia="楷体_GB2312"/>
          <w:b/>
          <w:sz w:val="32"/>
        </w:rPr>
        <w:t>（三）一般公共预算财政拨款支出决算具体情况</w:t>
      </w:r>
    </w:p>
    <w:p w14:paraId="4C44B801">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1.社会保障和就业支出(类)行政事业单位养老支出(款)事业单位离退休(项):支出决算数为33.42万元，比上年决算增加5.74万元，增长20.74%,主要原因是：本年增加退休人员基础绩效奖，退休费支出增加。</w:t>
      </w:r>
    </w:p>
    <w:p w14:paraId="05BF9CEC">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38.55万元，比上年决算增加6.73万元，增长21.15%,主要原因是：本年在职人员工资基数调增，养老缴费基数上涨，相应支出增加。</w:t>
      </w:r>
    </w:p>
    <w:p w14:paraId="4454A2BC">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8.84万元，比上年决算减少5.51万元，下降38.40%,主要原因是：本年新增退休人员较上年减少，职业年金缴费较上年减少。</w:t>
      </w:r>
    </w:p>
    <w:p w14:paraId="293847B3">
      <w:pPr>
        <w:spacing w:line="580" w:lineRule="exact"/>
        <w:ind w:firstLine="640"/>
        <w:jc w:val="both"/>
      </w:pPr>
      <w:r>
        <w:rPr>
          <w:rFonts w:ascii="仿宋_GB2312" w:hAnsi="仿宋_GB2312" w:eastAsia="仿宋_GB2312"/>
          <w:b w:val="0"/>
          <w:sz w:val="32"/>
        </w:rPr>
        <w:t>4.卫生健康支出(类)公共卫生(款)疾病预防控制机构(项):支出决算数为323.71万元，比上年决算减少53.39万元，下降14.16%,主要原因是：本年人员减少，工资等相关人员经费减少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本年减少人员奖金支出</w:t>
      </w:r>
      <w:r>
        <w:rPr>
          <w:rFonts w:ascii="仿宋_GB2312" w:hAnsi="仿宋_GB2312" w:eastAsia="仿宋_GB2312"/>
          <w:b w:val="0"/>
          <w:sz w:val="32"/>
        </w:rPr>
        <w:t>。</w:t>
      </w:r>
    </w:p>
    <w:p w14:paraId="1129C065">
      <w:pPr>
        <w:spacing w:line="580" w:lineRule="exact"/>
        <w:ind w:firstLine="640"/>
        <w:jc w:val="both"/>
      </w:pPr>
      <w:r>
        <w:rPr>
          <w:rFonts w:ascii="仿宋_GB2312" w:hAnsi="仿宋_GB2312" w:eastAsia="仿宋_GB2312"/>
          <w:b w:val="0"/>
          <w:sz w:val="32"/>
        </w:rPr>
        <w:t>5.卫生健康支出(类)公共卫生(款)基本公共卫生服务(项):支出决算数为16.11万元，比上年决算增加8.20万元，增长103.67%,主要原因是：本年增加地方病支出，职业病支出项目资金。</w:t>
      </w:r>
    </w:p>
    <w:p w14:paraId="6A05E5F1">
      <w:pPr>
        <w:spacing w:line="580" w:lineRule="exact"/>
        <w:ind w:firstLine="640"/>
        <w:jc w:val="both"/>
      </w:pPr>
      <w:r>
        <w:rPr>
          <w:rFonts w:ascii="仿宋_GB2312" w:hAnsi="仿宋_GB2312" w:eastAsia="仿宋_GB2312"/>
          <w:b w:val="0"/>
          <w:sz w:val="32"/>
        </w:rPr>
        <w:t>6.卫生健康支出(类)公共卫生(款)重大公共卫生服务(项):支出决算数为266.79万元，比上年决算增加60.95万元，增长29.61%,主要原因是：本年增加AZB，结核病，心血管，免疫规划支出项目资金。</w:t>
      </w:r>
    </w:p>
    <w:p w14:paraId="18B113AA">
      <w:pPr>
        <w:spacing w:line="580" w:lineRule="exact"/>
        <w:ind w:firstLine="640"/>
        <w:jc w:val="both"/>
      </w:pPr>
      <w:r>
        <w:rPr>
          <w:rFonts w:ascii="仿宋_GB2312" w:hAnsi="仿宋_GB2312" w:eastAsia="仿宋_GB2312"/>
          <w:b w:val="0"/>
          <w:sz w:val="32"/>
        </w:rPr>
        <w:t>7.卫生健康支出(类)公共卫生(款)突发公共卫生事件应急处置(项):支出决算数为3,203.54万元，比上年决算增加2,496.11万元，增长352.84%,主要原因是：本年增加YQ防控物资支出项目资金。</w:t>
      </w:r>
    </w:p>
    <w:p w14:paraId="43B1DC0E">
      <w:pPr>
        <w:spacing w:line="580" w:lineRule="exact"/>
        <w:ind w:firstLine="640"/>
        <w:jc w:val="both"/>
      </w:pPr>
      <w:r>
        <w:rPr>
          <w:rFonts w:ascii="仿宋_GB2312" w:hAnsi="仿宋_GB2312" w:eastAsia="仿宋_GB2312"/>
          <w:b w:val="0"/>
          <w:sz w:val="32"/>
        </w:rPr>
        <w:t>8.卫生健康支出(类)行政事业单位医疗(款)事业单位医疗(项):支出决算数为16.40万元，比上年决算减少8.53万元，下降34.22%,主要原因是：本年在职人员减少，事业单位医疗支出较上年减少。</w:t>
      </w:r>
    </w:p>
    <w:p w14:paraId="65733918">
      <w:pPr>
        <w:spacing w:line="580" w:lineRule="exact"/>
        <w:ind w:firstLine="640"/>
        <w:jc w:val="both"/>
      </w:pPr>
      <w:r>
        <w:rPr>
          <w:rFonts w:ascii="仿宋_GB2312" w:hAnsi="仿宋_GB2312" w:eastAsia="仿宋_GB2312"/>
          <w:b w:val="0"/>
          <w:sz w:val="32"/>
        </w:rPr>
        <w:t>9.卫生健康支出(类)其他卫生健康支出(款)其他卫生健康支出(项):支出决算数为0.00万元，比上年决算减少26.79万元，下降100.00%,主要原因是：本年减少疾控中心基本公共卫生建设项目。</w:t>
      </w:r>
    </w:p>
    <w:p w14:paraId="239A087E">
      <w:pPr>
        <w:spacing w:line="580" w:lineRule="exact"/>
        <w:ind w:firstLine="640"/>
        <w:jc w:val="both"/>
      </w:pPr>
      <w:r>
        <w:rPr>
          <w:rFonts w:ascii="仿宋_GB2312" w:hAnsi="仿宋_GB2312" w:eastAsia="仿宋_GB2312"/>
          <w:b w:val="0"/>
          <w:sz w:val="32"/>
        </w:rPr>
        <w:t>10.住房保障支出(类)住房改革支出(款)住房公积金(项):支出决算数为32.32万元，比上年决算增加2.86万元，增长9.71%,主要原因是：本年在职人员工资基数调增，公积金缴费基数上涨，相应支出增加。</w:t>
      </w:r>
    </w:p>
    <w:p w14:paraId="57E13CD7">
      <w:pPr>
        <w:spacing w:line="640" w:lineRule="exact"/>
        <w:ind w:firstLine="640"/>
        <w:jc w:val="both"/>
        <w:outlineLvl w:val="2"/>
      </w:pPr>
      <w:r>
        <w:rPr>
          <w:rFonts w:ascii="黑体" w:hAnsi="黑体" w:eastAsia="黑体"/>
          <w:sz w:val="32"/>
        </w:rPr>
        <w:t>六、一般公共预算财政拨款基本支出决算情况说明</w:t>
      </w:r>
    </w:p>
    <w:p w14:paraId="006564FC">
      <w:pPr>
        <w:spacing w:line="580" w:lineRule="exact"/>
        <w:ind w:firstLine="640"/>
        <w:jc w:val="both"/>
      </w:pPr>
      <w:r>
        <w:rPr>
          <w:rFonts w:ascii="仿宋_GB2312" w:hAnsi="仿宋_GB2312" w:eastAsia="仿宋_GB2312"/>
          <w:b w:val="0"/>
          <w:sz w:val="32"/>
        </w:rPr>
        <w:t>2024年度一般公共预算财政拨款基本支出453.25万元，其中：</w:t>
      </w:r>
      <w:r>
        <w:rPr>
          <w:rFonts w:ascii="仿宋_GB2312" w:hAnsi="仿宋_GB2312" w:eastAsia="仿宋_GB2312"/>
          <w:b/>
          <w:sz w:val="32"/>
        </w:rPr>
        <w:t>人员经费438.63万元，</w:t>
      </w:r>
      <w:r>
        <w:rPr>
          <w:rFonts w:ascii="仿宋_GB2312" w:hAnsi="仿宋_GB2312" w:eastAsia="仿宋_GB2312"/>
          <w:b w:val="0"/>
          <w:sz w:val="32"/>
        </w:rPr>
        <w:t>包括：基本工资、津贴补贴、绩效工资、机关事业单位基本养老保险缴费、职业年金缴费、职工基本医疗保险缴费、其他社会保障缴费、住房公积金、退休费、抚恤金、生活补助。</w:t>
      </w:r>
    </w:p>
    <w:p w14:paraId="60F6063A">
      <w:pPr>
        <w:spacing w:line="580" w:lineRule="exact"/>
        <w:ind w:firstLine="640"/>
        <w:jc w:val="both"/>
      </w:pPr>
      <w:r>
        <w:rPr>
          <w:rFonts w:ascii="仿宋_GB2312" w:hAnsi="仿宋_GB2312" w:eastAsia="仿宋_GB2312"/>
          <w:b/>
          <w:sz w:val="32"/>
        </w:rPr>
        <w:t>公用经费14.61万元，</w:t>
      </w:r>
      <w:r>
        <w:rPr>
          <w:rFonts w:ascii="仿宋_GB2312" w:hAnsi="仿宋_GB2312" w:eastAsia="仿宋_GB2312"/>
          <w:b w:val="0"/>
          <w:sz w:val="32"/>
        </w:rPr>
        <w:t>包括：办公费、水费、电费、取暖费、差旅费、劳务费、公务用车运行维护费。</w:t>
      </w:r>
    </w:p>
    <w:p w14:paraId="2CAB2F4D">
      <w:pPr>
        <w:spacing w:line="640" w:lineRule="exact"/>
        <w:ind w:firstLine="640"/>
        <w:jc w:val="both"/>
        <w:outlineLvl w:val="2"/>
      </w:pPr>
      <w:r>
        <w:rPr>
          <w:rFonts w:ascii="黑体" w:hAnsi="黑体" w:eastAsia="黑体"/>
          <w:sz w:val="32"/>
        </w:rPr>
        <w:t>七、政府性基金预算财政拨款收入支出决算情况说明</w:t>
      </w:r>
    </w:p>
    <w:p w14:paraId="6C48485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DC2DE9D">
      <w:pPr>
        <w:spacing w:line="640" w:lineRule="exact"/>
        <w:ind w:firstLine="640"/>
        <w:jc w:val="both"/>
        <w:outlineLvl w:val="2"/>
      </w:pPr>
      <w:r>
        <w:rPr>
          <w:rFonts w:ascii="黑体" w:hAnsi="黑体" w:eastAsia="黑体"/>
          <w:sz w:val="32"/>
        </w:rPr>
        <w:t>八、国有资本经营预算财政拨款收入支出决算情况说明</w:t>
      </w:r>
    </w:p>
    <w:p w14:paraId="169F201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DF3834F">
      <w:pPr>
        <w:spacing w:line="640" w:lineRule="exact"/>
        <w:ind w:firstLine="640"/>
        <w:jc w:val="both"/>
        <w:outlineLvl w:val="2"/>
      </w:pPr>
      <w:r>
        <w:rPr>
          <w:rFonts w:ascii="黑体" w:hAnsi="黑体" w:eastAsia="黑体"/>
          <w:sz w:val="32"/>
        </w:rPr>
        <w:t>九、财政拨款“三公”经费支出决算情况说明</w:t>
      </w:r>
    </w:p>
    <w:p w14:paraId="4FCB5066">
      <w:pPr>
        <w:spacing w:line="580" w:lineRule="exact"/>
        <w:ind w:firstLine="640"/>
        <w:jc w:val="both"/>
      </w:pPr>
      <w:r>
        <w:rPr>
          <w:rFonts w:ascii="仿宋_GB2312" w:hAnsi="仿宋_GB2312" w:eastAsia="仿宋_GB2312"/>
          <w:b/>
          <w:sz w:val="32"/>
        </w:rPr>
        <w:t>2024年度财政拨款“三公”经费支出1.62万元，</w:t>
      </w:r>
      <w:r>
        <w:rPr>
          <w:rFonts w:ascii="仿宋_GB2312" w:hAnsi="仿宋_GB2312" w:eastAsia="仿宋_GB2312"/>
          <w:b w:val="0"/>
          <w:sz w:val="32"/>
        </w:rPr>
        <w:t>比上年减少2.60万元，下降61.61%，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1.62万元，占100.00%，比上年减少2.60万元，下降61.61%，主要原因是：严格落实中央八项规定精神，厉行节约，减少公务用车运行维护费。公务接待费支出0.00万元，占0.00%，比上年增加0.00万元，增长0.00%，主要原因是：2023年与2024年均未安排公务接待费支出。</w:t>
      </w:r>
    </w:p>
    <w:p w14:paraId="376A1C7D">
      <w:pPr>
        <w:spacing w:line="580" w:lineRule="exact"/>
        <w:ind w:firstLine="640"/>
        <w:jc w:val="both"/>
      </w:pPr>
      <w:r>
        <w:rPr>
          <w:rFonts w:ascii="仿宋_GB2312" w:hAnsi="仿宋_GB2312" w:eastAsia="仿宋_GB2312"/>
          <w:b/>
          <w:sz w:val="32"/>
        </w:rPr>
        <w:t>具体情况如下：</w:t>
      </w:r>
    </w:p>
    <w:p w14:paraId="7C2A17E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3A7D3C1">
      <w:pPr>
        <w:spacing w:line="580" w:lineRule="exact"/>
        <w:ind w:firstLine="640"/>
        <w:jc w:val="both"/>
      </w:pPr>
      <w:r>
        <w:rPr>
          <w:rFonts w:ascii="仿宋_GB2312" w:hAnsi="仿宋_GB2312" w:eastAsia="仿宋_GB2312"/>
          <w:b w:val="0"/>
          <w:sz w:val="32"/>
        </w:rPr>
        <w:t>公务用车购置及运行维护费1.62万元，其中：公务用车购置费0.00万元，公务用车运行维护费1.62万元。公务用车运行维护费开支内容包括车辆加油费，车辆维修费，车辆保险费。公务用车购置数0辆，公务用车保有量2辆。国有资产占用情况中固定资产车辆5辆，与公务用车保有量差异原因是：单位业务用车，车辆费用未使用财政拨款公务用车运行维护费支付，由单位自有资金保障。</w:t>
      </w:r>
    </w:p>
    <w:p w14:paraId="294027B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B31594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1.62万元，决算数1.62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1.62万元，决算数1.62万元，预决算差异率0.00%，主要原因是：严格按照预算执行，预决算无差异。公务接待费全年预算数0.00万元，决算数0.00万元，预决算差异率0.00%，主要原因是：本单位无公务接待费。</w:t>
      </w:r>
    </w:p>
    <w:p w14:paraId="3217D381">
      <w:pPr>
        <w:spacing w:line="640" w:lineRule="exact"/>
        <w:ind w:firstLine="640"/>
        <w:jc w:val="both"/>
        <w:outlineLvl w:val="2"/>
      </w:pPr>
      <w:r>
        <w:rPr>
          <w:rFonts w:ascii="黑体" w:hAnsi="黑体" w:eastAsia="黑体"/>
          <w:sz w:val="32"/>
        </w:rPr>
        <w:t>十、其他重要事项的情况说明</w:t>
      </w:r>
    </w:p>
    <w:p w14:paraId="41B5F6F5">
      <w:pPr>
        <w:spacing w:line="640" w:lineRule="exact"/>
        <w:ind w:firstLine="640"/>
        <w:jc w:val="both"/>
        <w:outlineLvl w:val="3"/>
      </w:pPr>
      <w:r>
        <w:rPr>
          <w:rFonts w:ascii="楷体_GB2312" w:hAnsi="楷体_GB2312" w:eastAsia="楷体_GB2312"/>
          <w:b/>
          <w:sz w:val="32"/>
        </w:rPr>
        <w:t>（一）机关运行经费及公用经费支出情况</w:t>
      </w:r>
    </w:p>
    <w:p w14:paraId="471BDB76">
      <w:pPr>
        <w:spacing w:line="580" w:lineRule="exact"/>
        <w:ind w:firstLine="640"/>
        <w:jc w:val="both"/>
      </w:pPr>
      <w:r>
        <w:rPr>
          <w:rFonts w:ascii="仿宋_GB2312" w:hAnsi="仿宋_GB2312" w:eastAsia="仿宋_GB2312"/>
          <w:b w:val="0"/>
          <w:sz w:val="32"/>
        </w:rPr>
        <w:t>2024年度岳普湖县疾病预防控制中心（事业单位）公用经费支出14.61万元，比上年减少4.85万元，下降24.92%，主要原因是：严格控制公用经费，合理节约办公用品，减少不必要开支。</w:t>
      </w:r>
    </w:p>
    <w:p w14:paraId="7F583D8C">
      <w:pPr>
        <w:spacing w:line="640" w:lineRule="exact"/>
        <w:ind w:firstLine="640"/>
        <w:jc w:val="both"/>
        <w:outlineLvl w:val="3"/>
      </w:pPr>
      <w:r>
        <w:rPr>
          <w:rFonts w:ascii="楷体_GB2312" w:hAnsi="楷体_GB2312" w:eastAsia="楷体_GB2312"/>
          <w:b/>
          <w:sz w:val="32"/>
        </w:rPr>
        <w:t>（二）政府采购情况</w:t>
      </w:r>
    </w:p>
    <w:p w14:paraId="1B89EE90">
      <w:pPr>
        <w:spacing w:line="580" w:lineRule="exact"/>
        <w:ind w:firstLine="640"/>
        <w:jc w:val="both"/>
      </w:pPr>
      <w:r>
        <w:rPr>
          <w:rFonts w:ascii="仿宋_GB2312" w:hAnsi="仿宋_GB2312" w:eastAsia="仿宋_GB2312"/>
          <w:b w:val="0"/>
          <w:sz w:val="32"/>
        </w:rPr>
        <w:t>2024年度政府采购支出总额2.96万元，其中：政府采购货物支出2.44万元、政府采购工程支出0.00万元、政府采购服务支出0.53万元。</w:t>
      </w:r>
    </w:p>
    <w:p w14:paraId="7D6D1B23">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00BE59C5">
      <w:pPr>
        <w:spacing w:line="640" w:lineRule="exact"/>
        <w:ind w:firstLine="640"/>
        <w:jc w:val="both"/>
        <w:outlineLvl w:val="3"/>
      </w:pPr>
      <w:r>
        <w:rPr>
          <w:rFonts w:ascii="楷体_GB2312" w:hAnsi="楷体_GB2312" w:eastAsia="楷体_GB2312"/>
          <w:b/>
          <w:sz w:val="32"/>
        </w:rPr>
        <w:t>（三）国有资产占用情况说明</w:t>
      </w:r>
    </w:p>
    <w:p w14:paraId="5334A1C5">
      <w:pPr>
        <w:spacing w:line="580" w:lineRule="exact"/>
        <w:ind w:firstLine="640"/>
        <w:jc w:val="both"/>
      </w:pPr>
      <w:r>
        <w:rPr>
          <w:rFonts w:ascii="仿宋_GB2312" w:hAnsi="仿宋_GB2312" w:eastAsia="仿宋_GB2312"/>
          <w:b w:val="0"/>
          <w:sz w:val="32"/>
        </w:rPr>
        <w:t>截至2024年12月31日，房屋1,000.00平方米，价值150.00万元。车辆5辆，价值82.16万元，其中：副部（省）级及以上领导用车0辆、主要负责人用车0辆、机要通信用车0辆、应急保障用车0辆、执法执勤用车0辆、特种专业技术用车3辆、离退休干部服务用车0辆、其他用车2辆，其他用车主要是：单位业务用车。单价100万元（含）以上设备（不含车辆）1台（套）。</w:t>
      </w:r>
    </w:p>
    <w:p w14:paraId="676F4571">
      <w:pPr>
        <w:spacing w:line="640" w:lineRule="exact"/>
        <w:ind w:firstLine="640"/>
        <w:jc w:val="both"/>
        <w:outlineLvl w:val="2"/>
      </w:pPr>
      <w:r>
        <w:rPr>
          <w:rFonts w:ascii="黑体" w:hAnsi="黑体" w:eastAsia="黑体"/>
          <w:sz w:val="32"/>
        </w:rPr>
        <w:t>十一、预算绩效的情况说明</w:t>
      </w:r>
    </w:p>
    <w:p w14:paraId="511AE68F">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w:t>
      </w:r>
      <w:bookmarkStart w:id="0" w:name="_GoBack"/>
      <w:r>
        <w:rPr>
          <w:rFonts w:ascii="仿宋_GB2312" w:hAnsi="仿宋_GB2312" w:eastAsia="仿宋_GB2312"/>
          <w:b w:val="0"/>
          <w:sz w:val="32"/>
        </w:rPr>
        <w:t>本单位无项目绩效自评表。</w:t>
      </w:r>
    </w:p>
    <w:bookmarkEnd w:id="0"/>
    <w:p w14:paraId="64888780">
      <w:r>
        <w:br w:type="page"/>
      </w:r>
    </w:p>
    <w:p w14:paraId="67FC2A14">
      <w:pPr>
        <w:spacing w:line="640" w:lineRule="exact"/>
        <w:ind w:firstLine="640"/>
        <w:jc w:val="both"/>
        <w:outlineLvl w:val="2"/>
      </w:pPr>
      <w:r>
        <w:rPr>
          <w:rFonts w:ascii="黑体" w:hAnsi="黑体" w:eastAsia="黑体"/>
          <w:sz w:val="32"/>
        </w:rPr>
        <w:t>十二、其他需说明的事项</w:t>
      </w:r>
    </w:p>
    <w:p w14:paraId="54EE64EA">
      <w:pPr>
        <w:spacing w:line="580" w:lineRule="exact"/>
        <w:ind w:firstLine="640"/>
        <w:jc w:val="both"/>
      </w:pPr>
      <w:r>
        <w:rPr>
          <w:rFonts w:ascii="仿宋_GB2312" w:hAnsi="仿宋_GB2312" w:eastAsia="仿宋_GB2312"/>
          <w:b w:val="0"/>
          <w:sz w:val="32"/>
        </w:rPr>
        <w:t>本年度本单位整体绩效自评表由岳普湖县卫生健康委员会编报并公开。</w:t>
      </w:r>
    </w:p>
    <w:p w14:paraId="5937B5EA">
      <w:pPr>
        <w:spacing w:line="580" w:lineRule="exact"/>
        <w:ind w:firstLine="640"/>
        <w:jc w:val="both"/>
      </w:pPr>
      <w:r>
        <w:rPr>
          <w:rFonts w:ascii="仿宋_GB2312" w:hAnsi="仿宋_GB2312" w:eastAsia="仿宋_GB2312"/>
          <w:b w:val="0"/>
          <w:sz w:val="32"/>
        </w:rPr>
        <w:t>本年度本单位政府采购为大型企业采购，故授予中小企业合同金额为0.00万元。</w:t>
      </w:r>
    </w:p>
    <w:p w14:paraId="52FD0C0C">
      <w:r>
        <w:br w:type="page"/>
      </w:r>
    </w:p>
    <w:p w14:paraId="3CFD4043">
      <w:pPr>
        <w:spacing w:line="240" w:lineRule="auto"/>
        <w:jc w:val="center"/>
        <w:outlineLvl w:val="1"/>
      </w:pPr>
      <w:r>
        <w:rPr>
          <w:rFonts w:ascii="黑体" w:hAnsi="黑体" w:eastAsia="黑体"/>
          <w:sz w:val="32"/>
        </w:rPr>
        <w:t>第三部分 专业名词解释</w:t>
      </w:r>
    </w:p>
    <w:p w14:paraId="0B9E359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4ACDA4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C53F97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41BE4A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55B221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88BBED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47E046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ED854B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EE7350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6BCA70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0EF363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AD5681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3C0612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EE9690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E2067A3">
      <w:r>
        <w:br w:type="page"/>
      </w:r>
    </w:p>
    <w:p w14:paraId="40344403">
      <w:pPr>
        <w:spacing w:line="240" w:lineRule="auto"/>
        <w:jc w:val="center"/>
        <w:outlineLvl w:val="1"/>
      </w:pPr>
      <w:r>
        <w:rPr>
          <w:rFonts w:ascii="黑体" w:hAnsi="黑体" w:eastAsia="黑体"/>
          <w:sz w:val="32"/>
        </w:rPr>
        <w:t>第四部分 部门决算报表（见附表）</w:t>
      </w:r>
    </w:p>
    <w:p w14:paraId="6ED64266">
      <w:pPr>
        <w:spacing w:line="240" w:lineRule="auto"/>
        <w:ind w:firstLine="640"/>
        <w:jc w:val="both"/>
      </w:pPr>
      <w:r>
        <w:rPr>
          <w:rFonts w:ascii="仿宋_GB2312" w:hAnsi="仿宋_GB2312" w:eastAsia="仿宋_GB2312"/>
          <w:b w:val="0"/>
          <w:sz w:val="32"/>
        </w:rPr>
        <w:t>一、《收入支出决算总表》</w:t>
      </w:r>
    </w:p>
    <w:p w14:paraId="3C9B5C3F">
      <w:pPr>
        <w:spacing w:line="240" w:lineRule="auto"/>
        <w:ind w:firstLine="640"/>
        <w:jc w:val="both"/>
      </w:pPr>
      <w:r>
        <w:rPr>
          <w:rFonts w:ascii="仿宋_GB2312" w:hAnsi="仿宋_GB2312" w:eastAsia="仿宋_GB2312"/>
          <w:b w:val="0"/>
          <w:sz w:val="32"/>
        </w:rPr>
        <w:t>二、《收入决算表》</w:t>
      </w:r>
    </w:p>
    <w:p w14:paraId="57BE14D4">
      <w:pPr>
        <w:spacing w:line="240" w:lineRule="auto"/>
        <w:ind w:firstLine="640"/>
        <w:jc w:val="both"/>
      </w:pPr>
      <w:r>
        <w:rPr>
          <w:rFonts w:ascii="仿宋_GB2312" w:hAnsi="仿宋_GB2312" w:eastAsia="仿宋_GB2312"/>
          <w:b w:val="0"/>
          <w:sz w:val="32"/>
        </w:rPr>
        <w:t>三、《支出决算表》</w:t>
      </w:r>
    </w:p>
    <w:p w14:paraId="4848AFB5">
      <w:pPr>
        <w:spacing w:line="240" w:lineRule="auto"/>
        <w:ind w:firstLine="640"/>
        <w:jc w:val="both"/>
      </w:pPr>
      <w:r>
        <w:rPr>
          <w:rFonts w:ascii="仿宋_GB2312" w:hAnsi="仿宋_GB2312" w:eastAsia="仿宋_GB2312"/>
          <w:b w:val="0"/>
          <w:sz w:val="32"/>
        </w:rPr>
        <w:t>四、《财政拨款收入支出决算总表》</w:t>
      </w:r>
    </w:p>
    <w:p w14:paraId="2318E450">
      <w:pPr>
        <w:spacing w:line="240" w:lineRule="auto"/>
        <w:ind w:firstLine="640"/>
        <w:jc w:val="both"/>
      </w:pPr>
      <w:r>
        <w:rPr>
          <w:rFonts w:ascii="仿宋_GB2312" w:hAnsi="仿宋_GB2312" w:eastAsia="仿宋_GB2312"/>
          <w:b w:val="0"/>
          <w:sz w:val="32"/>
        </w:rPr>
        <w:t>五、《一般公共预算财政拨款支出决算表》</w:t>
      </w:r>
    </w:p>
    <w:p w14:paraId="6FF897E8">
      <w:pPr>
        <w:spacing w:line="240" w:lineRule="auto"/>
        <w:ind w:firstLine="640"/>
        <w:jc w:val="both"/>
      </w:pPr>
      <w:r>
        <w:rPr>
          <w:rFonts w:ascii="仿宋_GB2312" w:hAnsi="仿宋_GB2312" w:eastAsia="仿宋_GB2312"/>
          <w:b w:val="0"/>
          <w:sz w:val="32"/>
        </w:rPr>
        <w:t>六、《一般公共预算财政拨款基本支出决算表》</w:t>
      </w:r>
    </w:p>
    <w:p w14:paraId="276BB1C0">
      <w:pPr>
        <w:spacing w:line="240" w:lineRule="auto"/>
        <w:ind w:firstLine="640"/>
        <w:jc w:val="both"/>
      </w:pPr>
      <w:r>
        <w:rPr>
          <w:rFonts w:ascii="仿宋_GB2312" w:hAnsi="仿宋_GB2312" w:eastAsia="仿宋_GB2312"/>
          <w:b w:val="0"/>
          <w:sz w:val="32"/>
        </w:rPr>
        <w:t>七、《政府性基金预算财政拨款收入支出决算表》</w:t>
      </w:r>
    </w:p>
    <w:p w14:paraId="4B54A7AA">
      <w:pPr>
        <w:spacing w:line="240" w:lineRule="auto"/>
        <w:ind w:firstLine="640"/>
        <w:jc w:val="both"/>
      </w:pPr>
      <w:r>
        <w:rPr>
          <w:rFonts w:ascii="仿宋_GB2312" w:hAnsi="仿宋_GB2312" w:eastAsia="仿宋_GB2312"/>
          <w:b w:val="0"/>
          <w:sz w:val="32"/>
        </w:rPr>
        <w:t>八、《国有资本经营预算财政拨款收入支出决算表》</w:t>
      </w:r>
    </w:p>
    <w:p w14:paraId="04704EFA">
      <w:pPr>
        <w:spacing w:line="240" w:lineRule="auto"/>
        <w:ind w:firstLine="640"/>
        <w:jc w:val="both"/>
      </w:pPr>
      <w:r>
        <w:rPr>
          <w:rFonts w:ascii="仿宋_GB2312" w:hAnsi="仿宋_GB2312" w:eastAsia="仿宋_GB2312"/>
          <w:b w:val="0"/>
          <w:sz w:val="32"/>
        </w:rPr>
        <w:t>九、《财政拨款“三公”经费支出决算表》</w:t>
      </w:r>
    </w:p>
    <w:p w14:paraId="0434178F">
      <w:pPr>
        <w:spacing w:line="240" w:lineRule="auto"/>
        <w:ind w:firstLine="640"/>
        <w:jc w:val="both"/>
      </w:pPr>
    </w:p>
    <w:p w14:paraId="3BF358B0">
      <w:pPr>
        <w:spacing w:line="240" w:lineRule="auto"/>
        <w:ind w:firstLine="640"/>
        <w:jc w:val="both"/>
      </w:pPr>
    </w:p>
    <w:p w14:paraId="7D59443A">
      <w:pPr>
        <w:spacing w:line="240" w:lineRule="auto"/>
        <w:ind w:firstLine="640"/>
        <w:jc w:val="both"/>
      </w:pPr>
    </w:p>
    <w:p w14:paraId="0EE3EC71">
      <w:pPr>
        <w:spacing w:line="240" w:lineRule="auto"/>
        <w:ind w:firstLine="640"/>
        <w:jc w:val="both"/>
      </w:pPr>
    </w:p>
    <w:p w14:paraId="4C9499A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072294B-2D2E-4194-A876-DCCBBF2012F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A5C29464-E3F8-4E47-AC88-5D784BA09AA9}"/>
  </w:font>
  <w:font w:name="仿宋_GB2312">
    <w:panose1 w:val="02010609030101010101"/>
    <w:charset w:val="86"/>
    <w:family w:val="modern"/>
    <w:pitch w:val="default"/>
    <w:sig w:usb0="00000001" w:usb1="080E0000" w:usb2="00000000" w:usb3="00000000" w:csb0="00040000" w:csb1="00000000"/>
    <w:embedRegular r:id="rId3" w:fontKey="{5C1D7936-7583-4180-8276-B7E68C88B6A5}"/>
  </w:font>
  <w:font w:name="楷体_GB2312">
    <w:panose1 w:val="02010609030101010101"/>
    <w:charset w:val="86"/>
    <w:family w:val="auto"/>
    <w:pitch w:val="default"/>
    <w:sig w:usb0="00000001" w:usb1="080E0000" w:usb2="00000000" w:usb3="00000000" w:csb0="00040000" w:csb1="00000000"/>
    <w:embedRegular r:id="rId4" w:fontKey="{086A38FF-9AE9-451A-ABAD-857B02098592}"/>
  </w:font>
  <w:font w:name="Arial">
    <w:panose1 w:val="020B0604020202020204"/>
    <w:charset w:val="00"/>
    <w:family w:val="auto"/>
    <w:pitch w:val="default"/>
    <w:sig w:usb0="E0002EFF" w:usb1="C000785B" w:usb2="00000009" w:usb3="00000000" w:csb0="400001FF" w:csb1="FFFF0000"/>
  </w:font>
  <w:font w:name="方正仿宋_GB2312">
    <w:panose1 w:val="02000000000000000000"/>
    <w:charset w:val="86"/>
    <w:family w:val="auto"/>
    <w:pitch w:val="default"/>
    <w:sig w:usb0="A00002BF" w:usb1="184F6CFA" w:usb2="00000012" w:usb3="00000000" w:csb0="00040001" w:csb1="00000000"/>
    <w:embedRegular r:id="rId5" w:fontKey="{E60A3732-D95F-4E33-804C-F611379DA15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8F145D1"/>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CE917E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5674</Words>
  <Characters>6403</Characters>
  <Lines>0</Lines>
  <Paragraphs>0</Paragraphs>
  <TotalTime>10</TotalTime>
  <ScaleCrop>false</ScaleCrop>
  <LinksUpToDate>false</LinksUpToDate>
  <CharactersWithSpaces>6413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2025-09-12T10:39:56Z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