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00F2A8">
      <w:r>
        <w:br w:type="page"/>
      </w:r>
    </w:p>
    <w:p w14:paraId="580BBF0E">
      <w:pPr>
        <w:spacing w:line="640" w:lineRule="exact"/>
        <w:jc w:val="center"/>
        <w:outlineLvl w:val="1"/>
      </w:pPr>
      <w:r>
        <w:rPr>
          <w:rFonts w:ascii="黑体" w:hAnsi="黑体" w:eastAsia="黑体"/>
          <w:sz w:val="32"/>
        </w:rPr>
        <w:t>第一部分 单位概况</w:t>
      </w:r>
    </w:p>
    <w:p w14:paraId="3CF0E98D">
      <w:pPr>
        <w:spacing w:line="640" w:lineRule="exact"/>
        <w:ind w:firstLine="640"/>
        <w:jc w:val="both"/>
        <w:outlineLvl w:val="2"/>
      </w:pPr>
      <w:r>
        <w:rPr>
          <w:rFonts w:ascii="黑体" w:hAnsi="黑体" w:eastAsia="黑体"/>
          <w:sz w:val="32"/>
        </w:rPr>
        <w:t>一、主要职能</w:t>
      </w:r>
    </w:p>
    <w:p w14:paraId="792E6F56">
      <w:pPr>
        <w:spacing w:line="580" w:lineRule="exact"/>
        <w:ind w:firstLine="640"/>
        <w:jc w:val="both"/>
      </w:pPr>
      <w:r>
        <w:rPr>
          <w:rFonts w:ascii="仿宋_GB2312" w:hAnsi="仿宋_GB2312" w:eastAsia="仿宋_GB2312"/>
          <w:sz w:val="32"/>
        </w:rPr>
        <w:t>岳普湖县红十字会是从事人道主义工作的社会救助团体，主要承担着备灾救灾、募捐救助、初级卫生救护培训、社区红十字服务宣传推动无偿献血、中国造血干细胞捐献者资料库建设、宣传预防</w:t>
      </w:r>
      <w:r>
        <w:rPr>
          <w:rFonts w:hint="eastAsia" w:ascii="仿宋_GB2312" w:hAnsi="仿宋_GB2312" w:eastAsia="仿宋_GB2312"/>
          <w:sz w:val="32"/>
          <w:lang w:val="en-US" w:eastAsia="zh-CN"/>
        </w:rPr>
        <w:t>AZB</w:t>
      </w:r>
      <w:r>
        <w:rPr>
          <w:rFonts w:ascii="仿宋_GB2312" w:hAnsi="仿宋_GB2312" w:eastAsia="仿宋_GB2312"/>
          <w:sz w:val="32"/>
        </w:rPr>
        <w:t>知识和关怀</w:t>
      </w:r>
      <w:r>
        <w:rPr>
          <w:rFonts w:hint="eastAsia" w:ascii="仿宋_GB2312" w:hAnsi="仿宋_GB2312" w:eastAsia="仿宋_GB2312"/>
          <w:sz w:val="32"/>
          <w:lang w:val="en-US" w:eastAsia="zh-CN"/>
        </w:rPr>
        <w:t>AZB</w:t>
      </w:r>
      <w:r>
        <w:rPr>
          <w:rFonts w:ascii="仿宋_GB2312" w:hAnsi="仿宋_GB2312" w:eastAsia="仿宋_GB2312"/>
          <w:sz w:val="32"/>
        </w:rPr>
        <w:t>素养感染者及病人、红十字</w:t>
      </w:r>
      <w:r>
        <w:rPr>
          <w:rFonts w:hint="eastAsia" w:ascii="仿宋_GB2312" w:hAnsi="仿宋_GB2312" w:eastAsia="仿宋_GB2312"/>
          <w:sz w:val="32"/>
          <w:lang w:eastAsia="zh-CN"/>
        </w:rPr>
        <w:t>青少年</w:t>
      </w:r>
      <w:r>
        <w:rPr>
          <w:rFonts w:ascii="仿宋_GB2312" w:hAnsi="仿宋_GB2312" w:eastAsia="仿宋_GB2312"/>
          <w:sz w:val="32"/>
        </w:rPr>
        <w:t>活动以及国际和地区间交流与合作等公益性工作。在各级党政领导下认真贯彻《</w:t>
      </w:r>
      <w:r>
        <w:rPr>
          <w:rFonts w:hint="eastAsia" w:ascii="仿宋_GB2312" w:hAnsi="仿宋_GB2312" w:eastAsia="仿宋_GB2312"/>
          <w:sz w:val="32"/>
          <w:lang w:eastAsia="zh-CN"/>
        </w:rPr>
        <w:t>中华人民共和国红十字会法</w:t>
      </w:r>
      <w:r>
        <w:rPr>
          <w:rFonts w:ascii="仿宋_GB2312" w:hAnsi="仿宋_GB2312" w:eastAsia="仿宋_GB2312"/>
          <w:sz w:val="32"/>
        </w:rPr>
        <w:t>》，履行职责，在人道理念、预防宣传和争取资金项目、救灾备灾、扶危济困、卫生救护培训、宣传推动无偿献血和防控</w:t>
      </w:r>
      <w:r>
        <w:rPr>
          <w:rFonts w:hint="eastAsia" w:ascii="仿宋_GB2312" w:hAnsi="仿宋_GB2312" w:eastAsia="仿宋_GB2312"/>
          <w:sz w:val="32"/>
          <w:lang w:val="en-US" w:eastAsia="zh-CN"/>
        </w:rPr>
        <w:t>AZB</w:t>
      </w:r>
      <w:r>
        <w:rPr>
          <w:rFonts w:ascii="仿宋_GB2312" w:hAnsi="仿宋_GB2312" w:eastAsia="仿宋_GB2312"/>
          <w:sz w:val="32"/>
        </w:rPr>
        <w:t>等方面的工作。</w:t>
      </w:r>
    </w:p>
    <w:p w14:paraId="4CA426DF">
      <w:pPr>
        <w:spacing w:line="640" w:lineRule="exact"/>
        <w:ind w:firstLine="640"/>
        <w:jc w:val="both"/>
        <w:outlineLvl w:val="2"/>
      </w:pPr>
      <w:r>
        <w:rPr>
          <w:rFonts w:ascii="黑体" w:hAnsi="黑体" w:eastAsia="黑体"/>
          <w:sz w:val="32"/>
        </w:rPr>
        <w:t>二、机构设置及人员情况</w:t>
      </w:r>
    </w:p>
    <w:p w14:paraId="5B0E2DC7">
      <w:pPr>
        <w:spacing w:line="580" w:lineRule="exact"/>
        <w:ind w:firstLine="640"/>
        <w:jc w:val="both"/>
      </w:pPr>
      <w:r>
        <w:rPr>
          <w:rFonts w:ascii="仿宋_GB2312" w:hAnsi="仿宋_GB2312" w:eastAsia="仿宋_GB2312"/>
          <w:sz w:val="32"/>
        </w:rPr>
        <w:t>岳普湖县红十字会2024年度，实有人数3人，其中：在职人员2人，增加0人；离休人员0人，增加0人；退休人员1人,增加0人。</w:t>
      </w:r>
    </w:p>
    <w:p w14:paraId="07A92833">
      <w:pPr>
        <w:spacing w:line="580" w:lineRule="exact"/>
        <w:ind w:firstLine="640"/>
        <w:jc w:val="both"/>
      </w:pPr>
      <w:r>
        <w:rPr>
          <w:rFonts w:ascii="仿宋_GB2312" w:hAnsi="仿宋_GB2312" w:eastAsia="仿宋_GB2312"/>
          <w:sz w:val="32"/>
        </w:rPr>
        <w:t>岳普湖县红十字会无下属预算单位，下设1个科室，分别是：综合办公室。</w:t>
      </w:r>
    </w:p>
    <w:p w14:paraId="14650961">
      <w:r>
        <w:br w:type="page"/>
      </w:r>
    </w:p>
    <w:p w14:paraId="5AF326D9">
      <w:pPr>
        <w:spacing w:line="240" w:lineRule="auto"/>
        <w:jc w:val="center"/>
        <w:outlineLvl w:val="1"/>
      </w:pPr>
      <w:r>
        <w:rPr>
          <w:rFonts w:ascii="黑体" w:hAnsi="黑体" w:eastAsia="黑体"/>
          <w:sz w:val="32"/>
        </w:rPr>
        <w:t>第二部分 部门决算情况说明</w:t>
      </w:r>
    </w:p>
    <w:p w14:paraId="6D2BFD80">
      <w:pPr>
        <w:spacing w:line="640" w:lineRule="exact"/>
        <w:ind w:firstLine="640"/>
        <w:jc w:val="both"/>
        <w:outlineLvl w:val="2"/>
      </w:pPr>
      <w:r>
        <w:rPr>
          <w:rFonts w:ascii="黑体" w:hAnsi="黑体" w:eastAsia="黑体"/>
          <w:sz w:val="32"/>
        </w:rPr>
        <w:t>一、收入支出决算总体情况说明</w:t>
      </w:r>
    </w:p>
    <w:p w14:paraId="2E32BA98">
      <w:pPr>
        <w:spacing w:line="580" w:lineRule="exact"/>
        <w:ind w:firstLine="640"/>
        <w:jc w:val="both"/>
      </w:pPr>
      <w:r>
        <w:rPr>
          <w:rFonts w:ascii="仿宋_GB2312" w:hAnsi="仿宋_GB2312" w:eastAsia="仿宋_GB2312"/>
          <w:b/>
          <w:sz w:val="32"/>
        </w:rPr>
        <w:t>2024年度收入总计33.24万元，</w:t>
      </w:r>
      <w:r>
        <w:rPr>
          <w:rFonts w:ascii="仿宋_GB2312" w:hAnsi="仿宋_GB2312" w:eastAsia="仿宋_GB2312"/>
          <w:b w:val="0"/>
          <w:sz w:val="32"/>
        </w:rPr>
        <w:t>其中：本年收入合计33.21万元，使用非财政拨款结余（含专用结余）0.00万元，年初结转和结余0.03万元。</w:t>
      </w:r>
    </w:p>
    <w:p w14:paraId="403FC27B">
      <w:pPr>
        <w:spacing w:line="580" w:lineRule="exact"/>
        <w:ind w:firstLine="640"/>
        <w:jc w:val="both"/>
      </w:pPr>
      <w:r>
        <w:rPr>
          <w:rFonts w:ascii="仿宋_GB2312" w:hAnsi="仿宋_GB2312" w:eastAsia="仿宋_GB2312"/>
          <w:b/>
          <w:sz w:val="32"/>
        </w:rPr>
        <w:t>2024年度支出总计33.24万元，</w:t>
      </w:r>
      <w:r>
        <w:rPr>
          <w:rFonts w:ascii="仿宋_GB2312" w:hAnsi="仿宋_GB2312" w:eastAsia="仿宋_GB2312"/>
          <w:b w:val="0"/>
          <w:sz w:val="32"/>
        </w:rPr>
        <w:t>其中：本年支出合计33.24万元，结余分配0.00万元，年末结转和结余0.00万元。</w:t>
      </w:r>
    </w:p>
    <w:p w14:paraId="5877FE53">
      <w:pPr>
        <w:spacing w:line="580" w:lineRule="exact"/>
        <w:ind w:firstLine="640"/>
        <w:jc w:val="both"/>
      </w:pPr>
      <w:r>
        <w:rPr>
          <w:rFonts w:ascii="仿宋_GB2312" w:hAnsi="仿宋_GB2312" w:eastAsia="仿宋_GB2312"/>
          <w:b w:val="0"/>
          <w:sz w:val="32"/>
        </w:rPr>
        <w:t>收入支出总体与上年相比，增加1.15万元，增长3.58%，主要原因是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本年在职人员工资调增，社保、公积金基数调增，人员经费增加。</w:t>
      </w:r>
    </w:p>
    <w:p w14:paraId="71E35C6E">
      <w:pPr>
        <w:spacing w:line="640" w:lineRule="exact"/>
        <w:ind w:firstLine="640"/>
        <w:jc w:val="both"/>
        <w:outlineLvl w:val="2"/>
      </w:pPr>
      <w:r>
        <w:rPr>
          <w:rFonts w:ascii="黑体" w:hAnsi="黑体" w:eastAsia="黑体"/>
          <w:sz w:val="32"/>
        </w:rPr>
        <w:t>二、收入决算情况说明</w:t>
      </w:r>
    </w:p>
    <w:p w14:paraId="521B5E1A">
      <w:pPr>
        <w:spacing w:line="580" w:lineRule="exact"/>
        <w:ind w:firstLine="640"/>
        <w:jc w:val="both"/>
      </w:pPr>
      <w:r>
        <w:rPr>
          <w:rFonts w:ascii="仿宋_GB2312" w:hAnsi="仿宋_GB2312" w:eastAsia="仿宋_GB2312"/>
          <w:b/>
          <w:sz w:val="32"/>
        </w:rPr>
        <w:t>本年收入33.21万元，</w:t>
      </w:r>
      <w:r>
        <w:rPr>
          <w:rFonts w:ascii="仿宋_GB2312" w:hAnsi="仿宋_GB2312" w:eastAsia="仿宋_GB2312"/>
          <w:b w:val="0"/>
          <w:sz w:val="32"/>
        </w:rPr>
        <w:t>其中：财政拨款收入33.21万元，占100.00%；上级补助收入0.00万元，占0.00%；事业收入0.00万元，占0.00%；经营收入0.00万元，占0.00%；附属单位上缴收入0.00万元，占0.00%；其他收入0.00万元，占0.00%。</w:t>
      </w:r>
    </w:p>
    <w:p w14:paraId="256B0154">
      <w:pPr>
        <w:spacing w:line="640" w:lineRule="exact"/>
        <w:ind w:firstLine="640"/>
        <w:jc w:val="both"/>
        <w:outlineLvl w:val="2"/>
      </w:pPr>
      <w:r>
        <w:rPr>
          <w:rFonts w:ascii="黑体" w:hAnsi="黑体" w:eastAsia="黑体"/>
          <w:sz w:val="32"/>
        </w:rPr>
        <w:t>三、支出决算情况说明</w:t>
      </w:r>
    </w:p>
    <w:p w14:paraId="0065223D">
      <w:pPr>
        <w:spacing w:line="580" w:lineRule="exact"/>
        <w:ind w:firstLine="640"/>
        <w:jc w:val="both"/>
      </w:pPr>
      <w:r>
        <w:rPr>
          <w:rFonts w:ascii="仿宋_GB2312" w:hAnsi="仿宋_GB2312" w:eastAsia="仿宋_GB2312"/>
          <w:b/>
          <w:sz w:val="32"/>
        </w:rPr>
        <w:t>本年支出33.24万元，</w:t>
      </w:r>
      <w:r>
        <w:rPr>
          <w:rFonts w:ascii="仿宋_GB2312" w:hAnsi="仿宋_GB2312" w:eastAsia="仿宋_GB2312"/>
          <w:b w:val="0"/>
          <w:sz w:val="32"/>
        </w:rPr>
        <w:t>其中：基本支出33.24万元，占100.00%；项目支出0.00万元，占0.00%；上缴上级支出0.00万元，占0.00%；经营支出0.00万元，占0.00%；对附属单位补助支出0.00万元，占0.00%。</w:t>
      </w:r>
    </w:p>
    <w:p w14:paraId="04B8F32B">
      <w:pPr>
        <w:spacing w:line="640" w:lineRule="exact"/>
        <w:ind w:firstLine="640"/>
        <w:jc w:val="both"/>
        <w:outlineLvl w:val="2"/>
      </w:pPr>
      <w:r>
        <w:rPr>
          <w:rFonts w:ascii="黑体" w:hAnsi="黑体" w:eastAsia="黑体"/>
          <w:sz w:val="32"/>
        </w:rPr>
        <w:t>四、财政拨款收入支出决算总体情况说明</w:t>
      </w:r>
    </w:p>
    <w:p w14:paraId="75AB701F">
      <w:pPr>
        <w:spacing w:line="580" w:lineRule="exact"/>
        <w:ind w:firstLine="640"/>
        <w:jc w:val="both"/>
      </w:pPr>
      <w:r>
        <w:rPr>
          <w:rFonts w:ascii="仿宋_GB2312" w:hAnsi="仿宋_GB2312" w:eastAsia="仿宋_GB2312"/>
          <w:b/>
          <w:sz w:val="32"/>
        </w:rPr>
        <w:t>2024年度财政拨款收入总计33.21万元，</w:t>
      </w:r>
      <w:r>
        <w:rPr>
          <w:rFonts w:ascii="仿宋_GB2312" w:hAnsi="仿宋_GB2312" w:eastAsia="仿宋_GB2312"/>
          <w:b w:val="0"/>
          <w:sz w:val="32"/>
        </w:rPr>
        <w:t>其中：年初财政拨款结转和结余0.00万元，本年财政拨款收入33.21万元。</w:t>
      </w:r>
      <w:r>
        <w:rPr>
          <w:rFonts w:ascii="仿宋_GB2312" w:hAnsi="仿宋_GB2312" w:eastAsia="仿宋_GB2312"/>
          <w:b/>
          <w:sz w:val="32"/>
        </w:rPr>
        <w:t>财政拨款支出总计33.21万元，</w:t>
      </w:r>
      <w:r>
        <w:rPr>
          <w:rFonts w:ascii="仿宋_GB2312" w:hAnsi="仿宋_GB2312" w:eastAsia="仿宋_GB2312"/>
          <w:b w:val="0"/>
          <w:sz w:val="32"/>
        </w:rPr>
        <w:t>其中：年末财政拨款结转和结余0.00万元，本年财政拨款支出33.21万元。</w:t>
      </w:r>
    </w:p>
    <w:p w14:paraId="0068AE7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增加1.15万元，增长3.59%，主要原因是：本年在职人员工资调增，社保、公积金基数调增，人员经费增加。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年初预算数33.20万元，决算数33.21万元，预决算差异率0.03%，主要原因是：年中追加人员工资、社保、公积金基数调增部分资金，导致预决算存在差异。</w:t>
      </w:r>
    </w:p>
    <w:p w14:paraId="23CD681D">
      <w:pPr>
        <w:spacing w:line="640" w:lineRule="exact"/>
        <w:ind w:firstLine="640"/>
        <w:jc w:val="both"/>
        <w:outlineLvl w:val="2"/>
      </w:pPr>
      <w:r>
        <w:rPr>
          <w:rFonts w:ascii="黑体" w:hAnsi="黑体" w:eastAsia="黑体"/>
          <w:sz w:val="32"/>
        </w:rPr>
        <w:t>五、一般公共预算财政拨款支出决算情况说明</w:t>
      </w:r>
    </w:p>
    <w:p w14:paraId="3F914AB9">
      <w:pPr>
        <w:spacing w:line="640" w:lineRule="exact"/>
        <w:ind w:firstLine="640"/>
        <w:jc w:val="both"/>
        <w:outlineLvl w:val="3"/>
      </w:pPr>
      <w:r>
        <w:rPr>
          <w:rFonts w:ascii="楷体_GB2312" w:hAnsi="楷体_GB2312" w:eastAsia="楷体_GB2312"/>
          <w:b/>
          <w:sz w:val="32"/>
        </w:rPr>
        <w:t>（一）一般公共预算财政拨款支出决算总体情况</w:t>
      </w:r>
    </w:p>
    <w:p w14:paraId="14496A97">
      <w:pPr>
        <w:spacing w:line="580" w:lineRule="exact"/>
        <w:ind w:firstLine="640"/>
        <w:jc w:val="both"/>
      </w:pPr>
      <w:r>
        <w:rPr>
          <w:rFonts w:ascii="仿宋_GB2312" w:hAnsi="仿宋_GB2312" w:eastAsia="仿宋_GB2312"/>
          <w:b/>
          <w:sz w:val="32"/>
        </w:rPr>
        <w:t>2024年度一般公共预算财政拨款支出33.21万元，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增加1.15万元，增长3.59%，主要原因是：本年在职人员工资调增，社保、公积金基数调增，人员经费增加。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年初预算数33.20万元，决算数33.21万元，预决算差异率0.03%，主要原因是：年中追加人员工资、社保、公积金基数调增部分资金，导致预决算存在差异。</w:t>
      </w:r>
    </w:p>
    <w:p w14:paraId="0CBBB41C">
      <w:pPr>
        <w:spacing w:line="640" w:lineRule="exact"/>
        <w:ind w:firstLine="640"/>
        <w:jc w:val="both"/>
        <w:outlineLvl w:val="3"/>
      </w:pPr>
      <w:r>
        <w:rPr>
          <w:rFonts w:ascii="楷体_GB2312" w:hAnsi="楷体_GB2312" w:eastAsia="楷体_GB2312"/>
          <w:b/>
          <w:sz w:val="32"/>
        </w:rPr>
        <w:t>（二）一般公共预算财政拨款支出决算结构情况</w:t>
      </w:r>
    </w:p>
    <w:p w14:paraId="7E97510F">
      <w:pPr>
        <w:spacing w:line="580" w:lineRule="exact"/>
        <w:ind w:firstLine="640"/>
        <w:jc w:val="both"/>
      </w:pPr>
      <w:r>
        <w:rPr>
          <w:rFonts w:ascii="仿宋_GB2312" w:hAnsi="仿宋_GB2312" w:eastAsia="仿宋_GB2312"/>
          <w:b w:val="0"/>
          <w:sz w:val="32"/>
        </w:rPr>
        <w:t>1.社会保障和就业支出(类)29.29万元,占88.20%。</w:t>
      </w:r>
    </w:p>
    <w:p w14:paraId="1996723C">
      <w:pPr>
        <w:spacing w:line="580" w:lineRule="exact"/>
        <w:ind w:firstLine="640"/>
        <w:jc w:val="both"/>
      </w:pPr>
      <w:r>
        <w:rPr>
          <w:rFonts w:ascii="仿宋_GB2312" w:hAnsi="仿宋_GB2312" w:eastAsia="仿宋_GB2312"/>
          <w:b w:val="0"/>
          <w:sz w:val="32"/>
        </w:rPr>
        <w:t>2.卫生健康支出(类)1.34万元,占4.03%。</w:t>
      </w:r>
    </w:p>
    <w:p w14:paraId="091AA208">
      <w:pPr>
        <w:spacing w:line="580" w:lineRule="exact"/>
        <w:ind w:firstLine="640"/>
        <w:jc w:val="both"/>
      </w:pPr>
      <w:r>
        <w:rPr>
          <w:rFonts w:ascii="仿宋_GB2312" w:hAnsi="仿宋_GB2312" w:eastAsia="仿宋_GB2312"/>
          <w:b w:val="0"/>
          <w:sz w:val="32"/>
        </w:rPr>
        <w:t>3.住房保障支出(类)2.58万元,占7.77%。</w:t>
      </w:r>
    </w:p>
    <w:p w14:paraId="31023C97">
      <w:pPr>
        <w:spacing w:line="640" w:lineRule="exact"/>
        <w:ind w:firstLine="640"/>
        <w:jc w:val="both"/>
        <w:outlineLvl w:val="3"/>
      </w:pPr>
      <w:r>
        <w:rPr>
          <w:rFonts w:ascii="楷体_GB2312" w:hAnsi="楷体_GB2312" w:eastAsia="楷体_GB2312"/>
          <w:b/>
          <w:sz w:val="32"/>
        </w:rPr>
        <w:t>（三）一般公共预算财政拨款支出决算具体情况</w:t>
      </w:r>
    </w:p>
    <w:p w14:paraId="721329A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1.35万元，下降100.00%,主要原因是：本年科目调整，单位退休人员经费由行政单位离退休调整至事业单位离退休科目列支，导致经费较上年减少。</w:t>
      </w:r>
    </w:p>
    <w:p w14:paraId="49D642D5">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1.56万元，比上年决算增加1.56万元，增长100.00%,主要原因是：本年科目调整，单位退休人员经费由行政单位离退休调整至事业单位离退休科目列支，导致经费较上年增加。</w:t>
      </w:r>
    </w:p>
    <w:p w14:paraId="1FA245B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3.16万元，比上年决算增加0.51万元，增长19.25%,主要原因是：本年在职人员工资基数调增，养老缴费基数上涨，相应支出增加。</w:t>
      </w:r>
    </w:p>
    <w:p w14:paraId="5E0F1118">
      <w:pPr>
        <w:spacing w:line="580" w:lineRule="exact"/>
        <w:ind w:firstLine="640"/>
        <w:jc w:val="both"/>
      </w:pPr>
      <w:r>
        <w:rPr>
          <w:rFonts w:ascii="仿宋_GB2312" w:hAnsi="仿宋_GB2312" w:eastAsia="仿宋_GB2312"/>
          <w:b w:val="0"/>
          <w:sz w:val="32"/>
        </w:rPr>
        <w:t>4.社会保障和就业支出(类)红十字事业(款)行政运行(项):支出决算数为0.00万元，比上年决算减少24.40万元，下降100.00%,主要原因是：本年科目调整，单位在职人员经费上年</w:t>
      </w:r>
      <w:r>
        <w:rPr>
          <w:rFonts w:hint="eastAsia" w:ascii="仿宋_GB2312" w:hAnsi="仿宋_GB2312" w:eastAsia="仿宋_GB2312"/>
          <w:b w:val="0"/>
          <w:sz w:val="32"/>
          <w:lang w:val="en-US" w:eastAsia="zh-CN"/>
        </w:rPr>
        <w:t>在</w:t>
      </w:r>
      <w:r>
        <w:rPr>
          <w:rFonts w:ascii="仿宋_GB2312" w:hAnsi="仿宋_GB2312" w:eastAsia="仿宋_GB2312"/>
          <w:b w:val="0"/>
          <w:sz w:val="32"/>
        </w:rPr>
        <w:t>行政运行科目列支，本年在事业运行</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列支，导致经费较上年减少。</w:t>
      </w:r>
    </w:p>
    <w:p w14:paraId="4FF4A1C1">
      <w:pPr>
        <w:spacing w:line="580" w:lineRule="exact"/>
        <w:ind w:firstLine="640"/>
        <w:jc w:val="both"/>
      </w:pPr>
      <w:r>
        <w:rPr>
          <w:rFonts w:ascii="仿宋_GB2312" w:hAnsi="仿宋_GB2312" w:eastAsia="仿宋_GB2312"/>
          <w:b w:val="0"/>
          <w:sz w:val="32"/>
        </w:rPr>
        <w:t>5.社会保障和就业支出(类)红十字事业(款)事业运行(项):支出决算数为24.56万元，比上年决算增加24.56万元，增长100.00%,主要原因是：本年科目调整，单位在职人员经费上年</w:t>
      </w:r>
      <w:r>
        <w:rPr>
          <w:rFonts w:hint="eastAsia" w:ascii="仿宋_GB2312" w:hAnsi="仿宋_GB2312" w:eastAsia="仿宋_GB2312"/>
          <w:b w:val="0"/>
          <w:sz w:val="32"/>
          <w:lang w:val="en-US" w:eastAsia="zh-CN"/>
        </w:rPr>
        <w:t>在</w:t>
      </w:r>
      <w:bookmarkStart w:id="0" w:name="_GoBack"/>
      <w:bookmarkEnd w:id="0"/>
      <w:r>
        <w:rPr>
          <w:rFonts w:ascii="仿宋_GB2312" w:hAnsi="仿宋_GB2312" w:eastAsia="仿宋_GB2312"/>
          <w:b w:val="0"/>
          <w:sz w:val="32"/>
        </w:rPr>
        <w:t>行政运行科目列支，本年在事业运行</w:t>
      </w:r>
      <w:r>
        <w:rPr>
          <w:rFonts w:hint="eastAsia" w:ascii="仿宋_GB2312" w:hAnsi="仿宋_GB2312" w:eastAsia="仿宋_GB2312"/>
          <w:b w:val="0"/>
          <w:sz w:val="32"/>
          <w:lang w:val="en-US" w:eastAsia="zh-CN"/>
        </w:rPr>
        <w:t>科</w:t>
      </w:r>
      <w:r>
        <w:rPr>
          <w:rFonts w:ascii="仿宋_GB2312" w:hAnsi="仿宋_GB2312" w:eastAsia="仿宋_GB2312"/>
          <w:b w:val="0"/>
          <w:sz w:val="32"/>
        </w:rPr>
        <w:t>目列支，导致经费较上年增加。</w:t>
      </w:r>
    </w:p>
    <w:p w14:paraId="13F26E7C">
      <w:pPr>
        <w:spacing w:line="580" w:lineRule="exact"/>
        <w:ind w:firstLine="640"/>
        <w:jc w:val="both"/>
      </w:pPr>
      <w:r>
        <w:rPr>
          <w:rFonts w:ascii="仿宋_GB2312" w:hAnsi="仿宋_GB2312" w:eastAsia="仿宋_GB2312"/>
          <w:b w:val="0"/>
          <w:sz w:val="32"/>
        </w:rPr>
        <w:t>6.卫生健康支出(类)行政事业单位医疗(款)行政单位医疗(项):支出决算数为0.00万元，比上年决算减少1.40万元，下降100.00%,主要原因是：本年科目调整，单位医疗保险经费上年在行政单位医疗科目列支，本年在事业</w:t>
      </w:r>
      <w:r>
        <w:rPr>
          <w:rFonts w:hint="eastAsia" w:ascii="仿宋_GB2312" w:hAnsi="仿宋_GB2312" w:eastAsia="仿宋_GB2312"/>
          <w:b w:val="0"/>
          <w:sz w:val="32"/>
          <w:lang w:val="en-US" w:eastAsia="zh-CN"/>
        </w:rPr>
        <w:t>单</w:t>
      </w:r>
      <w:r>
        <w:rPr>
          <w:rFonts w:ascii="仿宋_GB2312" w:hAnsi="仿宋_GB2312" w:eastAsia="仿宋_GB2312"/>
          <w:b w:val="0"/>
          <w:sz w:val="32"/>
        </w:rPr>
        <w:t>位医疗科目列支，导致经费较上年减少。</w:t>
      </w:r>
    </w:p>
    <w:p w14:paraId="1E7CEF6C">
      <w:pPr>
        <w:spacing w:line="580" w:lineRule="exact"/>
        <w:ind w:firstLine="640"/>
        <w:jc w:val="both"/>
      </w:pPr>
      <w:r>
        <w:rPr>
          <w:rFonts w:ascii="仿宋_GB2312" w:hAnsi="仿宋_GB2312" w:eastAsia="仿宋_GB2312"/>
          <w:b w:val="0"/>
          <w:sz w:val="32"/>
        </w:rPr>
        <w:t>7.卫生健康支出(类)行政事业单位医疗(款)事业单位医疗(项):支出决算数为1.34万元，比上年决算增加1.34万元，增长100.00%,主要原因是：本年科目调整，单位医疗保险经费上年在行政单位医疗科目列支，本年在事业</w:t>
      </w:r>
      <w:r>
        <w:rPr>
          <w:rFonts w:hint="eastAsia" w:ascii="仿宋_GB2312" w:hAnsi="仿宋_GB2312" w:eastAsia="仿宋_GB2312"/>
          <w:b w:val="0"/>
          <w:sz w:val="32"/>
          <w:lang w:val="en-US" w:eastAsia="zh-CN"/>
        </w:rPr>
        <w:t>单</w:t>
      </w:r>
      <w:r>
        <w:rPr>
          <w:rFonts w:ascii="仿宋_GB2312" w:hAnsi="仿宋_GB2312" w:eastAsia="仿宋_GB2312"/>
          <w:b w:val="0"/>
          <w:sz w:val="32"/>
        </w:rPr>
        <w:t>位医疗科目列支，导致经费较上年增加。</w:t>
      </w:r>
    </w:p>
    <w:p w14:paraId="3CEC8F9C">
      <w:pPr>
        <w:spacing w:line="580" w:lineRule="exact"/>
        <w:ind w:firstLine="640"/>
        <w:jc w:val="both"/>
      </w:pPr>
      <w:r>
        <w:rPr>
          <w:rFonts w:ascii="仿宋_GB2312" w:hAnsi="仿宋_GB2312" w:eastAsia="仿宋_GB2312"/>
          <w:b w:val="0"/>
          <w:sz w:val="32"/>
        </w:rPr>
        <w:t>8.住房保障支出(类)住房改革支出(款)住房公积金(项):支出决算数为2.58万元，比上年决算增加0.33万元，增长14.67%,主要原因是：本年在职人员工资基数调增，公积金缴费基数上涨，相应支出增加。</w:t>
      </w:r>
    </w:p>
    <w:p w14:paraId="6C6EC066">
      <w:pPr>
        <w:spacing w:line="640" w:lineRule="exact"/>
        <w:ind w:firstLine="640"/>
        <w:jc w:val="both"/>
        <w:outlineLvl w:val="2"/>
      </w:pPr>
      <w:r>
        <w:rPr>
          <w:rFonts w:ascii="黑体" w:hAnsi="黑体" w:eastAsia="黑体"/>
          <w:sz w:val="32"/>
        </w:rPr>
        <w:t>六、一般公共预算财政拨款基本支出决算情况说明</w:t>
      </w:r>
    </w:p>
    <w:p w14:paraId="46E8E07F">
      <w:pPr>
        <w:spacing w:line="580" w:lineRule="exact"/>
        <w:ind w:firstLine="640"/>
        <w:jc w:val="both"/>
      </w:pPr>
      <w:r>
        <w:rPr>
          <w:rFonts w:ascii="仿宋_GB2312" w:hAnsi="仿宋_GB2312" w:eastAsia="仿宋_GB2312"/>
          <w:b w:val="0"/>
          <w:sz w:val="32"/>
        </w:rPr>
        <w:t>2024年度一般公共预算财政拨款基本支出33.21万元，其中：</w:t>
      </w:r>
      <w:r>
        <w:rPr>
          <w:rFonts w:ascii="仿宋_GB2312" w:hAnsi="仿宋_GB2312" w:eastAsia="仿宋_GB2312"/>
          <w:b/>
          <w:sz w:val="32"/>
        </w:rPr>
        <w:t>人员经费32.61万元，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75F4239A">
      <w:pPr>
        <w:spacing w:line="580" w:lineRule="exact"/>
        <w:ind w:firstLine="640"/>
        <w:jc w:val="both"/>
      </w:pPr>
      <w:r>
        <w:rPr>
          <w:rFonts w:ascii="仿宋_GB2312" w:hAnsi="仿宋_GB2312" w:eastAsia="仿宋_GB2312"/>
          <w:b/>
          <w:sz w:val="32"/>
        </w:rPr>
        <w:t>公用经费0.60万元，</w:t>
      </w:r>
      <w:r>
        <w:rPr>
          <w:rFonts w:ascii="仿宋_GB2312" w:hAnsi="仿宋_GB2312" w:eastAsia="仿宋_GB2312"/>
          <w:b w:val="0"/>
          <w:sz w:val="32"/>
        </w:rPr>
        <w:t>包括：办公费、印刷费、物业管理费、差旅费、劳务费、办公设备购置。</w:t>
      </w:r>
    </w:p>
    <w:p w14:paraId="4C0CE834">
      <w:pPr>
        <w:spacing w:line="640" w:lineRule="exact"/>
        <w:ind w:firstLine="640"/>
        <w:jc w:val="both"/>
        <w:outlineLvl w:val="2"/>
      </w:pPr>
      <w:r>
        <w:rPr>
          <w:rFonts w:ascii="黑体" w:hAnsi="黑体" w:eastAsia="黑体"/>
          <w:sz w:val="32"/>
        </w:rPr>
        <w:t>七、政府性基金预算财政拨款收入支出决算情况说明</w:t>
      </w:r>
    </w:p>
    <w:p w14:paraId="71045F1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ED4BB6">
      <w:pPr>
        <w:spacing w:line="640" w:lineRule="exact"/>
        <w:ind w:firstLine="640"/>
        <w:jc w:val="both"/>
        <w:outlineLvl w:val="2"/>
      </w:pPr>
      <w:r>
        <w:rPr>
          <w:rFonts w:ascii="黑体" w:hAnsi="黑体" w:eastAsia="黑体"/>
          <w:sz w:val="32"/>
        </w:rPr>
        <w:t>八、国有资本经营预算财政拨款收入支出决算情况说明</w:t>
      </w:r>
    </w:p>
    <w:p w14:paraId="6604FBB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5BCFB8D">
      <w:pPr>
        <w:spacing w:line="640" w:lineRule="exact"/>
        <w:ind w:firstLine="640"/>
        <w:jc w:val="both"/>
        <w:outlineLvl w:val="2"/>
      </w:pPr>
      <w:r>
        <w:rPr>
          <w:rFonts w:ascii="黑体" w:hAnsi="黑体" w:eastAsia="黑体"/>
          <w:sz w:val="32"/>
        </w:rPr>
        <w:t>九、财政拨款“三公”经费支出决算情况说明</w:t>
      </w:r>
    </w:p>
    <w:p w14:paraId="7C08651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08B6A42">
      <w:pPr>
        <w:spacing w:line="580" w:lineRule="exact"/>
        <w:ind w:firstLine="640"/>
        <w:jc w:val="both"/>
      </w:pPr>
      <w:r>
        <w:rPr>
          <w:rFonts w:ascii="仿宋_GB2312" w:hAnsi="仿宋_GB2312" w:eastAsia="仿宋_GB2312"/>
          <w:b/>
          <w:sz w:val="32"/>
        </w:rPr>
        <w:t>具体情况如下：</w:t>
      </w:r>
    </w:p>
    <w:p w14:paraId="1B4DC09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C77EB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0C459F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D36596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8F95E99">
      <w:pPr>
        <w:spacing w:line="640" w:lineRule="exact"/>
        <w:ind w:firstLine="640"/>
        <w:jc w:val="both"/>
        <w:outlineLvl w:val="2"/>
      </w:pPr>
      <w:r>
        <w:rPr>
          <w:rFonts w:ascii="黑体" w:hAnsi="黑体" w:eastAsia="黑体"/>
          <w:sz w:val="32"/>
        </w:rPr>
        <w:t>十、其他重要事项的情况说明</w:t>
      </w:r>
    </w:p>
    <w:p w14:paraId="039509AA">
      <w:pPr>
        <w:spacing w:line="640" w:lineRule="exact"/>
        <w:ind w:firstLine="640"/>
        <w:jc w:val="both"/>
        <w:outlineLvl w:val="3"/>
      </w:pPr>
      <w:r>
        <w:rPr>
          <w:rFonts w:ascii="楷体_GB2312" w:hAnsi="楷体_GB2312" w:eastAsia="楷体_GB2312"/>
          <w:b/>
          <w:sz w:val="32"/>
        </w:rPr>
        <w:t>（一）机关运行经费及公用经费支出情况</w:t>
      </w:r>
    </w:p>
    <w:p w14:paraId="1364C8DD">
      <w:pPr>
        <w:spacing w:line="580" w:lineRule="exact"/>
        <w:ind w:firstLine="640"/>
        <w:jc w:val="both"/>
      </w:pPr>
      <w:r>
        <w:rPr>
          <w:rFonts w:ascii="仿宋_GB2312" w:hAnsi="仿宋_GB2312" w:eastAsia="仿宋_GB2312"/>
          <w:b w:val="0"/>
          <w:sz w:val="32"/>
        </w:rPr>
        <w:t>2024年度岳普湖县红十字会（事业单位）公用经费支出0.60万元，比上年增加0.35万元，增长140.00%，主要原因是：本年业务量增加，公用经费增加。</w:t>
      </w:r>
    </w:p>
    <w:p w14:paraId="041E0B79">
      <w:pPr>
        <w:spacing w:line="640" w:lineRule="exact"/>
        <w:ind w:firstLine="640"/>
        <w:jc w:val="both"/>
        <w:outlineLvl w:val="3"/>
      </w:pPr>
      <w:r>
        <w:rPr>
          <w:rFonts w:ascii="楷体_GB2312" w:hAnsi="楷体_GB2312" w:eastAsia="楷体_GB2312"/>
          <w:b/>
          <w:sz w:val="32"/>
        </w:rPr>
        <w:t>（二）政府采购情况</w:t>
      </w:r>
    </w:p>
    <w:p w14:paraId="17A59FB7">
      <w:pPr>
        <w:spacing w:line="580" w:lineRule="exact"/>
        <w:ind w:firstLine="640"/>
        <w:jc w:val="both"/>
      </w:pPr>
      <w:r>
        <w:rPr>
          <w:rFonts w:ascii="仿宋_GB2312" w:hAnsi="仿宋_GB2312" w:eastAsia="仿宋_GB2312"/>
          <w:b w:val="0"/>
          <w:sz w:val="32"/>
        </w:rPr>
        <w:t>2024年度政府采购支出总额0.16万元，其中：政府采购货物支出0.16万元、政府采购工程支出0.00万元、政府采购服务支出0.00万元。</w:t>
      </w:r>
    </w:p>
    <w:p w14:paraId="6821209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F999E41">
      <w:pPr>
        <w:spacing w:line="640" w:lineRule="exact"/>
        <w:ind w:firstLine="640"/>
        <w:jc w:val="both"/>
        <w:outlineLvl w:val="3"/>
      </w:pPr>
      <w:r>
        <w:rPr>
          <w:rFonts w:ascii="楷体_GB2312" w:hAnsi="楷体_GB2312" w:eastAsia="楷体_GB2312"/>
          <w:b/>
          <w:sz w:val="32"/>
        </w:rPr>
        <w:t>（三）国有资产占用情况说明</w:t>
      </w:r>
    </w:p>
    <w:p w14:paraId="4A6718B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9422B6E">
      <w:pPr>
        <w:spacing w:line="640" w:lineRule="exact"/>
        <w:ind w:firstLine="640"/>
        <w:jc w:val="both"/>
        <w:outlineLvl w:val="2"/>
      </w:pPr>
      <w:r>
        <w:rPr>
          <w:rFonts w:ascii="黑体" w:hAnsi="黑体" w:eastAsia="黑体"/>
          <w:sz w:val="32"/>
        </w:rPr>
        <w:t>十一、预算绩效的情况说明</w:t>
      </w:r>
    </w:p>
    <w:p w14:paraId="19F6325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51788BB7">
      <w:r>
        <w:br w:type="page"/>
      </w:r>
    </w:p>
    <w:p w14:paraId="2FE17671">
      <w:pPr>
        <w:spacing w:line="640" w:lineRule="exact"/>
        <w:ind w:firstLine="640"/>
        <w:jc w:val="both"/>
        <w:outlineLvl w:val="2"/>
      </w:pPr>
      <w:r>
        <w:rPr>
          <w:rFonts w:ascii="黑体" w:hAnsi="黑体" w:eastAsia="黑体"/>
          <w:sz w:val="32"/>
        </w:rPr>
        <w:t>十二、其他需说明的事项</w:t>
      </w:r>
    </w:p>
    <w:p w14:paraId="29DBAFF6">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3DDC2CA5">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14:paraId="5CDC871C">
      <w:r>
        <w:br w:type="page"/>
      </w:r>
    </w:p>
    <w:p w14:paraId="562AC7A4">
      <w:pPr>
        <w:spacing w:line="240" w:lineRule="auto"/>
        <w:jc w:val="center"/>
        <w:outlineLvl w:val="1"/>
      </w:pPr>
      <w:r>
        <w:rPr>
          <w:rFonts w:ascii="黑体" w:hAnsi="黑体" w:eastAsia="黑体"/>
          <w:sz w:val="32"/>
        </w:rPr>
        <w:t>第三部分 专业名词解释</w:t>
      </w:r>
    </w:p>
    <w:p w14:paraId="6725610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12D39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2F30D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EA94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41670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16730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2AB1E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F14F8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1FC0E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07C85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B4779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5A74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CEC10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1E4DA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DAC049">
      <w:r>
        <w:br w:type="page"/>
      </w:r>
    </w:p>
    <w:p w14:paraId="37B04C56">
      <w:pPr>
        <w:spacing w:line="240" w:lineRule="auto"/>
        <w:jc w:val="center"/>
        <w:outlineLvl w:val="1"/>
      </w:pPr>
      <w:r>
        <w:rPr>
          <w:rFonts w:ascii="黑体" w:hAnsi="黑体" w:eastAsia="黑体"/>
          <w:sz w:val="32"/>
        </w:rPr>
        <w:t>第四部分 部门决算报表（见附表）</w:t>
      </w:r>
    </w:p>
    <w:p w14:paraId="45EB36E2">
      <w:pPr>
        <w:spacing w:line="240" w:lineRule="auto"/>
        <w:ind w:firstLine="640"/>
        <w:jc w:val="both"/>
      </w:pPr>
      <w:r>
        <w:rPr>
          <w:rFonts w:ascii="仿宋_GB2312" w:hAnsi="仿宋_GB2312" w:eastAsia="仿宋_GB2312"/>
          <w:b w:val="0"/>
          <w:sz w:val="32"/>
        </w:rPr>
        <w:t>一、《收入支出决算总表》</w:t>
      </w:r>
    </w:p>
    <w:p w14:paraId="306515A3">
      <w:pPr>
        <w:spacing w:line="240" w:lineRule="auto"/>
        <w:ind w:firstLine="640"/>
        <w:jc w:val="both"/>
      </w:pPr>
      <w:r>
        <w:rPr>
          <w:rFonts w:ascii="仿宋_GB2312" w:hAnsi="仿宋_GB2312" w:eastAsia="仿宋_GB2312"/>
          <w:b w:val="0"/>
          <w:sz w:val="32"/>
        </w:rPr>
        <w:t>二、《收入决算表》</w:t>
      </w:r>
    </w:p>
    <w:p w14:paraId="2484ED6F">
      <w:pPr>
        <w:spacing w:line="240" w:lineRule="auto"/>
        <w:ind w:firstLine="640"/>
        <w:jc w:val="both"/>
      </w:pPr>
      <w:r>
        <w:rPr>
          <w:rFonts w:ascii="仿宋_GB2312" w:hAnsi="仿宋_GB2312" w:eastAsia="仿宋_GB2312"/>
          <w:b w:val="0"/>
          <w:sz w:val="32"/>
        </w:rPr>
        <w:t>三、《支出决算表》</w:t>
      </w:r>
    </w:p>
    <w:p w14:paraId="03CB667F">
      <w:pPr>
        <w:spacing w:line="240" w:lineRule="auto"/>
        <w:ind w:firstLine="640"/>
        <w:jc w:val="both"/>
      </w:pPr>
      <w:r>
        <w:rPr>
          <w:rFonts w:ascii="仿宋_GB2312" w:hAnsi="仿宋_GB2312" w:eastAsia="仿宋_GB2312"/>
          <w:b w:val="0"/>
          <w:sz w:val="32"/>
        </w:rPr>
        <w:t>四、《财政拨款收入支出决算总表》</w:t>
      </w:r>
    </w:p>
    <w:p w14:paraId="0F2B8DD9">
      <w:pPr>
        <w:spacing w:line="240" w:lineRule="auto"/>
        <w:ind w:firstLine="640"/>
        <w:jc w:val="both"/>
      </w:pPr>
      <w:r>
        <w:rPr>
          <w:rFonts w:ascii="仿宋_GB2312" w:hAnsi="仿宋_GB2312" w:eastAsia="仿宋_GB2312"/>
          <w:b w:val="0"/>
          <w:sz w:val="32"/>
        </w:rPr>
        <w:t>五、《一般公共预算财政拨款支出决算表》</w:t>
      </w:r>
    </w:p>
    <w:p w14:paraId="7B017B66">
      <w:pPr>
        <w:spacing w:line="240" w:lineRule="auto"/>
        <w:ind w:firstLine="640"/>
        <w:jc w:val="both"/>
      </w:pPr>
      <w:r>
        <w:rPr>
          <w:rFonts w:ascii="仿宋_GB2312" w:hAnsi="仿宋_GB2312" w:eastAsia="仿宋_GB2312"/>
          <w:b w:val="0"/>
          <w:sz w:val="32"/>
        </w:rPr>
        <w:t>六、《一般公共预算财政拨款基本支出决算表》</w:t>
      </w:r>
    </w:p>
    <w:p w14:paraId="52E8C8AC">
      <w:pPr>
        <w:spacing w:line="240" w:lineRule="auto"/>
        <w:ind w:firstLine="640"/>
        <w:jc w:val="both"/>
      </w:pPr>
      <w:r>
        <w:rPr>
          <w:rFonts w:ascii="仿宋_GB2312" w:hAnsi="仿宋_GB2312" w:eastAsia="仿宋_GB2312"/>
          <w:b w:val="0"/>
          <w:sz w:val="32"/>
        </w:rPr>
        <w:t>七、《政府性基金预算财政拨款收入支出决算表》</w:t>
      </w:r>
    </w:p>
    <w:p w14:paraId="0BCF3B0E">
      <w:pPr>
        <w:spacing w:line="240" w:lineRule="auto"/>
        <w:ind w:firstLine="640"/>
        <w:jc w:val="both"/>
      </w:pPr>
      <w:r>
        <w:rPr>
          <w:rFonts w:ascii="仿宋_GB2312" w:hAnsi="仿宋_GB2312" w:eastAsia="仿宋_GB2312"/>
          <w:b w:val="0"/>
          <w:sz w:val="32"/>
        </w:rPr>
        <w:t>八、《国有资本经营预算财政拨款收入支出决算表》</w:t>
      </w:r>
    </w:p>
    <w:p w14:paraId="4857FCF0">
      <w:pPr>
        <w:spacing w:line="240" w:lineRule="auto"/>
        <w:ind w:firstLine="640"/>
        <w:jc w:val="both"/>
      </w:pPr>
      <w:r>
        <w:rPr>
          <w:rFonts w:ascii="仿宋_GB2312" w:hAnsi="仿宋_GB2312" w:eastAsia="仿宋_GB2312"/>
          <w:b w:val="0"/>
          <w:sz w:val="32"/>
        </w:rPr>
        <w:t>九、《财政拨款“三公”经费支出决算表》</w:t>
      </w:r>
    </w:p>
    <w:p w14:paraId="79496361">
      <w:pPr>
        <w:spacing w:line="240" w:lineRule="auto"/>
        <w:ind w:firstLine="640"/>
        <w:jc w:val="both"/>
      </w:pPr>
    </w:p>
    <w:p w14:paraId="3E94F886">
      <w:pPr>
        <w:spacing w:line="240" w:lineRule="auto"/>
        <w:ind w:firstLine="640"/>
        <w:jc w:val="both"/>
      </w:pPr>
    </w:p>
    <w:p w14:paraId="65D681A9">
      <w:pPr>
        <w:spacing w:line="240" w:lineRule="auto"/>
        <w:ind w:firstLine="640"/>
        <w:jc w:val="both"/>
      </w:pPr>
    </w:p>
    <w:p w14:paraId="5E6E9027">
      <w:pPr>
        <w:spacing w:line="240" w:lineRule="auto"/>
        <w:ind w:firstLine="640"/>
        <w:jc w:val="both"/>
      </w:pPr>
    </w:p>
    <w:p w14:paraId="0F13683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F836B9-2976-49EF-A623-4366F7CEC1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CA5E133-A42F-4996-A92F-03C09727EC20}"/>
  </w:font>
  <w:font w:name="仿宋_GB2312">
    <w:panose1 w:val="02010609030101010101"/>
    <w:charset w:val="86"/>
    <w:family w:val="modern"/>
    <w:pitch w:val="default"/>
    <w:sig w:usb0="00000001" w:usb1="080E0000" w:usb2="00000000" w:usb3="00000000" w:csb0="00040000" w:csb1="00000000"/>
    <w:embedRegular r:id="rId3" w:fontKey="{797505B9-4225-4275-96C0-FC4F49489A76}"/>
  </w:font>
  <w:font w:name="楷体_GB2312">
    <w:panose1 w:val="02010609030101010101"/>
    <w:charset w:val="86"/>
    <w:family w:val="auto"/>
    <w:pitch w:val="default"/>
    <w:sig w:usb0="00000001" w:usb1="080E0000" w:usb2="00000000" w:usb3="00000000" w:csb0="00040000" w:csb1="00000000"/>
    <w:embedRegular r:id="rId4" w:fontKey="{CF383C70-E44E-4640-B56E-2BD31D1DDEF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B24B66"/>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DC7F51"/>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5281</Words>
  <Characters>5877</Characters>
  <Lines>0</Lines>
  <Paragraphs>0</Paragraphs>
  <TotalTime>8</TotalTime>
  <ScaleCrop>false</ScaleCrop>
  <LinksUpToDate>false</LinksUpToDate>
  <CharactersWithSpaces>5887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