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7D3D0FA">
      <w:r>
        <w:br w:type="page"/>
      </w:r>
    </w:p>
    <w:p w14:paraId="0485C3B2">
      <w:pPr>
        <w:spacing w:line="640" w:lineRule="exact"/>
        <w:jc w:val="center"/>
        <w:outlineLvl w:val="1"/>
      </w:pPr>
      <w:r>
        <w:rPr>
          <w:rFonts w:ascii="黑体" w:hAnsi="黑体" w:eastAsia="黑体"/>
          <w:sz w:val="32"/>
        </w:rPr>
        <w:t>第一部分 单位概况</w:t>
      </w:r>
    </w:p>
    <w:p w14:paraId="03D9C2BD">
      <w:pPr>
        <w:spacing w:line="640" w:lineRule="exact"/>
        <w:ind w:firstLine="640"/>
        <w:jc w:val="both"/>
        <w:outlineLvl w:val="2"/>
      </w:pPr>
      <w:r>
        <w:rPr>
          <w:rFonts w:ascii="黑体" w:hAnsi="黑体" w:eastAsia="黑体"/>
          <w:sz w:val="32"/>
        </w:rPr>
        <w:t>一、主要职能</w:t>
      </w:r>
    </w:p>
    <w:p w14:paraId="7CBB3B02">
      <w:pPr>
        <w:spacing w:line="580" w:lineRule="exact"/>
        <w:ind w:firstLine="640"/>
        <w:jc w:val="both"/>
      </w:pPr>
      <w:r>
        <w:rPr>
          <w:rFonts w:ascii="仿宋_GB2312" w:hAnsi="仿宋_GB2312" w:eastAsia="仿宋_GB2312"/>
          <w:sz w:val="32"/>
        </w:rPr>
        <w:t>（一）贯彻落实党中央、自治区党委、政府、地委、行署和县委、县人民政府关于退役军人工作方针，拟订岳普湖县关于退役军人思想政治、管理保障等地方性政策法规并组织实施，褒扬彰显退役军人为党、国家和人民牺牲奉献的精神风范和价值导向，充分发挥退役军人在岳普湖社会稳定和长治久安总目标中的作用。</w:t>
      </w:r>
    </w:p>
    <w:p w14:paraId="055B38FD">
      <w:pPr>
        <w:spacing w:line="580" w:lineRule="exact"/>
        <w:ind w:firstLine="640"/>
        <w:jc w:val="both"/>
      </w:pPr>
      <w:r>
        <w:rPr>
          <w:rFonts w:ascii="仿宋_GB2312" w:hAnsi="仿宋_GB2312" w:eastAsia="仿宋_GB2312"/>
          <w:sz w:val="32"/>
        </w:rPr>
        <w:t>（二）负责军队转业干部、复员干部、离休退休干部(士官)、退役士兵、无军籍退休退职职工的审核接收安置工作；军队自主择业、就业退役军人服务管理工作，参与配合做好招录退役士兵充实乡镇奉献基层工作。</w:t>
      </w:r>
    </w:p>
    <w:p w14:paraId="16A64C0B">
      <w:pPr>
        <w:spacing w:line="580" w:lineRule="exact"/>
        <w:ind w:firstLine="640"/>
        <w:jc w:val="both"/>
      </w:pPr>
      <w:r>
        <w:rPr>
          <w:rFonts w:ascii="仿宋_GB2312" w:hAnsi="仿宋_GB2312" w:eastAsia="仿宋_GB2312"/>
          <w:sz w:val="32"/>
        </w:rPr>
        <w:t>（三）组织指导退役军人教育培训工作；协调扶持退役军人和随军随调家属就业创业。</w:t>
      </w:r>
    </w:p>
    <w:p w14:paraId="14AB4EC3">
      <w:pPr>
        <w:spacing w:line="580" w:lineRule="exact"/>
        <w:ind w:firstLine="640"/>
        <w:jc w:val="both"/>
      </w:pPr>
      <w:r>
        <w:rPr>
          <w:rFonts w:ascii="仿宋_GB2312" w:hAnsi="仿宋_GB2312" w:eastAsia="仿宋_GB2312"/>
          <w:sz w:val="32"/>
        </w:rPr>
        <w:t>（四）组织指导伤病残退役军人服务管理和抚恤工作，拟定地方性医疗、养老等细则并组织实施；承担不适宜继续服役的伤病残军人相关工作；指导军供服务保障工作、军休服务管理工作。</w:t>
      </w:r>
    </w:p>
    <w:p w14:paraId="271CD4FF">
      <w:pPr>
        <w:spacing w:line="580" w:lineRule="exact"/>
        <w:ind w:firstLine="640"/>
        <w:jc w:val="both"/>
      </w:pPr>
      <w:r>
        <w:rPr>
          <w:rFonts w:ascii="仿宋_GB2312" w:hAnsi="仿宋_GB2312" w:eastAsia="仿宋_GB2312"/>
          <w:sz w:val="32"/>
        </w:rPr>
        <w:t>（五）组织指导乡镇拥军优属工作；负责现役军人、退役军人和军属优待、抚恤等工作。</w:t>
      </w:r>
    </w:p>
    <w:p w14:paraId="1F96252F">
      <w:pPr>
        <w:spacing w:line="580" w:lineRule="exact"/>
        <w:ind w:firstLine="640"/>
        <w:jc w:val="both"/>
      </w:pPr>
      <w:r>
        <w:rPr>
          <w:rFonts w:ascii="仿宋_GB2312" w:hAnsi="仿宋_GB2312" w:eastAsia="仿宋_GB2312"/>
          <w:sz w:val="32"/>
        </w:rPr>
        <w:t>（六）负责全县范围内烈士及退役军人荣誉奖励、烈士陵园管理维护、纪念活动等工作；按照政府的批示承办</w:t>
      </w:r>
      <w:r>
        <w:rPr>
          <w:rFonts w:hint="eastAsia" w:ascii="仿宋_GB2312" w:hAnsi="仿宋_GB2312" w:eastAsia="仿宋_GB2312"/>
          <w:sz w:val="32"/>
          <w:lang w:eastAsia="zh-CN"/>
        </w:rPr>
        <w:t>全县</w:t>
      </w:r>
      <w:r>
        <w:rPr>
          <w:rFonts w:ascii="仿宋_GB2312" w:hAnsi="仿宋_GB2312" w:eastAsia="仿宋_GB2312"/>
          <w:sz w:val="32"/>
        </w:rPr>
        <w:t>烈士评定的审核工作；依法承担英雄烈士保护相关工作，总结表彰和宣扬退役军人、退役军人工作单位和个人先进典型事迹。</w:t>
      </w:r>
    </w:p>
    <w:p w14:paraId="6B169816">
      <w:pPr>
        <w:spacing w:line="580" w:lineRule="exact"/>
        <w:ind w:firstLine="640"/>
        <w:jc w:val="both"/>
      </w:pPr>
      <w:r>
        <w:rPr>
          <w:rFonts w:ascii="仿宋_GB2312" w:hAnsi="仿宋_GB2312" w:eastAsia="仿宋_GB2312"/>
          <w:sz w:val="32"/>
        </w:rPr>
        <w:t>（七）指导并监督检查退役军人相关法律法规和政策措施的落实；组织指导军人权益维护和有关人员的帮扶援助工作。</w:t>
      </w:r>
    </w:p>
    <w:p w14:paraId="5ABE03EF">
      <w:pPr>
        <w:spacing w:line="580" w:lineRule="exact"/>
        <w:ind w:firstLine="640"/>
        <w:jc w:val="both"/>
      </w:pPr>
      <w:r>
        <w:rPr>
          <w:rFonts w:ascii="仿宋_GB2312" w:hAnsi="仿宋_GB2312" w:eastAsia="仿宋_GB2312"/>
          <w:sz w:val="32"/>
        </w:rPr>
        <w:t>（八）承担县退役军人工作领导小组办公室日常工作；承担县双拥领导小组办公室日常工作。</w:t>
      </w:r>
    </w:p>
    <w:p w14:paraId="345EDFBD">
      <w:pPr>
        <w:spacing w:line="580" w:lineRule="exact"/>
        <w:ind w:firstLine="640"/>
        <w:jc w:val="both"/>
      </w:pPr>
      <w:r>
        <w:rPr>
          <w:rFonts w:ascii="仿宋_GB2312" w:hAnsi="仿宋_GB2312" w:eastAsia="仿宋_GB2312"/>
          <w:sz w:val="32"/>
        </w:rPr>
        <w:t>（九）完成县委、县政府和上级退役军人事务部门交办的其他工作任务。</w:t>
      </w:r>
    </w:p>
    <w:p w14:paraId="0C76E66D">
      <w:pPr>
        <w:spacing w:line="640" w:lineRule="exact"/>
        <w:ind w:firstLine="640"/>
        <w:jc w:val="both"/>
        <w:outlineLvl w:val="2"/>
      </w:pPr>
      <w:r>
        <w:rPr>
          <w:rFonts w:ascii="黑体" w:hAnsi="黑体" w:eastAsia="黑体"/>
          <w:sz w:val="32"/>
        </w:rPr>
        <w:t>二、机构设置及人员情况</w:t>
      </w:r>
    </w:p>
    <w:p w14:paraId="18B24C89">
      <w:pPr>
        <w:spacing w:line="580" w:lineRule="exact"/>
        <w:ind w:firstLine="640"/>
        <w:jc w:val="both"/>
      </w:pPr>
      <w:r>
        <w:rPr>
          <w:rFonts w:ascii="仿宋_GB2312" w:hAnsi="仿宋_GB2312" w:eastAsia="仿宋_GB2312"/>
          <w:sz w:val="32"/>
        </w:rPr>
        <w:t>岳普湖县退役军人事务局2024年度，实有人数9人，其中：在职人员9人，增加0人；离休人员0人，增加0人；退休人员0人,增加0人。</w:t>
      </w:r>
    </w:p>
    <w:p w14:paraId="26F7961E">
      <w:pPr>
        <w:spacing w:line="580" w:lineRule="exact"/>
        <w:ind w:firstLine="640"/>
        <w:jc w:val="both"/>
      </w:pPr>
      <w:r>
        <w:rPr>
          <w:rFonts w:ascii="仿宋_GB2312" w:hAnsi="仿宋_GB2312" w:eastAsia="仿宋_GB2312"/>
          <w:sz w:val="32"/>
        </w:rPr>
        <w:t>岳普湖县退役军人事务局无下属预算单位，下设1个科室，分别是：综合办公室。</w:t>
      </w:r>
    </w:p>
    <w:p w14:paraId="339DBE0D">
      <w:r>
        <w:br w:type="page"/>
      </w:r>
    </w:p>
    <w:p w14:paraId="5ABC9C93">
      <w:pPr>
        <w:spacing w:line="240" w:lineRule="auto"/>
        <w:jc w:val="center"/>
        <w:outlineLvl w:val="1"/>
      </w:pPr>
      <w:r>
        <w:rPr>
          <w:rFonts w:ascii="黑体" w:hAnsi="黑体" w:eastAsia="黑体"/>
          <w:sz w:val="32"/>
        </w:rPr>
        <w:t>第二部分 部门决算情况说明</w:t>
      </w:r>
    </w:p>
    <w:p w14:paraId="1271853E">
      <w:pPr>
        <w:spacing w:line="640" w:lineRule="exact"/>
        <w:ind w:firstLine="640"/>
        <w:jc w:val="both"/>
        <w:outlineLvl w:val="2"/>
      </w:pPr>
      <w:r>
        <w:rPr>
          <w:rFonts w:ascii="黑体" w:hAnsi="黑体" w:eastAsia="黑体"/>
          <w:sz w:val="32"/>
        </w:rPr>
        <w:t>一、收入支出决算总体情况说明</w:t>
      </w:r>
    </w:p>
    <w:p w14:paraId="54B0F458">
      <w:pPr>
        <w:spacing w:line="580" w:lineRule="exact"/>
        <w:ind w:firstLine="640"/>
        <w:jc w:val="both"/>
      </w:pPr>
      <w:r>
        <w:rPr>
          <w:rFonts w:ascii="仿宋_GB2312" w:hAnsi="仿宋_GB2312" w:eastAsia="仿宋_GB2312"/>
          <w:b/>
          <w:sz w:val="32"/>
        </w:rPr>
        <w:t>2024年度收入总计587.11万元，</w:t>
      </w:r>
      <w:r>
        <w:rPr>
          <w:rFonts w:ascii="仿宋_GB2312" w:hAnsi="仿宋_GB2312" w:eastAsia="仿宋_GB2312"/>
          <w:b w:val="0"/>
          <w:sz w:val="32"/>
        </w:rPr>
        <w:t>其中：本年收入合计587.11万元，使用非财政拨款结余（含专用结余）0.00万元，年初结转和结余0.00万元。</w:t>
      </w:r>
    </w:p>
    <w:p w14:paraId="2E87FC03">
      <w:pPr>
        <w:spacing w:line="580" w:lineRule="exact"/>
        <w:ind w:firstLine="640"/>
        <w:jc w:val="both"/>
      </w:pPr>
      <w:r>
        <w:rPr>
          <w:rFonts w:ascii="仿宋_GB2312" w:hAnsi="仿宋_GB2312" w:eastAsia="仿宋_GB2312"/>
          <w:b/>
          <w:sz w:val="32"/>
        </w:rPr>
        <w:t>2024年度支出总计587.11万元，</w:t>
      </w:r>
      <w:r>
        <w:rPr>
          <w:rFonts w:ascii="仿宋_GB2312" w:hAnsi="仿宋_GB2312" w:eastAsia="仿宋_GB2312"/>
          <w:b w:val="0"/>
          <w:sz w:val="32"/>
        </w:rPr>
        <w:t>其中：本年支出合计587.11万元，结余分配0.00万元，年末结转和结余0.00万元。</w:t>
      </w:r>
    </w:p>
    <w:p w14:paraId="067ABF55">
      <w:pPr>
        <w:spacing w:line="580" w:lineRule="exact"/>
        <w:ind w:firstLine="640"/>
        <w:jc w:val="both"/>
      </w:pPr>
      <w:r>
        <w:rPr>
          <w:rFonts w:ascii="仿宋_GB2312" w:hAnsi="仿宋_GB2312" w:eastAsia="仿宋_GB2312"/>
          <w:b w:val="0"/>
          <w:sz w:val="32"/>
        </w:rPr>
        <w:t>收入支出总体与上年相比，增加35.84万元，增长6.50%，主要原因是：本年在职人员工资调增，社保、公积金基数调增，人员经费增加。本年增加优抚对象补助项目，导致经费较上年增加。</w:t>
      </w:r>
    </w:p>
    <w:p w14:paraId="4FA56691">
      <w:pPr>
        <w:spacing w:line="640" w:lineRule="exact"/>
        <w:ind w:firstLine="640"/>
        <w:jc w:val="both"/>
        <w:outlineLvl w:val="2"/>
      </w:pPr>
      <w:r>
        <w:rPr>
          <w:rFonts w:ascii="黑体" w:hAnsi="黑体" w:eastAsia="黑体"/>
          <w:sz w:val="32"/>
        </w:rPr>
        <w:t>二、收入决算情况说明</w:t>
      </w:r>
    </w:p>
    <w:p w14:paraId="79737D1D">
      <w:pPr>
        <w:spacing w:line="580" w:lineRule="exact"/>
        <w:ind w:firstLine="640"/>
        <w:jc w:val="both"/>
      </w:pPr>
      <w:r>
        <w:rPr>
          <w:rFonts w:ascii="仿宋_GB2312" w:hAnsi="仿宋_GB2312" w:eastAsia="仿宋_GB2312"/>
          <w:b/>
          <w:sz w:val="32"/>
        </w:rPr>
        <w:t>本年收入587.11万元，</w:t>
      </w:r>
      <w:r>
        <w:rPr>
          <w:rFonts w:ascii="仿宋_GB2312" w:hAnsi="仿宋_GB2312" w:eastAsia="仿宋_GB2312"/>
          <w:b w:val="0"/>
          <w:sz w:val="32"/>
        </w:rPr>
        <w:t>其中：财政拨款收入587.11万元，占100.00%；上级补助收入0.00万元，占0.00%；事业收入0.00万元，占0.00%；经营收入0.00万元，占0.00%；附属单位上缴收入0.00万元，占0.00%；其他收入0.00万元，占0.00%。</w:t>
      </w:r>
    </w:p>
    <w:p w14:paraId="14AA72ED">
      <w:pPr>
        <w:spacing w:line="640" w:lineRule="exact"/>
        <w:ind w:firstLine="640"/>
        <w:jc w:val="both"/>
        <w:outlineLvl w:val="2"/>
      </w:pPr>
      <w:r>
        <w:rPr>
          <w:rFonts w:ascii="黑体" w:hAnsi="黑体" w:eastAsia="黑体"/>
          <w:sz w:val="32"/>
        </w:rPr>
        <w:t>三、支出决算情况说明</w:t>
      </w:r>
    </w:p>
    <w:p w14:paraId="0CFF4AA0">
      <w:pPr>
        <w:spacing w:line="580" w:lineRule="exact"/>
        <w:ind w:firstLine="640"/>
        <w:jc w:val="both"/>
      </w:pPr>
      <w:r>
        <w:rPr>
          <w:rFonts w:ascii="仿宋_GB2312" w:hAnsi="仿宋_GB2312" w:eastAsia="仿宋_GB2312"/>
          <w:b/>
          <w:sz w:val="32"/>
        </w:rPr>
        <w:t>本年支出587.11万元，</w:t>
      </w:r>
      <w:r>
        <w:rPr>
          <w:rFonts w:ascii="仿宋_GB2312" w:hAnsi="仿宋_GB2312" w:eastAsia="仿宋_GB2312"/>
          <w:b w:val="0"/>
          <w:sz w:val="32"/>
        </w:rPr>
        <w:t>其中：基本支出180.64万元，占30.77%；项目支出406.48万元，占69.23%；上缴上级支出0.00万元，占0.00%；经营支出0.00万元，占0.00%；对附属单位补助支出0.00万元，占0.00%。</w:t>
      </w:r>
    </w:p>
    <w:p w14:paraId="2D914B80">
      <w:pPr>
        <w:spacing w:line="640" w:lineRule="exact"/>
        <w:ind w:firstLine="640"/>
        <w:jc w:val="both"/>
        <w:outlineLvl w:val="2"/>
      </w:pPr>
      <w:r>
        <w:rPr>
          <w:rFonts w:ascii="黑体" w:hAnsi="黑体" w:eastAsia="黑体"/>
          <w:sz w:val="32"/>
        </w:rPr>
        <w:t>四、财政拨款收入支出决算总体情况说明</w:t>
      </w:r>
    </w:p>
    <w:p w14:paraId="40FC31C5">
      <w:pPr>
        <w:spacing w:line="580" w:lineRule="exact"/>
        <w:ind w:firstLine="640"/>
        <w:jc w:val="both"/>
      </w:pPr>
      <w:r>
        <w:rPr>
          <w:rFonts w:ascii="仿宋_GB2312" w:hAnsi="仿宋_GB2312" w:eastAsia="仿宋_GB2312"/>
          <w:b/>
          <w:sz w:val="32"/>
        </w:rPr>
        <w:t>2024年度财政拨款收入总计587.11万元，</w:t>
      </w:r>
      <w:r>
        <w:rPr>
          <w:rFonts w:ascii="仿宋_GB2312" w:hAnsi="仿宋_GB2312" w:eastAsia="仿宋_GB2312"/>
          <w:b w:val="0"/>
          <w:sz w:val="32"/>
        </w:rPr>
        <w:t>其中：年初财政拨款结转和结余0.00万元，本年财政拨款收入587.11万元。</w:t>
      </w:r>
      <w:r>
        <w:rPr>
          <w:rFonts w:ascii="仿宋_GB2312" w:hAnsi="仿宋_GB2312" w:eastAsia="仿宋_GB2312"/>
          <w:b/>
          <w:sz w:val="32"/>
        </w:rPr>
        <w:t>财政拨款支出总计587.11万元，</w:t>
      </w:r>
      <w:r>
        <w:rPr>
          <w:rFonts w:ascii="仿宋_GB2312" w:hAnsi="仿宋_GB2312" w:eastAsia="仿宋_GB2312"/>
          <w:b w:val="0"/>
          <w:sz w:val="32"/>
        </w:rPr>
        <w:t>其中：年末财政拨款结转和结余0.00万元，本年财政拨款支出587.11万元。</w:t>
      </w:r>
    </w:p>
    <w:p w14:paraId="09D329A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增加35.84万元，增长6.50%，主要原因是：本年在职人员工资调增，社保、公积金基数调增，人员经费增加。本年增加优抚对象补助项目，导致经费较上年增加。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年初预算数441.81万元，决算数587.11万元，预决算差异率32.89%，主要原因是：年中追加人员工资、社保、公积金基数调增部分资金，年中追加义务兵家庭优待金、一次性经济补助等项目经费，导致预决算存在差异。</w:t>
      </w:r>
    </w:p>
    <w:p w14:paraId="00829861">
      <w:pPr>
        <w:spacing w:line="640" w:lineRule="exact"/>
        <w:ind w:firstLine="640"/>
        <w:jc w:val="both"/>
        <w:outlineLvl w:val="2"/>
      </w:pPr>
      <w:r>
        <w:rPr>
          <w:rFonts w:ascii="黑体" w:hAnsi="黑体" w:eastAsia="黑体"/>
          <w:sz w:val="32"/>
        </w:rPr>
        <w:t>五、一般公共预算财政拨款支出决算情况说明</w:t>
      </w:r>
    </w:p>
    <w:p w14:paraId="340B373D">
      <w:pPr>
        <w:spacing w:line="640" w:lineRule="exact"/>
        <w:ind w:firstLine="640"/>
        <w:jc w:val="both"/>
        <w:outlineLvl w:val="3"/>
      </w:pPr>
      <w:r>
        <w:rPr>
          <w:rFonts w:ascii="楷体_GB2312" w:hAnsi="楷体_GB2312" w:eastAsia="楷体_GB2312"/>
          <w:b/>
          <w:sz w:val="32"/>
        </w:rPr>
        <w:t>（一）一般公共预算财政拨款支出决算总体情况</w:t>
      </w:r>
    </w:p>
    <w:p w14:paraId="733DEE9C">
      <w:pPr>
        <w:spacing w:line="580" w:lineRule="exact"/>
        <w:ind w:firstLine="640"/>
        <w:jc w:val="both"/>
      </w:pPr>
      <w:r>
        <w:rPr>
          <w:rFonts w:ascii="仿宋_GB2312" w:hAnsi="仿宋_GB2312" w:eastAsia="仿宋_GB2312"/>
          <w:b/>
          <w:sz w:val="32"/>
        </w:rPr>
        <w:t>2024年度一般公共预算财政拨款支出587.11万元，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增加35.84万元，增长6.50%，主要原因是：本年在职人员工资调增，社保、公积金基数调增，人员经费增加。本年增加优抚对象补助项目，导致经费较上年增加。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年初预算数441.81万元，决算数587.11万元，预决算差异率32.89%，主要原因是：年中追加人员工资、社保、公积金基数调增部分资金，年中追加义务兵家庭优待金、一次性经济补助等项目经费，导致预决算存在差异。</w:t>
      </w:r>
    </w:p>
    <w:p w14:paraId="56ECF6CB">
      <w:pPr>
        <w:spacing w:line="640" w:lineRule="exact"/>
        <w:ind w:firstLine="640"/>
        <w:jc w:val="both"/>
        <w:outlineLvl w:val="3"/>
      </w:pPr>
      <w:r>
        <w:rPr>
          <w:rFonts w:ascii="楷体_GB2312" w:hAnsi="楷体_GB2312" w:eastAsia="楷体_GB2312"/>
          <w:b/>
          <w:sz w:val="32"/>
        </w:rPr>
        <w:t>（二）一般公共预算财政拨款支出决算结构情况</w:t>
      </w:r>
    </w:p>
    <w:p w14:paraId="4B0AE9D9">
      <w:pPr>
        <w:spacing w:line="580" w:lineRule="exact"/>
        <w:ind w:firstLine="640"/>
        <w:jc w:val="both"/>
      </w:pPr>
      <w:r>
        <w:rPr>
          <w:rFonts w:ascii="仿宋_GB2312" w:hAnsi="仿宋_GB2312" w:eastAsia="仿宋_GB2312"/>
          <w:b w:val="0"/>
          <w:sz w:val="32"/>
        </w:rPr>
        <w:t>1.社会保障和就业支出(类)564.59万元,占96.16%。</w:t>
      </w:r>
    </w:p>
    <w:p w14:paraId="17E7C123">
      <w:pPr>
        <w:spacing w:line="580" w:lineRule="exact"/>
        <w:ind w:firstLine="640"/>
        <w:jc w:val="both"/>
      </w:pPr>
      <w:r>
        <w:rPr>
          <w:rFonts w:ascii="仿宋_GB2312" w:hAnsi="仿宋_GB2312" w:eastAsia="仿宋_GB2312"/>
          <w:b w:val="0"/>
          <w:sz w:val="32"/>
        </w:rPr>
        <w:t>2.卫生健康支出(类)9.73万元,占1.66%。</w:t>
      </w:r>
    </w:p>
    <w:p w14:paraId="34D367B6">
      <w:pPr>
        <w:spacing w:line="580" w:lineRule="exact"/>
        <w:ind w:firstLine="640"/>
        <w:jc w:val="both"/>
      </w:pPr>
      <w:r>
        <w:rPr>
          <w:rFonts w:ascii="仿宋_GB2312" w:hAnsi="仿宋_GB2312" w:eastAsia="仿宋_GB2312"/>
          <w:b w:val="0"/>
          <w:sz w:val="32"/>
        </w:rPr>
        <w:t>3.住房保障支出(类)12.79万元,占2.18%。</w:t>
      </w:r>
    </w:p>
    <w:p w14:paraId="33390B33">
      <w:pPr>
        <w:spacing w:line="640" w:lineRule="exact"/>
        <w:ind w:firstLine="640"/>
        <w:jc w:val="both"/>
        <w:outlineLvl w:val="3"/>
      </w:pPr>
      <w:r>
        <w:rPr>
          <w:rFonts w:ascii="楷体_GB2312" w:hAnsi="楷体_GB2312" w:eastAsia="楷体_GB2312"/>
          <w:b/>
          <w:sz w:val="32"/>
        </w:rPr>
        <w:t>（三）一般公共预算财政拨款支出决算具体情况</w:t>
      </w:r>
    </w:p>
    <w:p w14:paraId="72C0CB74">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15.75万元，比上年决算增加3.33万元，增长26.81%,主要原因是：本年在职人员工资基数调增，养老缴费基数上涨，相应支出增加。</w:t>
      </w:r>
    </w:p>
    <w:p w14:paraId="00EFDA0C">
      <w:pPr>
        <w:spacing w:line="580" w:lineRule="exact"/>
        <w:ind w:firstLine="640"/>
        <w:jc w:val="both"/>
      </w:pPr>
      <w:r>
        <w:rPr>
          <w:rFonts w:ascii="仿宋_GB2312" w:hAnsi="仿宋_GB2312" w:eastAsia="仿宋_GB2312"/>
          <w:b w:val="0"/>
          <w:sz w:val="32"/>
        </w:rPr>
        <w:t>2.社会保障和就业支出(类)抚恤(款)伤残抚恤(项):支出决算数为0.00万元，比上年决算减少2.64万元，下降100.00%,主要原因是：本年科目调整，优抚对象补助项目经费上年在本科目列支，本年调整至其他优抚科目列支，导致经费较上年减少。</w:t>
      </w:r>
    </w:p>
    <w:p w14:paraId="52C616D1">
      <w:pPr>
        <w:spacing w:line="580" w:lineRule="exact"/>
        <w:ind w:firstLine="640"/>
        <w:jc w:val="both"/>
      </w:pPr>
      <w:r>
        <w:rPr>
          <w:rFonts w:ascii="仿宋_GB2312" w:hAnsi="仿宋_GB2312" w:eastAsia="仿宋_GB2312"/>
          <w:b w:val="0"/>
          <w:sz w:val="32"/>
        </w:rPr>
        <w:t>3.社会保障和就业支出(类)抚恤(款)义务兵优待(项):支出决算数为76.92万元，比上年决算增加27.92万元，增长56.98%,主要原因是：本年义务兵优待金项目资金增加。</w:t>
      </w:r>
    </w:p>
    <w:p w14:paraId="110B5CDC">
      <w:pPr>
        <w:spacing w:line="580" w:lineRule="exact"/>
        <w:ind w:firstLine="640"/>
        <w:jc w:val="both"/>
      </w:pPr>
      <w:r>
        <w:rPr>
          <w:rFonts w:ascii="仿宋_GB2312" w:hAnsi="仿宋_GB2312" w:eastAsia="仿宋_GB2312"/>
          <w:b w:val="0"/>
          <w:sz w:val="32"/>
        </w:rPr>
        <w:t>4.社会保障和就业支出(类)抚恤(款)农村籍退役士兵老年生活补助(项):支出决算数为0.00万元，比上年决算减少3.18万元，下降100.00%,主要原因是：本年科目调整，优抚对象慰问项目上年在本科目列支，本年调整至其他优抚科目列支，导致经费较上年减少。</w:t>
      </w:r>
    </w:p>
    <w:p w14:paraId="3D4B5A7D">
      <w:pPr>
        <w:spacing w:line="580" w:lineRule="exact"/>
        <w:ind w:firstLine="640"/>
        <w:jc w:val="both"/>
      </w:pPr>
      <w:r>
        <w:rPr>
          <w:rFonts w:ascii="仿宋_GB2312" w:hAnsi="仿宋_GB2312" w:eastAsia="仿宋_GB2312"/>
          <w:b w:val="0"/>
          <w:sz w:val="32"/>
        </w:rPr>
        <w:t>5.社会保障和就业支出(类)抚恤(款)其他优抚支出(项):支出决算数为233.03万元，比上年决算增加20.73万元，增长9.76%,主要原因是：本年科目调整，优抚对象补助项目经费上年在伤残抚恤科目列支，优抚对象慰问项目上年在农村籍退役士兵老年生活补助科目列支，本年</w:t>
      </w:r>
      <w:r>
        <w:rPr>
          <w:rFonts w:hint="eastAsia" w:ascii="仿宋_GB2312" w:hAnsi="仿宋_GB2312" w:eastAsia="仿宋_GB2312"/>
          <w:b w:val="0"/>
          <w:sz w:val="32"/>
          <w:lang w:val="en-US" w:eastAsia="zh-CN"/>
        </w:rPr>
        <w:t>均</w:t>
      </w:r>
      <w:r>
        <w:rPr>
          <w:rFonts w:ascii="仿宋_GB2312" w:hAnsi="仿宋_GB2312" w:eastAsia="仿宋_GB2312"/>
          <w:b w:val="0"/>
          <w:sz w:val="32"/>
        </w:rPr>
        <w:t>调整至其他优抚科目列支，导致经费较上年增加。</w:t>
      </w:r>
    </w:p>
    <w:p w14:paraId="003FF2FD">
      <w:pPr>
        <w:spacing w:line="580" w:lineRule="exact"/>
        <w:ind w:firstLine="640"/>
        <w:jc w:val="both"/>
      </w:pPr>
      <w:r>
        <w:rPr>
          <w:rFonts w:ascii="仿宋_GB2312" w:hAnsi="仿宋_GB2312" w:eastAsia="仿宋_GB2312"/>
          <w:b w:val="0"/>
          <w:sz w:val="32"/>
        </w:rPr>
        <w:t>6.社会保障和就业支出(类)退役安置(款)军队转业干部安置(项):支出决算数为1.85万元，比上年决算减少3.60万元，下降66.06%,主要原因是：本年军队转业干部安置项目资金减少。</w:t>
      </w:r>
    </w:p>
    <w:p w14:paraId="015D2D66">
      <w:pPr>
        <w:spacing w:line="580" w:lineRule="exact"/>
        <w:ind w:firstLine="640"/>
        <w:jc w:val="both"/>
      </w:pPr>
      <w:r>
        <w:rPr>
          <w:rFonts w:ascii="仿宋_GB2312" w:hAnsi="仿宋_GB2312" w:eastAsia="仿宋_GB2312"/>
          <w:b w:val="0"/>
          <w:sz w:val="32"/>
        </w:rPr>
        <w:t>7.社会保障和就业支出(类)退役安置(款)其他退役安置支出(项):支出决算数为2.91万元，比上年决算增加2.24万元，增长334.33%,主要原因是：本年军队转业干部管理服务项目资金增加。</w:t>
      </w:r>
    </w:p>
    <w:p w14:paraId="6C428A00">
      <w:pPr>
        <w:spacing w:line="580" w:lineRule="exact"/>
        <w:ind w:firstLine="640"/>
        <w:jc w:val="both"/>
      </w:pPr>
      <w:r>
        <w:rPr>
          <w:rFonts w:ascii="仿宋_GB2312" w:hAnsi="仿宋_GB2312" w:eastAsia="仿宋_GB2312"/>
          <w:b w:val="0"/>
          <w:sz w:val="32"/>
        </w:rPr>
        <w:t>8.社会保障和就业支出(类)退役军人管理事务(款)行政运行(项):支出决算数为144.31万元，比上年决算增加16.09万元，增长12.55%,主要原因是：本年在职人员工资调增，导致相关人员经费较上年有所增加。</w:t>
      </w:r>
    </w:p>
    <w:p w14:paraId="7D2B5FBC">
      <w:pPr>
        <w:spacing w:line="580" w:lineRule="exact"/>
        <w:ind w:firstLine="640"/>
        <w:jc w:val="both"/>
      </w:pPr>
      <w:r>
        <w:rPr>
          <w:rFonts w:ascii="仿宋_GB2312" w:hAnsi="仿宋_GB2312" w:eastAsia="仿宋_GB2312"/>
          <w:b w:val="0"/>
          <w:sz w:val="32"/>
        </w:rPr>
        <w:t>9.社会保障和就业支出(类)退役军人管理事务(款)拥军优属(项):支出决算数为13.35万元，比上年决算减少8.63万元，下降39.26%,主要原因是：本年八一、春节慰问项目资金减少。</w:t>
      </w:r>
    </w:p>
    <w:p w14:paraId="30917DE0">
      <w:pPr>
        <w:spacing w:line="580" w:lineRule="exact"/>
        <w:ind w:firstLine="640"/>
        <w:jc w:val="both"/>
      </w:pPr>
      <w:r>
        <w:rPr>
          <w:rFonts w:ascii="仿宋_GB2312" w:hAnsi="仿宋_GB2312" w:eastAsia="仿宋_GB2312"/>
          <w:b w:val="0"/>
          <w:sz w:val="32"/>
        </w:rPr>
        <w:t>10.社会保障和就业支出(类)退役军人管理事务(款)其他退役军人事务管理支出(项):支出决算数为76.45万元，比上年决算减少20.95万元，下降21.51%,主要原因是：本年自主择业医疗补助项目</w:t>
      </w:r>
      <w:r>
        <w:rPr>
          <w:rFonts w:hint="eastAsia" w:ascii="仿宋_GB2312" w:hAnsi="仿宋_GB2312" w:eastAsia="仿宋_GB2312"/>
          <w:b w:val="0"/>
          <w:sz w:val="32"/>
          <w:lang w:eastAsia="zh-CN"/>
        </w:rPr>
        <w:t>、</w:t>
      </w:r>
      <w:r>
        <w:rPr>
          <w:rFonts w:ascii="仿宋_GB2312" w:hAnsi="仿宋_GB2312" w:eastAsia="仿宋_GB2312"/>
          <w:b w:val="0"/>
          <w:sz w:val="32"/>
        </w:rPr>
        <w:t>一次性经济补助项目资金减少。</w:t>
      </w:r>
    </w:p>
    <w:p w14:paraId="6DD8D614">
      <w:pPr>
        <w:spacing w:line="580" w:lineRule="exact"/>
        <w:ind w:firstLine="640"/>
        <w:jc w:val="both"/>
      </w:pPr>
      <w:r>
        <w:rPr>
          <w:rFonts w:ascii="仿宋_GB2312" w:hAnsi="仿宋_GB2312" w:eastAsia="仿宋_GB2312"/>
          <w:b w:val="0"/>
          <w:sz w:val="32"/>
        </w:rPr>
        <w:t>11.卫生健康支出(类)行政事业单位医疗(款)行政单位医疗(项):支出决算数为6.70万元，比上年决算增加1.32万元，增长24.54%,主要原因是：本年在职人员工资基数调增，医疗缴费基数上涨，相应支出增加。</w:t>
      </w:r>
    </w:p>
    <w:p w14:paraId="7D8BF83F">
      <w:pPr>
        <w:spacing w:line="580" w:lineRule="exact"/>
        <w:ind w:firstLine="640"/>
        <w:jc w:val="both"/>
      </w:pPr>
      <w:r>
        <w:rPr>
          <w:rFonts w:ascii="仿宋_GB2312" w:hAnsi="仿宋_GB2312" w:eastAsia="仿宋_GB2312"/>
          <w:b w:val="0"/>
          <w:sz w:val="32"/>
        </w:rPr>
        <w:t>12.卫生健康支出(类)行政事业单位医疗(款)公务员医疗补助(项):支出决算数为1.08万元，比上年决算增加0.30万元，增长38.46%,主要原因是：本年在职人员工资基数调增，医疗缴费基数上涨，相应支出增加。</w:t>
      </w:r>
    </w:p>
    <w:p w14:paraId="25286D88">
      <w:pPr>
        <w:spacing w:line="580" w:lineRule="exact"/>
        <w:ind w:firstLine="640"/>
        <w:jc w:val="both"/>
      </w:pPr>
      <w:r>
        <w:rPr>
          <w:rFonts w:ascii="仿宋_GB2312" w:hAnsi="仿宋_GB2312" w:eastAsia="仿宋_GB2312"/>
          <w:b w:val="0"/>
          <w:sz w:val="32"/>
        </w:rPr>
        <w:t>13.卫生健康支出(类)优抚对象医疗(款)其他优抚对象医疗支出(项):支出决算数为1.96万元，比上年决算减少0.04万元，下降2.00%,主要原因是：本年其他优抚对象医疗补助项目人员减少，相应支出减少。</w:t>
      </w:r>
    </w:p>
    <w:p w14:paraId="58E76955">
      <w:pPr>
        <w:spacing w:line="580" w:lineRule="exact"/>
        <w:ind w:firstLine="640"/>
        <w:jc w:val="both"/>
      </w:pPr>
      <w:r>
        <w:rPr>
          <w:rFonts w:ascii="仿宋_GB2312" w:hAnsi="仿宋_GB2312" w:eastAsia="仿宋_GB2312"/>
          <w:b w:val="0"/>
          <w:sz w:val="32"/>
        </w:rPr>
        <w:t>14.住房保障支出(类)住房改革支出(款)住房公积金(项):支出决算数为12.79万元，比上年决算增加2.95万元，增长29.98%,主要原因是：本年在职人员工资基数调增，公积金缴费基数上涨，相应支出增加。</w:t>
      </w:r>
    </w:p>
    <w:p w14:paraId="5C0A3B4F">
      <w:pPr>
        <w:spacing w:line="640" w:lineRule="exact"/>
        <w:ind w:firstLine="640"/>
        <w:jc w:val="both"/>
        <w:outlineLvl w:val="2"/>
      </w:pPr>
      <w:r>
        <w:rPr>
          <w:rFonts w:ascii="黑体" w:hAnsi="黑体" w:eastAsia="黑体"/>
          <w:sz w:val="32"/>
        </w:rPr>
        <w:t>六、一般公共预算财政拨款基本支出决算情况说明</w:t>
      </w:r>
    </w:p>
    <w:p w14:paraId="6B7D0FF7">
      <w:pPr>
        <w:spacing w:line="580" w:lineRule="exact"/>
        <w:ind w:firstLine="640"/>
        <w:jc w:val="both"/>
      </w:pPr>
      <w:r>
        <w:rPr>
          <w:rFonts w:ascii="仿宋_GB2312" w:hAnsi="仿宋_GB2312" w:eastAsia="仿宋_GB2312"/>
          <w:b w:val="0"/>
          <w:sz w:val="32"/>
        </w:rPr>
        <w:t>2024年度一般公共预算财政拨款基本支出180.64万元，其中：</w:t>
      </w:r>
      <w:r>
        <w:rPr>
          <w:rFonts w:ascii="仿宋_GB2312" w:hAnsi="仿宋_GB2312" w:eastAsia="仿宋_GB2312"/>
          <w:b/>
          <w:sz w:val="32"/>
        </w:rPr>
        <w:t>人员经费173.95万元，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包括：基本工资、津贴补贴、奖金、绩效工资、机关事业单位基本养老保险缴费、职工基本医疗保险缴费、公务员医疗补助缴费、其他社会保障缴费、住房公积金、医疗费补助、奖励金。</w:t>
      </w:r>
    </w:p>
    <w:p w14:paraId="3B58A640">
      <w:pPr>
        <w:spacing w:line="580" w:lineRule="exact"/>
        <w:ind w:firstLine="640"/>
        <w:jc w:val="both"/>
      </w:pPr>
      <w:r>
        <w:rPr>
          <w:rFonts w:ascii="仿宋_GB2312" w:hAnsi="仿宋_GB2312" w:eastAsia="仿宋_GB2312"/>
          <w:b/>
          <w:sz w:val="32"/>
        </w:rPr>
        <w:t>公用经费6.69万元，</w:t>
      </w:r>
      <w:r>
        <w:rPr>
          <w:rFonts w:ascii="仿宋_GB2312" w:hAnsi="仿宋_GB2312" w:eastAsia="仿宋_GB2312"/>
          <w:b w:val="0"/>
          <w:sz w:val="32"/>
        </w:rPr>
        <w:t>包括：办公费、邮电费、取暖费、物业管理费、公务接待费、公务用车运行维护费。</w:t>
      </w:r>
    </w:p>
    <w:p w14:paraId="249AA930">
      <w:pPr>
        <w:spacing w:line="640" w:lineRule="exact"/>
        <w:ind w:firstLine="640"/>
        <w:jc w:val="both"/>
        <w:outlineLvl w:val="2"/>
      </w:pPr>
      <w:r>
        <w:rPr>
          <w:rFonts w:ascii="黑体" w:hAnsi="黑体" w:eastAsia="黑体"/>
          <w:sz w:val="32"/>
        </w:rPr>
        <w:t>七、政府性基金预算财政拨款收入支出决算情况说明</w:t>
      </w:r>
    </w:p>
    <w:p w14:paraId="0DF3D64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38C44F1">
      <w:pPr>
        <w:spacing w:line="640" w:lineRule="exact"/>
        <w:ind w:firstLine="640"/>
        <w:jc w:val="both"/>
        <w:outlineLvl w:val="2"/>
      </w:pPr>
      <w:r>
        <w:rPr>
          <w:rFonts w:ascii="黑体" w:hAnsi="黑体" w:eastAsia="黑体"/>
          <w:sz w:val="32"/>
        </w:rPr>
        <w:t>八、国有资本经营预算财政拨款收入支出决算情况说明</w:t>
      </w:r>
    </w:p>
    <w:p w14:paraId="43BE772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33E1F13">
      <w:pPr>
        <w:spacing w:line="640" w:lineRule="exact"/>
        <w:ind w:firstLine="640"/>
        <w:jc w:val="both"/>
        <w:outlineLvl w:val="2"/>
      </w:pPr>
      <w:r>
        <w:rPr>
          <w:rFonts w:ascii="黑体" w:hAnsi="黑体" w:eastAsia="黑体"/>
          <w:sz w:val="32"/>
        </w:rPr>
        <w:t>九、财政拨款“三公”经费支出决算情况说明</w:t>
      </w:r>
    </w:p>
    <w:p w14:paraId="1157C6BB">
      <w:pPr>
        <w:spacing w:line="580" w:lineRule="exact"/>
        <w:ind w:firstLine="640"/>
        <w:jc w:val="both"/>
      </w:pPr>
      <w:r>
        <w:rPr>
          <w:rFonts w:ascii="仿宋_GB2312" w:hAnsi="仿宋_GB2312" w:eastAsia="仿宋_GB2312"/>
          <w:b/>
          <w:sz w:val="32"/>
        </w:rPr>
        <w:t>2024年度财政拨款“三公”经费支出3.12万元，</w:t>
      </w:r>
      <w:r>
        <w:rPr>
          <w:rFonts w:ascii="仿宋_GB2312" w:hAnsi="仿宋_GB2312" w:eastAsia="仿宋_GB2312"/>
          <w:b w:val="0"/>
          <w:sz w:val="32"/>
        </w:rPr>
        <w:t>比上年增加1.22万元，增长64.21%，主要原因是：</w:t>
      </w:r>
      <w:bookmarkStart w:id="0" w:name="_GoBack"/>
      <w:r>
        <w:rPr>
          <w:rFonts w:ascii="仿宋_GB2312" w:hAnsi="仿宋_GB2312" w:eastAsia="仿宋_GB2312"/>
          <w:b w:val="0"/>
          <w:sz w:val="32"/>
        </w:rPr>
        <w:t>本年接受捐赠车一辆，因业务需求，用车次数增加，燃油费增加，导致公务用车运行维</w:t>
      </w:r>
      <w:bookmarkEnd w:id="0"/>
      <w:r>
        <w:rPr>
          <w:rFonts w:ascii="仿宋_GB2312" w:hAnsi="仿宋_GB2312" w:eastAsia="仿宋_GB2312"/>
          <w:b w:val="0"/>
          <w:sz w:val="32"/>
        </w:rPr>
        <w:t>护费较上年增加。其中：因公出国（境）费支出0.00万元，占0.00%，比上年增加0.00万元，增长0.00%，主要原因是：2023年与2024年均未安排因公出国（境）费支出。公务用车购置及运行维护费支出3.00万元，占96.15%，比上年增加1.10万元，增长57.89%，主要原因是：本年接受捐赠车一辆，因业务需求，用车次数增加，燃油费增加，导致公务用车运行维护费较上年增加。公务接待费支出0.12万元，占3.85%，比上年增加0.12万元，增长100.00%，主要原因是：本年因业务需求，增加公务接待工作，导致公务接待费较上年增加。</w:t>
      </w:r>
    </w:p>
    <w:p w14:paraId="6C1B657B">
      <w:pPr>
        <w:spacing w:line="580" w:lineRule="exact"/>
        <w:ind w:firstLine="640"/>
        <w:jc w:val="both"/>
      </w:pPr>
      <w:r>
        <w:rPr>
          <w:rFonts w:ascii="仿宋_GB2312" w:hAnsi="仿宋_GB2312" w:eastAsia="仿宋_GB2312"/>
          <w:b/>
          <w:sz w:val="32"/>
        </w:rPr>
        <w:t>具体情况如下：</w:t>
      </w:r>
    </w:p>
    <w:p w14:paraId="2BE526B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A6122B6">
      <w:pPr>
        <w:spacing w:line="580" w:lineRule="exact"/>
        <w:ind w:firstLine="640"/>
        <w:jc w:val="both"/>
      </w:pPr>
      <w:r>
        <w:rPr>
          <w:rFonts w:ascii="仿宋_GB2312" w:hAnsi="仿宋_GB2312" w:eastAsia="仿宋_GB2312"/>
          <w:b w:val="0"/>
          <w:sz w:val="32"/>
        </w:rPr>
        <w:t>公务用车购置及运行维护费3.00万元，其中：公务用车购置费0.00万元，公务用车运行维护费3.00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60F68E08">
      <w:pPr>
        <w:spacing w:line="580" w:lineRule="exact"/>
        <w:ind w:firstLine="640"/>
        <w:jc w:val="both"/>
      </w:pPr>
      <w:r>
        <w:rPr>
          <w:rFonts w:ascii="仿宋_GB2312" w:hAnsi="仿宋_GB2312" w:eastAsia="仿宋_GB2312"/>
          <w:b w:val="0"/>
          <w:sz w:val="32"/>
        </w:rPr>
        <w:t>公务接待费0.12万元，开支内容包括年底接待检查、山东援疆工作对接产生的接待费，住宿费。单位全年安排的国内公务接待2批次，19人次。</w:t>
      </w:r>
    </w:p>
    <w:p w14:paraId="365FFC6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3.12万元，决算数3.12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3.00万元，预决算差异率0.00%，主要原因是：严格按照预算执行，预决算无差异。公务接待费全年预算数0.12万元，决算数0.12万元，预决算差异率0.00%，主要原因是：严格按照预算执行，预决算无差异。</w:t>
      </w:r>
    </w:p>
    <w:p w14:paraId="749A953B">
      <w:pPr>
        <w:spacing w:line="640" w:lineRule="exact"/>
        <w:ind w:firstLine="640"/>
        <w:jc w:val="both"/>
        <w:outlineLvl w:val="2"/>
      </w:pPr>
      <w:r>
        <w:rPr>
          <w:rFonts w:ascii="黑体" w:hAnsi="黑体" w:eastAsia="黑体"/>
          <w:sz w:val="32"/>
        </w:rPr>
        <w:t>十、其他重要事项的情况说明</w:t>
      </w:r>
    </w:p>
    <w:p w14:paraId="5A2E1149">
      <w:pPr>
        <w:spacing w:line="640" w:lineRule="exact"/>
        <w:ind w:firstLine="640"/>
        <w:jc w:val="both"/>
        <w:outlineLvl w:val="3"/>
      </w:pPr>
      <w:r>
        <w:rPr>
          <w:rFonts w:ascii="楷体_GB2312" w:hAnsi="楷体_GB2312" w:eastAsia="楷体_GB2312"/>
          <w:b/>
          <w:sz w:val="32"/>
        </w:rPr>
        <w:t>（一）机关运行经费及公用经费支出情况</w:t>
      </w:r>
    </w:p>
    <w:p w14:paraId="41072C93">
      <w:pPr>
        <w:spacing w:line="580" w:lineRule="exact"/>
        <w:ind w:firstLine="640"/>
        <w:jc w:val="both"/>
      </w:pPr>
      <w:r>
        <w:rPr>
          <w:rFonts w:ascii="仿宋_GB2312" w:hAnsi="仿宋_GB2312" w:eastAsia="仿宋_GB2312"/>
          <w:b w:val="0"/>
          <w:sz w:val="32"/>
        </w:rPr>
        <w:t>2024年度岳普湖县退役军人事务局（行政单位和参照公务员法管理事业单位）机关运行经费支出6.69万元，比上年增加0.50万元，增长8.08%，主要原因是：本年业务量增加，公用经费增加。</w:t>
      </w:r>
    </w:p>
    <w:p w14:paraId="63735CA3">
      <w:pPr>
        <w:spacing w:line="640" w:lineRule="exact"/>
        <w:ind w:firstLine="640"/>
        <w:jc w:val="both"/>
        <w:outlineLvl w:val="3"/>
      </w:pPr>
      <w:r>
        <w:rPr>
          <w:rFonts w:ascii="楷体_GB2312" w:hAnsi="楷体_GB2312" w:eastAsia="楷体_GB2312"/>
          <w:b/>
          <w:sz w:val="32"/>
        </w:rPr>
        <w:t>（二）政府采购情况</w:t>
      </w:r>
    </w:p>
    <w:p w14:paraId="599F8081">
      <w:pPr>
        <w:spacing w:line="580" w:lineRule="exact"/>
        <w:ind w:firstLine="640"/>
        <w:jc w:val="both"/>
      </w:pPr>
      <w:r>
        <w:rPr>
          <w:rFonts w:ascii="仿宋_GB2312" w:hAnsi="仿宋_GB2312" w:eastAsia="仿宋_GB2312"/>
          <w:b w:val="0"/>
          <w:sz w:val="32"/>
        </w:rPr>
        <w:t>2024年度政府采购支出总额1.67万元，其中：政府采购货物支出0.49万元、政府采购工程支出0.00万元、政府采购服务支出1.17万元。</w:t>
      </w:r>
    </w:p>
    <w:p w14:paraId="415317DE">
      <w:pPr>
        <w:spacing w:line="580" w:lineRule="exact"/>
        <w:ind w:firstLine="640"/>
        <w:jc w:val="both"/>
      </w:pPr>
      <w:r>
        <w:rPr>
          <w:rFonts w:ascii="仿宋_GB2312" w:hAnsi="仿宋_GB2312" w:eastAsia="仿宋_GB2312"/>
          <w:b w:val="0"/>
          <w:sz w:val="32"/>
        </w:rPr>
        <w:t>授予中小企业合同金额1.17万元，占政府采购支出总额的70.06%，其中：授予小微企业合同金额1.17万元，占政府采购支出总额的70.06%。</w:t>
      </w:r>
    </w:p>
    <w:p w14:paraId="76FC66CE">
      <w:pPr>
        <w:spacing w:line="640" w:lineRule="exact"/>
        <w:ind w:firstLine="640"/>
        <w:jc w:val="both"/>
        <w:outlineLvl w:val="3"/>
      </w:pPr>
      <w:r>
        <w:rPr>
          <w:rFonts w:ascii="楷体_GB2312" w:hAnsi="楷体_GB2312" w:eastAsia="楷体_GB2312"/>
          <w:b/>
          <w:sz w:val="32"/>
        </w:rPr>
        <w:t>（三）国有资产占用情况说明</w:t>
      </w:r>
    </w:p>
    <w:p w14:paraId="0A6BBCC4">
      <w:pPr>
        <w:spacing w:line="580" w:lineRule="exact"/>
        <w:ind w:firstLine="640"/>
        <w:jc w:val="both"/>
      </w:pPr>
      <w:r>
        <w:rPr>
          <w:rFonts w:ascii="仿宋_GB2312" w:hAnsi="仿宋_GB2312" w:eastAsia="仿宋_GB2312"/>
          <w:b w:val="0"/>
          <w:sz w:val="32"/>
        </w:rPr>
        <w:t>截至2024年12月31日，房屋0.00平方米，价值0.00万元。车辆2辆，价值21.16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5F50DDDF">
      <w:pPr>
        <w:spacing w:line="640" w:lineRule="exact"/>
        <w:ind w:firstLine="640"/>
        <w:jc w:val="both"/>
        <w:outlineLvl w:val="2"/>
      </w:pPr>
      <w:r>
        <w:rPr>
          <w:rFonts w:ascii="黑体" w:hAnsi="黑体" w:eastAsia="黑体"/>
          <w:sz w:val="32"/>
        </w:rPr>
        <w:t>十一、预算绩效的情况说明</w:t>
      </w:r>
    </w:p>
    <w:p w14:paraId="761D2C3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587.12万元，实际执行总额587.12万元；预算绩效评价项目11个，全年预算数587.11万元，全年执行数587.11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预算绩效项目不予公开。具体附整体支出绩效自评表。</w:t>
      </w:r>
    </w:p>
    <w:p w14:paraId="04E95C5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A49312B">
        <w:tblPrEx>
          <w:tblCellMar>
            <w:top w:w="0" w:type="dxa"/>
            <w:left w:w="108" w:type="dxa"/>
            <w:bottom w:w="0" w:type="dxa"/>
            <w:right w:w="108" w:type="dxa"/>
          </w:tblCellMar>
        </w:tblPrEx>
        <w:tc>
          <w:tcPr>
            <w:tcW w:w="8847" w:type="dxa"/>
            <w:gridSpan w:val="9"/>
            <w:vAlign w:val="center"/>
          </w:tcPr>
          <w:p w14:paraId="041C1D5C">
            <w:pPr>
              <w:jc w:val="center"/>
            </w:pPr>
            <w:r>
              <w:rPr>
                <w:rFonts w:ascii="宋体" w:hAnsi="宋体" w:eastAsia="宋体"/>
                <w:sz w:val="24"/>
              </w:rPr>
              <w:t>单位整体支出绩效自评表</w:t>
            </w:r>
          </w:p>
        </w:tc>
      </w:tr>
      <w:tr w14:paraId="3F2C1797">
        <w:tblPrEx>
          <w:tblCellMar>
            <w:top w:w="0" w:type="dxa"/>
            <w:left w:w="108" w:type="dxa"/>
            <w:bottom w:w="0" w:type="dxa"/>
            <w:right w:w="108" w:type="dxa"/>
          </w:tblCellMar>
        </w:tblPrEx>
        <w:tc>
          <w:tcPr>
            <w:tcW w:w="8847" w:type="dxa"/>
            <w:gridSpan w:val="9"/>
            <w:vAlign w:val="center"/>
          </w:tcPr>
          <w:p w14:paraId="60F83D6C">
            <w:pPr>
              <w:jc w:val="center"/>
            </w:pPr>
            <w:r>
              <w:rPr>
                <w:rFonts w:ascii="宋体" w:hAnsi="宋体" w:eastAsia="宋体"/>
                <w:sz w:val="24"/>
              </w:rPr>
              <w:t>（2024年度）</w:t>
            </w:r>
          </w:p>
        </w:tc>
      </w:tr>
      <w:tr w14:paraId="01F97D7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4FDB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C35A41C">
            <w:pPr>
              <w:jc w:val="center"/>
            </w:pPr>
            <w:r>
              <w:rPr>
                <w:rFonts w:ascii="宋体" w:hAnsi="宋体" w:eastAsia="宋体"/>
                <w:sz w:val="16"/>
              </w:rPr>
              <w:t>岳普湖县退役军人事务局</w:t>
            </w:r>
          </w:p>
        </w:tc>
      </w:tr>
      <w:tr w14:paraId="1444422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A6E7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89DA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A4F8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633C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0BD2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D825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A24F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34AE5">
            <w:pPr>
              <w:jc w:val="center"/>
            </w:pPr>
            <w:r>
              <w:rPr>
                <w:rFonts w:ascii="宋体" w:hAnsi="宋体" w:eastAsia="宋体"/>
                <w:sz w:val="16"/>
              </w:rPr>
              <w:t>得分</w:t>
            </w:r>
          </w:p>
        </w:tc>
      </w:tr>
      <w:tr w14:paraId="5B88A3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6DC6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5248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EFF51">
            <w:pPr>
              <w:jc w:val="center"/>
            </w:pPr>
            <w:r>
              <w:rPr>
                <w:rFonts w:ascii="宋体" w:hAnsi="宋体" w:eastAsia="宋体"/>
                <w:sz w:val="16"/>
              </w:rPr>
              <w:t>441.81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DA5F7">
            <w:pPr>
              <w:jc w:val="center"/>
            </w:pPr>
            <w:r>
              <w:rPr>
                <w:rFonts w:ascii="宋体" w:hAnsi="宋体" w:eastAsia="宋体"/>
                <w:sz w:val="16"/>
              </w:rPr>
              <w:t>587.12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8C76D">
            <w:pPr>
              <w:jc w:val="center"/>
            </w:pPr>
            <w:r>
              <w:rPr>
                <w:rFonts w:ascii="宋体" w:hAnsi="宋体" w:eastAsia="宋体"/>
                <w:sz w:val="16"/>
              </w:rPr>
              <w:t>587.12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F0C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6B1E4">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9E85B">
            <w:pPr>
              <w:jc w:val="center"/>
            </w:pPr>
            <w:r>
              <w:rPr>
                <w:rFonts w:ascii="宋体" w:hAnsi="宋体" w:eastAsia="宋体"/>
                <w:sz w:val="16"/>
              </w:rPr>
              <w:t>10</w:t>
            </w:r>
          </w:p>
        </w:tc>
      </w:tr>
      <w:tr w14:paraId="5C8CF3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EA58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1C2C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36E0B">
            <w:pPr>
              <w:jc w:val="center"/>
            </w:pPr>
            <w:r>
              <w:rPr>
                <w:rFonts w:ascii="宋体" w:hAnsi="宋体" w:eastAsia="宋体"/>
                <w:sz w:val="16"/>
              </w:rPr>
              <w:t>270.79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8A4A9">
            <w:pPr>
              <w:jc w:val="center"/>
            </w:pPr>
            <w:r>
              <w:rPr>
                <w:rFonts w:ascii="宋体" w:hAnsi="宋体" w:eastAsia="宋体"/>
                <w:sz w:val="16"/>
              </w:rPr>
              <w:t>282.32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20DF4">
            <w:pPr>
              <w:jc w:val="center"/>
            </w:pPr>
            <w:r>
              <w:rPr>
                <w:rFonts w:ascii="宋体" w:hAnsi="宋体" w:eastAsia="宋体"/>
                <w:sz w:val="16"/>
              </w:rPr>
              <w:t>282.32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540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D46B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54391">
            <w:pPr>
              <w:jc w:val="center"/>
            </w:pPr>
            <w:r>
              <w:rPr>
                <w:rFonts w:ascii="宋体" w:hAnsi="宋体" w:eastAsia="宋体"/>
                <w:sz w:val="16"/>
              </w:rPr>
              <w:t>—</w:t>
            </w:r>
          </w:p>
        </w:tc>
      </w:tr>
      <w:tr w14:paraId="198974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2A05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D116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11839">
            <w:pPr>
              <w:jc w:val="center"/>
            </w:pPr>
            <w:r>
              <w:rPr>
                <w:rFonts w:ascii="宋体" w:hAnsi="宋体" w:eastAsia="宋体"/>
                <w:sz w:val="16"/>
              </w:rPr>
              <w:t>171.02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CEA1F">
            <w:pPr>
              <w:jc w:val="center"/>
            </w:pPr>
            <w:r>
              <w:rPr>
                <w:rFonts w:ascii="宋体" w:hAnsi="宋体" w:eastAsia="宋体"/>
                <w:sz w:val="16"/>
              </w:rPr>
              <w:t>304.80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024E8">
            <w:pPr>
              <w:jc w:val="center"/>
            </w:pPr>
            <w:r>
              <w:rPr>
                <w:rFonts w:ascii="宋体" w:hAnsi="宋体" w:eastAsia="宋体"/>
                <w:sz w:val="16"/>
              </w:rPr>
              <w:t>304.80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58E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D601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ECEDD">
            <w:pPr>
              <w:jc w:val="center"/>
            </w:pPr>
            <w:r>
              <w:rPr>
                <w:rFonts w:ascii="宋体" w:hAnsi="宋体" w:eastAsia="宋体"/>
                <w:sz w:val="16"/>
              </w:rPr>
              <w:t>—</w:t>
            </w:r>
          </w:p>
        </w:tc>
      </w:tr>
      <w:tr w14:paraId="21F71F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BC0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CE5E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CD6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F32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339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31E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B94E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44C69">
            <w:pPr>
              <w:jc w:val="center"/>
            </w:pPr>
            <w:r>
              <w:rPr>
                <w:rFonts w:ascii="宋体" w:hAnsi="宋体" w:eastAsia="宋体"/>
                <w:sz w:val="16"/>
              </w:rPr>
              <w:t>—</w:t>
            </w:r>
          </w:p>
        </w:tc>
      </w:tr>
      <w:tr w14:paraId="7A4C2D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3BD1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8302D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19ED75">
            <w:pPr>
              <w:jc w:val="center"/>
            </w:pPr>
            <w:r>
              <w:rPr>
                <w:rFonts w:ascii="宋体" w:hAnsi="宋体" w:eastAsia="宋体"/>
                <w:sz w:val="16"/>
              </w:rPr>
              <w:t>实际完成情况</w:t>
            </w:r>
          </w:p>
        </w:tc>
      </w:tr>
      <w:tr w14:paraId="323FD9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F194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C7B961">
            <w:pPr>
              <w:jc w:val="both"/>
            </w:pPr>
            <w:r>
              <w:rPr>
                <w:rFonts w:ascii="宋体" w:hAnsi="宋体" w:eastAsia="宋体"/>
                <w:sz w:val="16"/>
              </w:rPr>
              <w:t>管理服务退役军人服务站数量9个。做好优抚对象年审工作，提高优抚对象服务保障水平，宣传优抚对象医疗保障政策；扎实开展双拥工作，了解掌握退役士兵的困难需求，加强对退役士兵的精准帮扶力度，提升军人的凝聚力和归属感，依法保障退役军人合法权益，保障拥军优属工作高质量推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7B6695">
            <w:pPr>
              <w:jc w:val="both"/>
            </w:pPr>
            <w:r>
              <w:rPr>
                <w:rFonts w:ascii="宋体" w:hAnsi="宋体" w:eastAsia="宋体"/>
                <w:sz w:val="16"/>
              </w:rPr>
              <w:t>2024年度岳普湖县管理服务退役军人服务站达到了9个。及时宣传普及了优抚对象医疗保障政策；做好了优抚对象年审工作，优抚对象抚恤补助和医疗补助均及时、准确、足额兑现，提高了优抚对象服务保障水平；扎实开展了双拥工作，了解掌握了退役士兵的困难需求，进一步加强了对退役士兵的精准帮扶力度，持续提升了军人的凝聚力和归属感，依法保障了退役军人合法权益，保障了岳普湖县拥军优属工作高质量推进。</w:t>
            </w:r>
          </w:p>
        </w:tc>
      </w:tr>
      <w:tr w14:paraId="2B5F63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002A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847A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2935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A51EA">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5BF5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6C65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D451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B6B7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7C41C">
            <w:pPr>
              <w:jc w:val="center"/>
            </w:pPr>
            <w:r>
              <w:rPr>
                <w:rFonts w:ascii="宋体" w:hAnsi="宋体" w:eastAsia="宋体"/>
                <w:sz w:val="16"/>
              </w:rPr>
              <w:t>得分</w:t>
            </w:r>
          </w:p>
        </w:tc>
      </w:tr>
      <w:tr w14:paraId="2AB240D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4514C">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1704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0D991">
            <w:pPr>
              <w:jc w:val="center"/>
            </w:pPr>
            <w:r>
              <w:rPr>
                <w:rFonts w:ascii="宋体" w:hAnsi="宋体" w:eastAsia="宋体"/>
                <w:sz w:val="16"/>
              </w:rPr>
              <w:t>管理服务退役军人服务站数量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ED2D2">
            <w:pPr>
              <w:jc w:val="center"/>
            </w:pPr>
            <w:r>
              <w:rPr>
                <w:rFonts w:ascii="宋体" w:hAnsi="宋体" w:eastAsia="宋体"/>
                <w:sz w:val="16"/>
              </w:rPr>
              <w:t>&gt;=9个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2CD5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7CE9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ABD06">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69D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5A994">
            <w:pPr>
              <w:jc w:val="center"/>
            </w:pPr>
            <w:r>
              <w:rPr>
                <w:rFonts w:ascii="宋体" w:hAnsi="宋体" w:eastAsia="宋体"/>
                <w:sz w:val="16"/>
              </w:rPr>
              <w:t>18</w:t>
            </w:r>
          </w:p>
        </w:tc>
      </w:tr>
      <w:tr w14:paraId="26CE08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0CF26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B941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4086D">
            <w:pPr>
              <w:jc w:val="center"/>
            </w:pPr>
            <w:r>
              <w:rPr>
                <w:rFonts w:ascii="宋体" w:hAnsi="宋体" w:eastAsia="宋体"/>
                <w:sz w:val="16"/>
              </w:rPr>
              <w:t>优抚对象补助发放准确率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14F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B3C3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4041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4D4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5D8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5744C">
            <w:pPr>
              <w:jc w:val="center"/>
            </w:pPr>
            <w:r>
              <w:rPr>
                <w:rFonts w:ascii="宋体" w:hAnsi="宋体" w:eastAsia="宋体"/>
                <w:sz w:val="16"/>
              </w:rPr>
              <w:t>18</w:t>
            </w:r>
          </w:p>
        </w:tc>
      </w:tr>
      <w:tr w14:paraId="155D16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B28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2A6E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AB4DB">
            <w:pPr>
              <w:jc w:val="center"/>
            </w:pPr>
            <w:r>
              <w:rPr>
                <w:rFonts w:ascii="宋体" w:hAnsi="宋体" w:eastAsia="宋体"/>
                <w:sz w:val="16"/>
              </w:rPr>
              <w:t>优抚对象抚恤补助足额兑现率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EF7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16D8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433B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E9A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ACD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3DFFD">
            <w:pPr>
              <w:jc w:val="center"/>
            </w:pPr>
            <w:r>
              <w:rPr>
                <w:rFonts w:ascii="宋体" w:hAnsi="宋体" w:eastAsia="宋体"/>
                <w:sz w:val="16"/>
              </w:rPr>
              <w:t>18</w:t>
            </w:r>
          </w:p>
        </w:tc>
      </w:tr>
      <w:tr w14:paraId="2EE48F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326D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921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457EF">
            <w:pPr>
              <w:jc w:val="center"/>
            </w:pPr>
            <w:r>
              <w:rPr>
                <w:rFonts w:ascii="宋体" w:hAnsi="宋体" w:eastAsia="宋体"/>
                <w:sz w:val="16"/>
              </w:rPr>
              <w:t>优抚对象医疗保障政策宣传普及率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C19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A84E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3233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845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EAA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12EA0">
            <w:pPr>
              <w:jc w:val="center"/>
            </w:pPr>
            <w:r>
              <w:rPr>
                <w:rFonts w:ascii="宋体" w:hAnsi="宋体" w:eastAsia="宋体"/>
                <w:sz w:val="16"/>
              </w:rPr>
              <w:t>18</w:t>
            </w:r>
          </w:p>
        </w:tc>
      </w:tr>
      <w:tr w14:paraId="1D0FE7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D91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1DA4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43971">
            <w:pPr>
              <w:jc w:val="center"/>
            </w:pPr>
            <w:r>
              <w:rPr>
                <w:rFonts w:ascii="宋体" w:hAnsi="宋体" w:eastAsia="宋体"/>
                <w:sz w:val="16"/>
              </w:rPr>
              <w:t>优抚对象补助发放及时性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ECF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4AF5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B382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700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AA1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12F8E">
            <w:pPr>
              <w:jc w:val="center"/>
            </w:pPr>
            <w:r>
              <w:rPr>
                <w:rFonts w:ascii="宋体" w:hAnsi="宋体" w:eastAsia="宋体"/>
                <w:sz w:val="16"/>
              </w:rPr>
              <w:t>18</w:t>
            </w:r>
          </w:p>
        </w:tc>
      </w:tr>
    </w:tbl>
    <w:p w14:paraId="773156D7">
      <w:r>
        <w:br w:type="page"/>
      </w:r>
    </w:p>
    <w:p w14:paraId="61BC3A58">
      <w:pPr>
        <w:spacing w:line="640" w:lineRule="exact"/>
        <w:ind w:firstLine="640"/>
        <w:jc w:val="both"/>
        <w:outlineLvl w:val="2"/>
      </w:pPr>
      <w:r>
        <w:rPr>
          <w:rFonts w:ascii="黑体" w:hAnsi="黑体" w:eastAsia="黑体"/>
          <w:sz w:val="32"/>
        </w:rPr>
        <w:t>十二、其他需说明的事项</w:t>
      </w:r>
    </w:p>
    <w:p w14:paraId="3417A946">
      <w:pPr>
        <w:spacing w:line="580" w:lineRule="exact"/>
        <w:ind w:firstLine="640"/>
        <w:jc w:val="both"/>
      </w:pPr>
      <w:r>
        <w:rPr>
          <w:rFonts w:ascii="仿宋_GB2312" w:hAnsi="仿宋_GB2312" w:eastAsia="仿宋_GB2312"/>
          <w:b w:val="0"/>
          <w:sz w:val="32"/>
        </w:rPr>
        <w:t>本年本单位SM项目11个，全年预算数587.11万元，全年执行数587.11万元。</w:t>
      </w:r>
    </w:p>
    <w:p w14:paraId="339B3D7A">
      <w:r>
        <w:br w:type="page"/>
      </w:r>
    </w:p>
    <w:p w14:paraId="62F5D56C">
      <w:pPr>
        <w:spacing w:line="240" w:lineRule="auto"/>
        <w:jc w:val="center"/>
        <w:outlineLvl w:val="1"/>
      </w:pPr>
      <w:r>
        <w:rPr>
          <w:rFonts w:ascii="黑体" w:hAnsi="黑体" w:eastAsia="黑体"/>
          <w:sz w:val="32"/>
        </w:rPr>
        <w:t>第三部分 专业名词解释</w:t>
      </w:r>
    </w:p>
    <w:p w14:paraId="623D7FE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DFA64F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B4F98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17701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7CF2E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4E92E4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4FDF0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B51B26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7FFBA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EE24BF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FAE0B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43DC68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C5C217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C0100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C32700">
      <w:r>
        <w:br w:type="page"/>
      </w:r>
    </w:p>
    <w:p w14:paraId="2EB3AE7D">
      <w:pPr>
        <w:spacing w:line="240" w:lineRule="auto"/>
        <w:jc w:val="center"/>
        <w:outlineLvl w:val="1"/>
      </w:pPr>
      <w:r>
        <w:rPr>
          <w:rFonts w:ascii="黑体" w:hAnsi="黑体" w:eastAsia="黑体"/>
          <w:sz w:val="32"/>
        </w:rPr>
        <w:t>第四部分 部门决算报表（见附表）</w:t>
      </w:r>
    </w:p>
    <w:p w14:paraId="77546A26">
      <w:pPr>
        <w:spacing w:line="240" w:lineRule="auto"/>
        <w:ind w:firstLine="640"/>
        <w:jc w:val="both"/>
      </w:pPr>
      <w:r>
        <w:rPr>
          <w:rFonts w:ascii="仿宋_GB2312" w:hAnsi="仿宋_GB2312" w:eastAsia="仿宋_GB2312"/>
          <w:b w:val="0"/>
          <w:sz w:val="32"/>
        </w:rPr>
        <w:t>一、《收入支出决算总表》</w:t>
      </w:r>
    </w:p>
    <w:p w14:paraId="7F9A0169">
      <w:pPr>
        <w:spacing w:line="240" w:lineRule="auto"/>
        <w:ind w:firstLine="640"/>
        <w:jc w:val="both"/>
      </w:pPr>
      <w:r>
        <w:rPr>
          <w:rFonts w:ascii="仿宋_GB2312" w:hAnsi="仿宋_GB2312" w:eastAsia="仿宋_GB2312"/>
          <w:b w:val="0"/>
          <w:sz w:val="32"/>
        </w:rPr>
        <w:t>二、《收入决算表》</w:t>
      </w:r>
    </w:p>
    <w:p w14:paraId="681C7DA5">
      <w:pPr>
        <w:spacing w:line="240" w:lineRule="auto"/>
        <w:ind w:firstLine="640"/>
        <w:jc w:val="both"/>
      </w:pPr>
      <w:r>
        <w:rPr>
          <w:rFonts w:ascii="仿宋_GB2312" w:hAnsi="仿宋_GB2312" w:eastAsia="仿宋_GB2312"/>
          <w:b w:val="0"/>
          <w:sz w:val="32"/>
        </w:rPr>
        <w:t>三、《支出决算表》</w:t>
      </w:r>
    </w:p>
    <w:p w14:paraId="4673FA34">
      <w:pPr>
        <w:spacing w:line="240" w:lineRule="auto"/>
        <w:ind w:firstLine="640"/>
        <w:jc w:val="both"/>
      </w:pPr>
      <w:r>
        <w:rPr>
          <w:rFonts w:ascii="仿宋_GB2312" w:hAnsi="仿宋_GB2312" w:eastAsia="仿宋_GB2312"/>
          <w:b w:val="0"/>
          <w:sz w:val="32"/>
        </w:rPr>
        <w:t>四、《财政拨款收入支出决算总表》</w:t>
      </w:r>
    </w:p>
    <w:p w14:paraId="3956ACED">
      <w:pPr>
        <w:spacing w:line="240" w:lineRule="auto"/>
        <w:ind w:firstLine="640"/>
        <w:jc w:val="both"/>
      </w:pPr>
      <w:r>
        <w:rPr>
          <w:rFonts w:ascii="仿宋_GB2312" w:hAnsi="仿宋_GB2312" w:eastAsia="仿宋_GB2312"/>
          <w:b w:val="0"/>
          <w:sz w:val="32"/>
        </w:rPr>
        <w:t>五、《一般公共预算财政拨款支出决算表》</w:t>
      </w:r>
    </w:p>
    <w:p w14:paraId="774F5867">
      <w:pPr>
        <w:spacing w:line="240" w:lineRule="auto"/>
        <w:ind w:firstLine="640"/>
        <w:jc w:val="both"/>
      </w:pPr>
      <w:r>
        <w:rPr>
          <w:rFonts w:ascii="仿宋_GB2312" w:hAnsi="仿宋_GB2312" w:eastAsia="仿宋_GB2312"/>
          <w:b w:val="0"/>
          <w:sz w:val="32"/>
        </w:rPr>
        <w:t>六、《一般公共预算财政拨款基本支出决算表》</w:t>
      </w:r>
    </w:p>
    <w:p w14:paraId="4045DDFD">
      <w:pPr>
        <w:spacing w:line="240" w:lineRule="auto"/>
        <w:ind w:firstLine="640"/>
        <w:jc w:val="both"/>
      </w:pPr>
      <w:r>
        <w:rPr>
          <w:rFonts w:ascii="仿宋_GB2312" w:hAnsi="仿宋_GB2312" w:eastAsia="仿宋_GB2312"/>
          <w:b w:val="0"/>
          <w:sz w:val="32"/>
        </w:rPr>
        <w:t>七、《政府性基金预算财政拨款收入支出决算表》</w:t>
      </w:r>
    </w:p>
    <w:p w14:paraId="1585BE0D">
      <w:pPr>
        <w:spacing w:line="240" w:lineRule="auto"/>
        <w:ind w:firstLine="640"/>
        <w:jc w:val="both"/>
      </w:pPr>
      <w:r>
        <w:rPr>
          <w:rFonts w:ascii="仿宋_GB2312" w:hAnsi="仿宋_GB2312" w:eastAsia="仿宋_GB2312"/>
          <w:b w:val="0"/>
          <w:sz w:val="32"/>
        </w:rPr>
        <w:t>八、《国有资本经营预算财政拨款收入支出决算表》</w:t>
      </w:r>
    </w:p>
    <w:p w14:paraId="3740ED13">
      <w:pPr>
        <w:spacing w:line="240" w:lineRule="auto"/>
        <w:ind w:firstLine="640"/>
        <w:jc w:val="both"/>
      </w:pPr>
      <w:r>
        <w:rPr>
          <w:rFonts w:ascii="仿宋_GB2312" w:hAnsi="仿宋_GB2312" w:eastAsia="仿宋_GB2312"/>
          <w:b w:val="0"/>
          <w:sz w:val="32"/>
        </w:rPr>
        <w:t>九、《财政拨款“三公”经费支出决算表》</w:t>
      </w:r>
    </w:p>
    <w:p w14:paraId="477FAE83">
      <w:pPr>
        <w:spacing w:line="240" w:lineRule="auto"/>
        <w:ind w:firstLine="640"/>
        <w:jc w:val="both"/>
      </w:pPr>
    </w:p>
    <w:p w14:paraId="7097DB55">
      <w:pPr>
        <w:spacing w:line="240" w:lineRule="auto"/>
        <w:ind w:firstLine="640"/>
        <w:jc w:val="both"/>
      </w:pPr>
    </w:p>
    <w:p w14:paraId="1D35A74E">
      <w:pPr>
        <w:spacing w:line="240" w:lineRule="auto"/>
        <w:ind w:firstLine="640"/>
        <w:jc w:val="both"/>
      </w:pPr>
    </w:p>
    <w:p w14:paraId="4ACD369C">
      <w:pPr>
        <w:spacing w:line="240" w:lineRule="auto"/>
        <w:ind w:firstLine="640"/>
        <w:jc w:val="both"/>
      </w:pPr>
    </w:p>
    <w:p w14:paraId="10C3A3F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8D73DE-C99B-44F6-8751-8C9BC72324F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4BE97D9-141B-4221-940F-E408CFEF09F4}"/>
  </w:font>
  <w:font w:name="仿宋_GB2312">
    <w:panose1 w:val="02010609030101010101"/>
    <w:charset w:val="86"/>
    <w:family w:val="modern"/>
    <w:pitch w:val="default"/>
    <w:sig w:usb0="00000001" w:usb1="080E0000" w:usb2="00000000" w:usb3="00000000" w:csb0="00040000" w:csb1="00000000"/>
    <w:embedRegular r:id="rId3" w:fontKey="{665FCBC0-9173-477C-997A-6B09A200E7A2}"/>
  </w:font>
  <w:font w:name="楷体_GB2312">
    <w:panose1 w:val="02010609030101010101"/>
    <w:charset w:val="86"/>
    <w:family w:val="auto"/>
    <w:pitch w:val="default"/>
    <w:sig w:usb0="00000001" w:usb1="080E0000" w:usb2="00000000" w:usb3="00000000" w:csb0="00040000" w:csb1="00000000"/>
    <w:embedRegular r:id="rId4" w:fontKey="{61C797A3-EBDD-4E23-B7E2-15D37DA2D28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C563E9"/>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9A2DF4"/>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5412</Words>
  <Characters>6132</Characters>
  <Lines>0</Lines>
  <Paragraphs>0</Paragraphs>
  <TotalTime>5</TotalTime>
  <ScaleCrop>false</ScaleCrop>
  <LinksUpToDate>false</LinksUpToDate>
  <CharactersWithSpaces>6140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2025-09-12T11:10:20Z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