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岳普湖县阿其克乡中心卫生院2024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96AC81F">
      <w:r>
        <w:br w:type="page"/>
      </w:r>
    </w:p>
    <w:p w14:paraId="5BC5DFD1">
      <w:pPr>
        <w:spacing w:line="640" w:lineRule="exact"/>
        <w:jc w:val="center"/>
        <w:outlineLvl w:val="1"/>
      </w:pPr>
      <w:r>
        <w:rPr>
          <w:rFonts w:ascii="黑体" w:hAnsi="黑体" w:eastAsia="黑体"/>
          <w:sz w:val="32"/>
        </w:rPr>
        <w:t>第一部分 单位概况</w:t>
      </w:r>
    </w:p>
    <w:p w14:paraId="00A65AA2">
      <w:pPr>
        <w:spacing w:line="640" w:lineRule="exact"/>
        <w:ind w:firstLine="640"/>
        <w:jc w:val="both"/>
        <w:outlineLvl w:val="2"/>
      </w:pPr>
      <w:r>
        <w:rPr>
          <w:rFonts w:ascii="黑体" w:hAnsi="黑体" w:eastAsia="黑体"/>
          <w:sz w:val="32"/>
        </w:rPr>
        <w:t>一、主要职能</w:t>
      </w:r>
    </w:p>
    <w:p w14:paraId="0CE60C59">
      <w:pPr>
        <w:spacing w:line="580" w:lineRule="exact"/>
        <w:ind w:firstLine="640"/>
        <w:jc w:val="both"/>
      </w:pPr>
      <w:r>
        <w:rPr>
          <w:rFonts w:ascii="仿宋_GB2312" w:hAnsi="仿宋_GB2312" w:eastAsia="仿宋_GB2312"/>
          <w:sz w:val="32"/>
        </w:rPr>
        <w:t>（1）乡镇卫生院以公共卫生服务为主，综合提供预防，保健和基本医疗等服务。</w:t>
      </w:r>
    </w:p>
    <w:p w14:paraId="1168CBB8">
      <w:pPr>
        <w:spacing w:line="580" w:lineRule="exact"/>
        <w:ind w:firstLine="640"/>
        <w:jc w:val="both"/>
      </w:pPr>
      <w:r>
        <w:rPr>
          <w:rFonts w:ascii="仿宋_GB2312" w:hAnsi="仿宋_GB2312" w:eastAsia="仿宋_GB2312"/>
          <w:sz w:val="32"/>
        </w:rPr>
        <w:t>（2）加强农村疾病预防控制，做好传染病，地方病防治和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0DF7399D">
      <w:pPr>
        <w:spacing w:line="580" w:lineRule="exact"/>
        <w:ind w:firstLine="640"/>
        <w:jc w:val="both"/>
      </w:pPr>
      <w:r>
        <w:rPr>
          <w:rFonts w:ascii="仿宋_GB2312" w:hAnsi="仿宋_GB2312" w:eastAsia="仿宋_GB2312"/>
          <w:sz w:val="32"/>
        </w:rPr>
        <w:t>（3）认真执行儿童计划免疫。积极开展慢性病非传染性疾病的工作。</w:t>
      </w:r>
    </w:p>
    <w:p w14:paraId="18C87438">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64D745A7">
      <w:pPr>
        <w:spacing w:line="580" w:lineRule="exact"/>
        <w:ind w:firstLine="640"/>
        <w:jc w:val="both"/>
      </w:pPr>
      <w:r>
        <w:rPr>
          <w:rFonts w:ascii="仿宋_GB2312" w:hAnsi="仿宋_GB2312" w:eastAsia="仿宋_GB2312"/>
          <w:sz w:val="32"/>
        </w:rPr>
        <w:t>（5）积极做好城乡居民医疗服务，</w:t>
      </w:r>
      <w:r>
        <w:rPr>
          <w:rFonts w:hint="eastAsia" w:ascii="仿宋_GB2312" w:hAnsi="仿宋_GB2312" w:eastAsia="仿宋_GB2312"/>
          <w:sz w:val="32"/>
          <w:lang w:val="en-US" w:eastAsia="zh-CN"/>
        </w:rPr>
        <w:t>JHSY</w:t>
      </w:r>
      <w:r>
        <w:rPr>
          <w:rFonts w:ascii="仿宋_GB2312" w:hAnsi="仿宋_GB2312" w:eastAsia="仿宋_GB2312"/>
          <w:sz w:val="32"/>
        </w:rPr>
        <w:t>技术指导，康复等工作。</w:t>
      </w:r>
    </w:p>
    <w:p w14:paraId="6C12906A">
      <w:pPr>
        <w:spacing w:line="640" w:lineRule="exact"/>
        <w:ind w:firstLine="640"/>
        <w:jc w:val="both"/>
        <w:outlineLvl w:val="2"/>
      </w:pPr>
      <w:r>
        <w:rPr>
          <w:rFonts w:ascii="黑体" w:hAnsi="黑体" w:eastAsia="黑体"/>
          <w:sz w:val="32"/>
        </w:rPr>
        <w:t>二、机构设置及人员情况</w:t>
      </w:r>
    </w:p>
    <w:p w14:paraId="7351A770">
      <w:pPr>
        <w:spacing w:line="580" w:lineRule="exact"/>
        <w:ind w:firstLine="640"/>
        <w:jc w:val="both"/>
      </w:pPr>
      <w:r>
        <w:rPr>
          <w:rFonts w:ascii="仿宋_GB2312" w:hAnsi="仿宋_GB2312" w:eastAsia="仿宋_GB2312"/>
          <w:sz w:val="32"/>
        </w:rPr>
        <w:t>岳普湖县阿其克乡中心卫生院2024年度，实有人数43人，其中：在职人员32人，增加2人；离休人员0人，增加0人；退休人员11人,增加0人。</w:t>
      </w:r>
    </w:p>
    <w:p w14:paraId="4D31686F">
      <w:pPr>
        <w:spacing w:line="580" w:lineRule="exact"/>
        <w:ind w:firstLine="640"/>
        <w:jc w:val="both"/>
      </w:pPr>
      <w:r>
        <w:rPr>
          <w:rFonts w:ascii="仿宋_GB2312" w:hAnsi="仿宋_GB2312" w:eastAsia="仿宋_GB2312"/>
          <w:sz w:val="32"/>
        </w:rPr>
        <w:t>岳普湖县阿其克乡中心卫生院无下属预算单位，下设6个科室，分别是：财务科、院办、公共卫生科、医生办公室、门诊、药房。</w:t>
      </w:r>
    </w:p>
    <w:p w14:paraId="55BF06E7">
      <w:r>
        <w:br w:type="page"/>
      </w:r>
    </w:p>
    <w:p w14:paraId="4B9DF063">
      <w:pPr>
        <w:spacing w:line="240" w:lineRule="auto"/>
        <w:jc w:val="center"/>
        <w:outlineLvl w:val="1"/>
      </w:pPr>
      <w:r>
        <w:rPr>
          <w:rFonts w:ascii="黑体" w:hAnsi="黑体" w:eastAsia="黑体"/>
          <w:sz w:val="32"/>
        </w:rPr>
        <w:t>第二部分 部门决算情况说明</w:t>
      </w:r>
    </w:p>
    <w:p w14:paraId="0F2FC4B9">
      <w:pPr>
        <w:spacing w:line="640" w:lineRule="exact"/>
        <w:ind w:firstLine="640"/>
        <w:jc w:val="both"/>
        <w:outlineLvl w:val="2"/>
      </w:pPr>
      <w:r>
        <w:rPr>
          <w:rFonts w:ascii="黑体" w:hAnsi="黑体" w:eastAsia="黑体"/>
          <w:sz w:val="32"/>
        </w:rPr>
        <w:t>一、收入支出决算总体情况说明</w:t>
      </w:r>
    </w:p>
    <w:p w14:paraId="530D098D">
      <w:pPr>
        <w:spacing w:line="580" w:lineRule="exact"/>
        <w:ind w:firstLine="640"/>
        <w:jc w:val="both"/>
      </w:pPr>
      <w:r>
        <w:rPr>
          <w:rFonts w:ascii="仿宋_GB2312" w:hAnsi="仿宋_GB2312" w:eastAsia="仿宋_GB2312"/>
          <w:b/>
          <w:sz w:val="32"/>
        </w:rPr>
        <w:t>2024年度收入总计1,492.46万元，</w:t>
      </w:r>
      <w:r>
        <w:rPr>
          <w:rFonts w:ascii="仿宋_GB2312" w:hAnsi="仿宋_GB2312" w:eastAsia="仿宋_GB2312"/>
          <w:b w:val="0"/>
          <w:sz w:val="32"/>
        </w:rPr>
        <w:t>其中：本年收入合计1,394.70万元，使用非财政拨款结余（含专用结余）0.00万元，年初结转和结余97.75万元。</w:t>
      </w:r>
    </w:p>
    <w:p w14:paraId="07DF6141">
      <w:pPr>
        <w:spacing w:line="580" w:lineRule="exact"/>
        <w:ind w:firstLine="640"/>
        <w:jc w:val="both"/>
      </w:pPr>
      <w:r>
        <w:rPr>
          <w:rFonts w:ascii="仿宋_GB2312" w:hAnsi="仿宋_GB2312" w:eastAsia="仿宋_GB2312"/>
          <w:b/>
          <w:sz w:val="32"/>
        </w:rPr>
        <w:t>2024年度支出总计1,492.46万元，</w:t>
      </w:r>
      <w:r>
        <w:rPr>
          <w:rFonts w:ascii="仿宋_GB2312" w:hAnsi="仿宋_GB2312" w:eastAsia="仿宋_GB2312"/>
          <w:b w:val="0"/>
          <w:sz w:val="32"/>
        </w:rPr>
        <w:t>其中：本年支出合计1,332.65万元，结余分配0.00万元，年末结转和结余159.81万元。</w:t>
      </w:r>
    </w:p>
    <w:p w14:paraId="3836F29B">
      <w:pPr>
        <w:spacing w:line="580" w:lineRule="exact"/>
        <w:ind w:firstLine="640"/>
        <w:jc w:val="both"/>
      </w:pPr>
      <w:r>
        <w:rPr>
          <w:rFonts w:ascii="仿宋_GB2312" w:hAnsi="仿宋_GB2312" w:eastAsia="仿宋_GB2312"/>
          <w:b w:val="0"/>
          <w:sz w:val="32"/>
        </w:rPr>
        <w:t>收入支出总体与上年相比，减少81.98万元，下降5.21%，主要原因是：本年度减少医疗能力提升项目、村医工资项目。</w:t>
      </w:r>
    </w:p>
    <w:p w14:paraId="335FF7AF">
      <w:pPr>
        <w:spacing w:line="640" w:lineRule="exact"/>
        <w:ind w:firstLine="640"/>
        <w:jc w:val="both"/>
        <w:outlineLvl w:val="2"/>
      </w:pPr>
      <w:r>
        <w:rPr>
          <w:rFonts w:ascii="黑体" w:hAnsi="黑体" w:eastAsia="黑体"/>
          <w:sz w:val="32"/>
        </w:rPr>
        <w:t>二、收入决算情况说明</w:t>
      </w:r>
    </w:p>
    <w:p w14:paraId="6B8F395D">
      <w:pPr>
        <w:spacing w:line="580" w:lineRule="exact"/>
        <w:ind w:firstLine="640"/>
        <w:jc w:val="both"/>
      </w:pPr>
      <w:r>
        <w:rPr>
          <w:rFonts w:ascii="仿宋_GB2312" w:hAnsi="仿宋_GB2312" w:eastAsia="仿宋_GB2312"/>
          <w:b/>
          <w:sz w:val="32"/>
        </w:rPr>
        <w:t>本年收入1,394.70万元，</w:t>
      </w:r>
      <w:r>
        <w:rPr>
          <w:rFonts w:ascii="仿宋_GB2312" w:hAnsi="仿宋_GB2312" w:eastAsia="仿宋_GB2312"/>
          <w:b w:val="0"/>
          <w:sz w:val="32"/>
        </w:rPr>
        <w:t>其中：财政拨款收入685.47万元，占49.15%；上级补助收入0.00万元，占0.00%；事业收入709.05万元，占50.84%；经营收入0.00万元，占0.00%；附属单位上缴收入0.00万元，占0.00%；其他收入0.19万元，占0.01%。</w:t>
      </w:r>
    </w:p>
    <w:p w14:paraId="74D6B395">
      <w:pPr>
        <w:spacing w:line="640" w:lineRule="exact"/>
        <w:ind w:firstLine="640"/>
        <w:jc w:val="both"/>
        <w:outlineLvl w:val="2"/>
      </w:pPr>
      <w:r>
        <w:rPr>
          <w:rFonts w:ascii="黑体" w:hAnsi="黑体" w:eastAsia="黑体"/>
          <w:sz w:val="32"/>
        </w:rPr>
        <w:t>三、支出决算情况说明</w:t>
      </w:r>
    </w:p>
    <w:p w14:paraId="07CC1353">
      <w:pPr>
        <w:spacing w:line="580" w:lineRule="exact"/>
        <w:ind w:firstLine="640"/>
        <w:jc w:val="both"/>
      </w:pPr>
      <w:r>
        <w:rPr>
          <w:rFonts w:ascii="仿宋_GB2312" w:hAnsi="仿宋_GB2312" w:eastAsia="仿宋_GB2312"/>
          <w:b/>
          <w:sz w:val="32"/>
        </w:rPr>
        <w:t>本年支出1,332.65万元，</w:t>
      </w:r>
      <w:r>
        <w:rPr>
          <w:rFonts w:ascii="仿宋_GB2312" w:hAnsi="仿宋_GB2312" w:eastAsia="仿宋_GB2312"/>
          <w:b w:val="0"/>
          <w:sz w:val="32"/>
        </w:rPr>
        <w:t>其中：基本支出1,165.66万元，占87.47%；项目支出166.99万元，占12.53%；上缴上级支出0.00万元，占0.00%；经营支出0.00万元，占0.00%；对附属单位补助支出0.00万元，占0.00%。</w:t>
      </w:r>
    </w:p>
    <w:p w14:paraId="7F5C0BEE">
      <w:pPr>
        <w:spacing w:line="640" w:lineRule="exact"/>
        <w:ind w:firstLine="640"/>
        <w:jc w:val="both"/>
        <w:outlineLvl w:val="2"/>
      </w:pPr>
      <w:r>
        <w:rPr>
          <w:rFonts w:ascii="黑体" w:hAnsi="黑体" w:eastAsia="黑体"/>
          <w:sz w:val="32"/>
        </w:rPr>
        <w:t>四、财政拨款收入支出决算总体情况说明</w:t>
      </w:r>
    </w:p>
    <w:p w14:paraId="2274FCAF">
      <w:pPr>
        <w:spacing w:line="580" w:lineRule="exact"/>
        <w:ind w:firstLine="640"/>
        <w:jc w:val="both"/>
      </w:pPr>
      <w:r>
        <w:rPr>
          <w:rFonts w:ascii="仿宋_GB2312" w:hAnsi="仿宋_GB2312" w:eastAsia="仿宋_GB2312"/>
          <w:b/>
          <w:sz w:val="32"/>
        </w:rPr>
        <w:t>2024年度财政拨款收入总计685.47万元，</w:t>
      </w:r>
      <w:r>
        <w:rPr>
          <w:rFonts w:ascii="仿宋_GB2312" w:hAnsi="仿宋_GB2312" w:eastAsia="仿宋_GB2312"/>
          <w:b w:val="0"/>
          <w:sz w:val="32"/>
        </w:rPr>
        <w:t>其中：年初财政拨款结转和结余0.00万元，本年财政拨款收入685.47万元。</w:t>
      </w:r>
      <w:r>
        <w:rPr>
          <w:rFonts w:ascii="仿宋_GB2312" w:hAnsi="仿宋_GB2312" w:eastAsia="仿宋_GB2312"/>
          <w:b/>
          <w:sz w:val="32"/>
        </w:rPr>
        <w:t>财政拨款支出总计685.47万元，</w:t>
      </w:r>
      <w:r>
        <w:rPr>
          <w:rFonts w:ascii="仿宋_GB2312" w:hAnsi="仿宋_GB2312" w:eastAsia="仿宋_GB2312"/>
          <w:b w:val="0"/>
          <w:sz w:val="32"/>
        </w:rPr>
        <w:t>其中：年末财政拨款结转和结余0.00万元，本年财政拨款支出685.47万元。</w:t>
      </w:r>
    </w:p>
    <w:p w14:paraId="478B533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减少106.94万元，下降13.50%，主要原因是：本年度减少医疗能力提升项目、村医工资项目、基本公共卫生服务补助项目。</w:t>
      </w:r>
      <w:r>
        <w:rPr>
          <w:rFonts w:ascii="仿宋_GB2312" w:hAnsi="仿宋_GB2312" w:eastAsia="仿宋_GB2312"/>
          <w:b/>
          <w:sz w:val="32"/>
        </w:rPr>
        <w:t>与年初预算相比，</w:t>
      </w:r>
      <w:r>
        <w:rPr>
          <w:rFonts w:ascii="仿宋_GB2312" w:hAnsi="仿宋_GB2312" w:eastAsia="仿宋_GB2312"/>
          <w:b w:val="0"/>
          <w:sz w:val="32"/>
        </w:rPr>
        <w:t>年初预算数499.76万元，决算数685.47万元，预决算差异率37.16%，主要原因是：年中追加人员工资、社保、公积金基数调增部分资金，年中追加2024年基本药物制度补助项目、2024年基本公共卫生服务补助项目、2024年免费技术服务补助项目</w:t>
      </w:r>
      <w:r>
        <w:rPr>
          <w:rFonts w:hint="eastAsia" w:ascii="仿宋_GB2312" w:hAnsi="仿宋_GB2312" w:eastAsia="仿宋_GB2312"/>
          <w:b w:val="0"/>
          <w:sz w:val="32"/>
          <w:lang w:eastAsia="zh-CN"/>
        </w:rPr>
        <w:t>、</w:t>
      </w:r>
      <w:r>
        <w:rPr>
          <w:rFonts w:ascii="仿宋_GB2312" w:hAnsi="仿宋_GB2312" w:eastAsia="仿宋_GB2312"/>
          <w:b w:val="0"/>
          <w:sz w:val="32"/>
        </w:rPr>
        <w:t>2024年老年人听障碍筛查项目，导致预决算存在差异。</w:t>
      </w:r>
    </w:p>
    <w:p w14:paraId="13FD400F">
      <w:pPr>
        <w:spacing w:line="640" w:lineRule="exact"/>
        <w:ind w:firstLine="640"/>
        <w:jc w:val="both"/>
        <w:outlineLvl w:val="2"/>
      </w:pPr>
      <w:r>
        <w:rPr>
          <w:rFonts w:ascii="黑体" w:hAnsi="黑体" w:eastAsia="黑体"/>
          <w:sz w:val="32"/>
        </w:rPr>
        <w:t>五、一般公共预算财政拨款支出决算情况说明</w:t>
      </w:r>
    </w:p>
    <w:p w14:paraId="7AAD6D58">
      <w:pPr>
        <w:spacing w:line="640" w:lineRule="exact"/>
        <w:ind w:firstLine="640"/>
        <w:jc w:val="both"/>
        <w:outlineLvl w:val="3"/>
      </w:pPr>
      <w:r>
        <w:rPr>
          <w:rFonts w:ascii="楷体_GB2312" w:hAnsi="楷体_GB2312" w:eastAsia="楷体_GB2312"/>
          <w:b/>
          <w:sz w:val="32"/>
        </w:rPr>
        <w:t>（一）一般公共预算财政拨款支出决算总体情况</w:t>
      </w:r>
    </w:p>
    <w:p w14:paraId="15988211">
      <w:pPr>
        <w:spacing w:line="580" w:lineRule="exact"/>
        <w:ind w:firstLine="640"/>
        <w:jc w:val="both"/>
      </w:pPr>
      <w:r>
        <w:rPr>
          <w:rFonts w:ascii="仿宋_GB2312" w:hAnsi="仿宋_GB2312" w:eastAsia="仿宋_GB2312"/>
          <w:b/>
          <w:sz w:val="32"/>
        </w:rPr>
        <w:t>2024年度一般公共预算财政拨款支出684.94万元，</w:t>
      </w:r>
      <w:r>
        <w:rPr>
          <w:rFonts w:ascii="仿宋_GB2312" w:hAnsi="仿宋_GB2312" w:eastAsia="仿宋_GB2312"/>
          <w:b w:val="0"/>
          <w:sz w:val="32"/>
        </w:rPr>
        <w:t>占本年支出合计的51.40%。</w:t>
      </w:r>
      <w:r>
        <w:rPr>
          <w:rFonts w:ascii="仿宋_GB2312" w:hAnsi="仿宋_GB2312" w:eastAsia="仿宋_GB2312"/>
          <w:b/>
          <w:sz w:val="32"/>
        </w:rPr>
        <w:t>与上年相比，</w:t>
      </w:r>
      <w:r>
        <w:rPr>
          <w:rFonts w:ascii="仿宋_GB2312" w:hAnsi="仿宋_GB2312" w:eastAsia="仿宋_GB2312"/>
          <w:b w:val="0"/>
          <w:sz w:val="32"/>
        </w:rPr>
        <w:t>减少107.47万元，下降13.56%，主要原因是：本年度减少医疗能力提升项目、村医工资项目、基本公共卫生服务补助项目。</w:t>
      </w:r>
      <w:r>
        <w:rPr>
          <w:rFonts w:ascii="仿宋_GB2312" w:hAnsi="仿宋_GB2312" w:eastAsia="仿宋_GB2312"/>
          <w:b/>
          <w:sz w:val="32"/>
        </w:rPr>
        <w:t>与年初预算相比,</w:t>
      </w:r>
      <w:r>
        <w:rPr>
          <w:rFonts w:ascii="仿宋_GB2312" w:hAnsi="仿宋_GB2312" w:eastAsia="仿宋_GB2312"/>
          <w:b w:val="0"/>
          <w:sz w:val="32"/>
        </w:rPr>
        <w:t>年初预算数499.76万元，决算数684.94万元，预决算差异率37.05%，主要原因是：年中追加人员工资、社保、公积金基数调增部分资金，年中追加2024年基本药物制度补助项目、2024年基本公共卫生服务补助项目、2024年免费技术服务补助项目，导致预决算存在差异。</w:t>
      </w:r>
    </w:p>
    <w:p w14:paraId="5CB84CE4">
      <w:pPr>
        <w:spacing w:line="640" w:lineRule="exact"/>
        <w:ind w:firstLine="640"/>
        <w:jc w:val="both"/>
        <w:outlineLvl w:val="3"/>
      </w:pPr>
      <w:r>
        <w:rPr>
          <w:rFonts w:ascii="楷体_GB2312" w:hAnsi="楷体_GB2312" w:eastAsia="楷体_GB2312"/>
          <w:b/>
          <w:sz w:val="32"/>
        </w:rPr>
        <w:t>（二）一般公共预算财政拨款支出决算结构情况</w:t>
      </w:r>
    </w:p>
    <w:p w14:paraId="57D90F28">
      <w:pPr>
        <w:spacing w:line="580" w:lineRule="exact"/>
        <w:ind w:firstLine="640"/>
        <w:jc w:val="both"/>
      </w:pPr>
      <w:r>
        <w:rPr>
          <w:rFonts w:ascii="仿宋_GB2312" w:hAnsi="仿宋_GB2312" w:eastAsia="仿宋_GB2312"/>
          <w:b w:val="0"/>
          <w:sz w:val="32"/>
        </w:rPr>
        <w:t>1.社会保障和就业支出(类)49.47万元,占7.22%。</w:t>
      </w:r>
    </w:p>
    <w:p w14:paraId="6AEB13FD">
      <w:pPr>
        <w:spacing w:line="580" w:lineRule="exact"/>
        <w:ind w:firstLine="640"/>
        <w:jc w:val="both"/>
      </w:pPr>
      <w:r>
        <w:rPr>
          <w:rFonts w:ascii="仿宋_GB2312" w:hAnsi="仿宋_GB2312" w:eastAsia="仿宋_GB2312"/>
          <w:b w:val="0"/>
          <w:sz w:val="32"/>
        </w:rPr>
        <w:t>2.卫生健康支出(类)635.47万元,占92.78%。</w:t>
      </w:r>
    </w:p>
    <w:p w14:paraId="77587F1C">
      <w:pPr>
        <w:spacing w:line="640" w:lineRule="exact"/>
        <w:ind w:firstLine="640"/>
        <w:jc w:val="both"/>
        <w:outlineLvl w:val="3"/>
      </w:pPr>
      <w:r>
        <w:rPr>
          <w:rFonts w:ascii="楷体_GB2312" w:hAnsi="楷体_GB2312" w:eastAsia="楷体_GB2312"/>
          <w:b/>
          <w:sz w:val="32"/>
        </w:rPr>
        <w:t>（三）一般公共预算财政拨款支出决算具体情况</w:t>
      </w:r>
    </w:p>
    <w:p w14:paraId="372B4A87">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49.47万元，比上年决算增加7.09万元，增长16.73%,主要原因是：本年在职人员工资基数调增，养老缴费基数上涨，相应支出增加。</w:t>
      </w:r>
    </w:p>
    <w:p w14:paraId="69BD17B0">
      <w:pPr>
        <w:spacing w:line="580" w:lineRule="exact"/>
        <w:ind w:firstLine="640"/>
        <w:jc w:val="both"/>
      </w:pPr>
      <w:r>
        <w:rPr>
          <w:rFonts w:ascii="仿宋_GB2312" w:hAnsi="仿宋_GB2312" w:eastAsia="仿宋_GB2312"/>
          <w:b w:val="0"/>
          <w:sz w:val="32"/>
        </w:rPr>
        <w:t>2.卫生健康支出(类)卫生健康管理事务(款)其他卫生健康管理事务支出(项):支出决算数为0.00万元，比上年决算减少40.95万元，下降100.00%,主要原因是：本年减少建设医疗服务与保障能力提升项目、村医工资项目。</w:t>
      </w:r>
    </w:p>
    <w:p w14:paraId="0468EF28">
      <w:pPr>
        <w:spacing w:line="580" w:lineRule="exact"/>
        <w:ind w:firstLine="640"/>
        <w:jc w:val="both"/>
      </w:pPr>
      <w:r>
        <w:rPr>
          <w:rFonts w:ascii="仿宋_GB2312" w:hAnsi="仿宋_GB2312" w:eastAsia="仿宋_GB2312"/>
          <w:b w:val="0"/>
          <w:sz w:val="32"/>
        </w:rPr>
        <w:t>3.卫生健康支出(类)基层医疗卫生机构(款)乡镇卫生院(项):支出决算数为469.20万元，比上年决算增加26.78万元，增长6.05%,主要原因是：本年在职人员工资调薪，相关人员经费增加。</w:t>
      </w:r>
    </w:p>
    <w:p w14:paraId="71C3393B">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4.卫生健康支出(类)基层医疗卫生机构(款)其他基层医疗卫生机构支出(项):支出决算数为19.95万元，比上年决算减少6.65万元，下降25.00%,主要原因是：本年基本药物制度补助较上年减少。</w:t>
      </w:r>
    </w:p>
    <w:p w14:paraId="2B2D0C45">
      <w:pPr>
        <w:spacing w:line="580" w:lineRule="exact"/>
        <w:ind w:firstLine="640"/>
        <w:jc w:val="both"/>
      </w:pPr>
      <w:r>
        <w:rPr>
          <w:rFonts w:ascii="仿宋_GB2312" w:hAnsi="仿宋_GB2312" w:eastAsia="仿宋_GB2312"/>
          <w:b w:val="0"/>
          <w:sz w:val="32"/>
        </w:rPr>
        <w:t>5.卫生健康支出(类)公共卫生(款)基本公共卫生服务(项):支出决算数为142.20万元，比上年决算减少96.15万元，下降40.34%,主要原因是：本年度基本公共卫生服务补助</w:t>
      </w:r>
      <w:r>
        <w:rPr>
          <w:rFonts w:hint="eastAsia" w:ascii="仿宋_GB2312" w:hAnsi="仿宋_GB2312" w:eastAsia="仿宋_GB2312"/>
          <w:b w:val="0"/>
          <w:sz w:val="32"/>
          <w:lang w:eastAsia="zh-CN"/>
        </w:rPr>
        <w:t>－</w:t>
      </w:r>
      <w:r>
        <w:rPr>
          <w:rFonts w:ascii="仿宋_GB2312" w:hAnsi="仿宋_GB2312" w:eastAsia="仿宋_GB2312"/>
          <w:b w:val="0"/>
          <w:sz w:val="32"/>
        </w:rPr>
        <w:t>劳务费、专用材料费、办公费等较上年减少。</w:t>
      </w:r>
    </w:p>
    <w:p w14:paraId="235C3853">
      <w:pPr>
        <w:spacing w:line="580" w:lineRule="exact"/>
        <w:ind w:firstLine="640"/>
        <w:jc w:val="both"/>
      </w:pPr>
      <w:r>
        <w:rPr>
          <w:rFonts w:ascii="仿宋_GB2312" w:hAnsi="仿宋_GB2312" w:eastAsia="仿宋_GB2312"/>
          <w:b w:val="0"/>
          <w:sz w:val="32"/>
        </w:rPr>
        <w:t>6.卫生健康支出(类)公共卫生(款)重大公共卫生服务(项):支出决算数为0.30万元，比上年决算增加0.30万元，增长100.00%,主要原因是：本年度增加重大传染病防控经费项目。</w:t>
      </w:r>
    </w:p>
    <w:p w14:paraId="3184A248">
      <w:pPr>
        <w:spacing w:line="580" w:lineRule="exact"/>
        <w:ind w:firstLine="640"/>
        <w:jc w:val="both"/>
      </w:pPr>
      <w:r>
        <w:rPr>
          <w:rFonts w:ascii="仿宋_GB2312" w:hAnsi="仿宋_GB2312" w:eastAsia="仿宋_GB2312"/>
          <w:b w:val="0"/>
          <w:sz w:val="32"/>
        </w:rPr>
        <w:t>7.卫生健康支出(类)</w:t>
      </w:r>
      <w:bookmarkStart w:id="0" w:name="_GoBack"/>
      <w:r>
        <w:rPr>
          <w:rFonts w:ascii="仿宋_GB2312" w:hAnsi="仿宋_GB2312" w:eastAsia="仿宋_GB2312"/>
          <w:b w:val="0"/>
          <w:sz w:val="32"/>
        </w:rPr>
        <w:t>计划生育</w:t>
      </w:r>
      <w:bookmarkEnd w:id="0"/>
      <w:r>
        <w:rPr>
          <w:rFonts w:ascii="仿宋_GB2312" w:hAnsi="仿宋_GB2312" w:eastAsia="仿宋_GB2312"/>
          <w:b w:val="0"/>
          <w:sz w:val="32"/>
        </w:rPr>
        <w:t>事务(款)计划生育服务(项):支出决算数为3.82万元，比上年决算增加2.12万元，增长124.71%,主要原因是：本年度增加JHSY免费技术服务补助项目。</w:t>
      </w:r>
    </w:p>
    <w:p w14:paraId="1182F860">
      <w:pPr>
        <w:spacing w:line="640" w:lineRule="exact"/>
        <w:ind w:firstLine="640"/>
        <w:jc w:val="both"/>
        <w:outlineLvl w:val="2"/>
      </w:pPr>
      <w:r>
        <w:rPr>
          <w:rFonts w:ascii="黑体" w:hAnsi="黑体" w:eastAsia="黑体"/>
          <w:sz w:val="32"/>
        </w:rPr>
        <w:t>六、一般公共预算财政拨款基本支出决算情况说明</w:t>
      </w:r>
    </w:p>
    <w:p w14:paraId="730B671D">
      <w:pPr>
        <w:spacing w:line="580" w:lineRule="exact"/>
        <w:ind w:firstLine="640"/>
        <w:jc w:val="both"/>
      </w:pPr>
      <w:r>
        <w:rPr>
          <w:rFonts w:ascii="仿宋_GB2312" w:hAnsi="仿宋_GB2312" w:eastAsia="仿宋_GB2312"/>
          <w:b w:val="0"/>
          <w:sz w:val="32"/>
        </w:rPr>
        <w:t>2024年度一般公共预算财政拨款基本支出518.67万元，其中：</w:t>
      </w:r>
      <w:r>
        <w:rPr>
          <w:rFonts w:ascii="仿宋_GB2312" w:hAnsi="仿宋_GB2312" w:eastAsia="仿宋_GB2312"/>
          <w:b/>
          <w:sz w:val="32"/>
        </w:rPr>
        <w:t>人员经费518.67万元，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4D4E0854">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C4F465C">
      <w:pPr>
        <w:spacing w:line="640" w:lineRule="exact"/>
        <w:ind w:firstLine="640"/>
        <w:jc w:val="both"/>
        <w:outlineLvl w:val="2"/>
      </w:pPr>
      <w:r>
        <w:rPr>
          <w:rFonts w:ascii="黑体" w:hAnsi="黑体" w:eastAsia="黑体"/>
          <w:sz w:val="32"/>
        </w:rPr>
        <w:t>七、政府性基金预算财政拨款收入支出决算情况说明</w:t>
      </w:r>
    </w:p>
    <w:p w14:paraId="1300A7FE">
      <w:pPr>
        <w:spacing w:line="580" w:lineRule="exact"/>
        <w:ind w:firstLine="640"/>
        <w:jc w:val="both"/>
      </w:pPr>
      <w:r>
        <w:rPr>
          <w:rFonts w:ascii="仿宋_GB2312" w:hAnsi="仿宋_GB2312" w:eastAsia="仿宋_GB2312"/>
          <w:b/>
          <w:sz w:val="32"/>
        </w:rPr>
        <w:t>2024年度政府性基金预算财政拨款收入总计0.53万元，</w:t>
      </w:r>
      <w:r>
        <w:rPr>
          <w:rFonts w:ascii="仿宋_GB2312" w:hAnsi="仿宋_GB2312" w:eastAsia="仿宋_GB2312"/>
          <w:b w:val="0"/>
          <w:sz w:val="32"/>
        </w:rPr>
        <w:t>其中：年初结转和结余0.00万元，本年收入0.53万元。</w:t>
      </w:r>
      <w:r>
        <w:rPr>
          <w:rFonts w:ascii="仿宋_GB2312" w:hAnsi="仿宋_GB2312" w:eastAsia="仿宋_GB2312"/>
          <w:b/>
          <w:sz w:val="32"/>
        </w:rPr>
        <w:t>政府性基金预算财政拨款支出总计0.53万元，</w:t>
      </w:r>
      <w:r>
        <w:rPr>
          <w:rFonts w:ascii="仿宋_GB2312" w:hAnsi="仿宋_GB2312" w:eastAsia="仿宋_GB2312"/>
          <w:b w:val="0"/>
          <w:sz w:val="32"/>
        </w:rPr>
        <w:t>其中：年末结转和结余0.00万元，本年支出0.53万元。</w:t>
      </w:r>
    </w:p>
    <w:p w14:paraId="21CA306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增加0.53万元，增长100.00%，主要原因是：本年度增加老年人听障碍筛查项目。</w:t>
      </w:r>
      <w:r>
        <w:rPr>
          <w:rFonts w:ascii="仿宋_GB2312" w:hAnsi="仿宋_GB2312" w:eastAsia="仿宋_GB2312"/>
          <w:b/>
          <w:sz w:val="32"/>
        </w:rPr>
        <w:t>与年初预算相比，</w:t>
      </w:r>
      <w:r>
        <w:rPr>
          <w:rFonts w:ascii="仿宋_GB2312" w:hAnsi="仿宋_GB2312" w:eastAsia="仿宋_GB2312"/>
          <w:b w:val="0"/>
          <w:sz w:val="32"/>
        </w:rPr>
        <w:t>年初预算数0.00万元，决算数0.53万元，预决算差异率100.00%，主要原因是：年中追加2024年老年人听障碍筛查项目，导致预决算存在差异。</w:t>
      </w:r>
    </w:p>
    <w:p w14:paraId="171CC3F0">
      <w:pPr>
        <w:spacing w:line="580" w:lineRule="exact"/>
        <w:ind w:firstLine="640"/>
        <w:jc w:val="both"/>
      </w:pPr>
      <w:r>
        <w:rPr>
          <w:rFonts w:ascii="仿宋_GB2312" w:hAnsi="仿宋_GB2312" w:eastAsia="仿宋_GB2312"/>
          <w:b w:val="0"/>
          <w:sz w:val="32"/>
        </w:rPr>
        <w:t>政府性基金预算财政拨款支出0.53万元。</w:t>
      </w:r>
    </w:p>
    <w:p w14:paraId="2BE21A2F">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1.其他支出(类)彩票公益金安排的支出(款)用于城乡医疗救助的彩票公益金支出(项):支出决算数为0.53万元，比上年决算增加0.53万元，增长100.00%,主要原因是：本年度增加老年人听障碍筛查项目。</w:t>
      </w:r>
    </w:p>
    <w:p w14:paraId="690301F8">
      <w:pPr>
        <w:spacing w:line="640" w:lineRule="exact"/>
        <w:ind w:firstLine="640"/>
        <w:jc w:val="both"/>
        <w:outlineLvl w:val="2"/>
      </w:pPr>
      <w:r>
        <w:rPr>
          <w:rFonts w:ascii="黑体" w:hAnsi="黑体" w:eastAsia="黑体"/>
          <w:sz w:val="32"/>
        </w:rPr>
        <w:t>八、国有资本经营预算财政拨款收入支出决算情况说明</w:t>
      </w:r>
    </w:p>
    <w:p w14:paraId="1B2D09B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B86B96E">
      <w:pPr>
        <w:spacing w:line="640" w:lineRule="exact"/>
        <w:ind w:firstLine="640"/>
        <w:jc w:val="both"/>
        <w:outlineLvl w:val="2"/>
      </w:pPr>
      <w:r>
        <w:rPr>
          <w:rFonts w:ascii="黑体" w:hAnsi="黑体" w:eastAsia="黑体"/>
          <w:sz w:val="32"/>
        </w:rPr>
        <w:t>九、财政拨款“三公”经费支出决算情况说明</w:t>
      </w:r>
    </w:p>
    <w:p w14:paraId="78EB6AB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AB233A6">
      <w:pPr>
        <w:spacing w:line="580" w:lineRule="exact"/>
        <w:ind w:firstLine="640"/>
        <w:jc w:val="both"/>
      </w:pPr>
      <w:r>
        <w:rPr>
          <w:rFonts w:ascii="仿宋_GB2312" w:hAnsi="仿宋_GB2312" w:eastAsia="仿宋_GB2312"/>
          <w:b/>
          <w:sz w:val="32"/>
        </w:rPr>
        <w:t>具体情况如下：</w:t>
      </w:r>
    </w:p>
    <w:p w14:paraId="7531C5A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AFEB1C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单位自有资金保障。</w:t>
      </w:r>
    </w:p>
    <w:p w14:paraId="619D5CA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8BC1DC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5FA83CC">
      <w:pPr>
        <w:spacing w:line="640" w:lineRule="exact"/>
        <w:ind w:firstLine="640"/>
        <w:jc w:val="both"/>
        <w:outlineLvl w:val="2"/>
      </w:pPr>
      <w:r>
        <w:rPr>
          <w:rFonts w:ascii="黑体" w:hAnsi="黑体" w:eastAsia="黑体"/>
          <w:sz w:val="32"/>
        </w:rPr>
        <w:t>十、其他重要事项的情况说明</w:t>
      </w:r>
    </w:p>
    <w:p w14:paraId="27497525">
      <w:pPr>
        <w:spacing w:line="640" w:lineRule="exact"/>
        <w:ind w:firstLine="640"/>
        <w:jc w:val="both"/>
        <w:outlineLvl w:val="3"/>
      </w:pPr>
      <w:r>
        <w:rPr>
          <w:rFonts w:ascii="楷体_GB2312" w:hAnsi="楷体_GB2312" w:eastAsia="楷体_GB2312"/>
          <w:b/>
          <w:sz w:val="32"/>
        </w:rPr>
        <w:t>（一）机关运行经费及公用经费支出情况</w:t>
      </w:r>
    </w:p>
    <w:p w14:paraId="62C90554">
      <w:pPr>
        <w:spacing w:line="580" w:lineRule="exact"/>
        <w:ind w:firstLine="640"/>
        <w:jc w:val="both"/>
      </w:pPr>
      <w:r>
        <w:rPr>
          <w:rFonts w:ascii="仿宋_GB2312" w:hAnsi="仿宋_GB2312" w:eastAsia="仿宋_GB2312"/>
          <w:b w:val="0"/>
          <w:sz w:val="32"/>
        </w:rPr>
        <w:t>2024年度岳普湖县阿其克乡中心卫生院（事业单位）公用经费支出0.00万元，比上年增加0.00万元，增长0.00%，主要原因是：2023年与2024年均未安排公用经费支出。</w:t>
      </w:r>
    </w:p>
    <w:p w14:paraId="7E370E7D">
      <w:pPr>
        <w:spacing w:line="640" w:lineRule="exact"/>
        <w:ind w:firstLine="640"/>
        <w:jc w:val="both"/>
        <w:outlineLvl w:val="3"/>
      </w:pPr>
      <w:r>
        <w:rPr>
          <w:rFonts w:ascii="楷体_GB2312" w:hAnsi="楷体_GB2312" w:eastAsia="楷体_GB2312"/>
          <w:b/>
          <w:sz w:val="32"/>
        </w:rPr>
        <w:t>（二）政府采购情况</w:t>
      </w:r>
    </w:p>
    <w:p w14:paraId="2990E906">
      <w:pPr>
        <w:spacing w:line="580" w:lineRule="exact"/>
        <w:ind w:firstLine="640"/>
        <w:jc w:val="both"/>
      </w:pPr>
      <w:r>
        <w:rPr>
          <w:rFonts w:ascii="仿宋_GB2312" w:hAnsi="仿宋_GB2312" w:eastAsia="仿宋_GB2312"/>
          <w:b w:val="0"/>
          <w:sz w:val="32"/>
        </w:rPr>
        <w:t>2024年度政府采购支出总额30.63万元，其中：政府采购货物支出7.02万元、政府采购工程支出9.46万元、政府采购服务支出14.16万元。</w:t>
      </w:r>
    </w:p>
    <w:p w14:paraId="4B0BE6A7">
      <w:pPr>
        <w:spacing w:line="580" w:lineRule="exact"/>
        <w:ind w:firstLine="640"/>
        <w:jc w:val="both"/>
      </w:pPr>
      <w:r>
        <w:rPr>
          <w:rFonts w:ascii="仿宋_GB2312" w:hAnsi="仿宋_GB2312" w:eastAsia="仿宋_GB2312"/>
          <w:b w:val="0"/>
          <w:sz w:val="32"/>
        </w:rPr>
        <w:t>授予中小企业合同金额29.11万元，占政府采购支出总额的95.04%，其中：授予小微企业合同金额29.11万元，占政府采购支出总额的95.04%。</w:t>
      </w:r>
    </w:p>
    <w:p w14:paraId="63C4E37C">
      <w:pPr>
        <w:spacing w:line="640" w:lineRule="exact"/>
        <w:ind w:firstLine="640"/>
        <w:jc w:val="both"/>
        <w:outlineLvl w:val="3"/>
      </w:pPr>
      <w:r>
        <w:rPr>
          <w:rFonts w:ascii="楷体_GB2312" w:hAnsi="楷体_GB2312" w:eastAsia="楷体_GB2312"/>
          <w:b/>
          <w:sz w:val="32"/>
        </w:rPr>
        <w:t>（三）国有资产占用情况说明</w:t>
      </w:r>
    </w:p>
    <w:p w14:paraId="1D45BE25">
      <w:pPr>
        <w:spacing w:line="580" w:lineRule="exact"/>
        <w:ind w:firstLine="640"/>
        <w:jc w:val="both"/>
      </w:pPr>
      <w:r>
        <w:rPr>
          <w:rFonts w:ascii="仿宋_GB2312" w:hAnsi="仿宋_GB2312" w:eastAsia="仿宋_GB2312"/>
          <w:b w:val="0"/>
          <w:sz w:val="32"/>
        </w:rPr>
        <w:t>截至2024年12月31日，房屋5,074.32平方米，价值741.15万元。车辆2辆，价值26.70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311D245F">
      <w:pPr>
        <w:spacing w:line="640" w:lineRule="exact"/>
        <w:ind w:firstLine="640"/>
        <w:jc w:val="both"/>
        <w:outlineLvl w:val="2"/>
      </w:pPr>
      <w:r>
        <w:rPr>
          <w:rFonts w:ascii="黑体" w:hAnsi="黑体" w:eastAsia="黑体"/>
          <w:sz w:val="32"/>
        </w:rPr>
        <w:t>十一、预算绩效的情况说明</w:t>
      </w:r>
    </w:p>
    <w:p w14:paraId="37119714">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0F95F6C7">
      <w:r>
        <w:br w:type="page"/>
      </w:r>
    </w:p>
    <w:p w14:paraId="38086534">
      <w:pPr>
        <w:spacing w:line="640" w:lineRule="exact"/>
        <w:ind w:firstLine="640"/>
        <w:jc w:val="both"/>
        <w:outlineLvl w:val="2"/>
      </w:pPr>
      <w:r>
        <w:rPr>
          <w:rFonts w:ascii="黑体" w:hAnsi="黑体" w:eastAsia="黑体"/>
          <w:sz w:val="32"/>
        </w:rPr>
        <w:t>十二、其他需说明的事项</w:t>
      </w:r>
    </w:p>
    <w:p w14:paraId="5FCC6A41">
      <w:pPr>
        <w:spacing w:line="580" w:lineRule="exact"/>
        <w:ind w:firstLine="640"/>
        <w:jc w:val="both"/>
      </w:pPr>
      <w:r>
        <w:rPr>
          <w:rFonts w:ascii="仿宋_GB2312" w:hAnsi="仿宋_GB2312" w:eastAsia="仿宋_GB2312"/>
          <w:b w:val="0"/>
          <w:sz w:val="32"/>
        </w:rPr>
        <w:t>本年度本单位整体绩效自评表由岳普湖县卫生健康委员会编报并公开。</w:t>
      </w:r>
    </w:p>
    <w:p w14:paraId="1CB708A0">
      <w:r>
        <w:br w:type="page"/>
      </w:r>
    </w:p>
    <w:p w14:paraId="070AC058">
      <w:pPr>
        <w:spacing w:line="240" w:lineRule="auto"/>
        <w:jc w:val="center"/>
        <w:outlineLvl w:val="1"/>
      </w:pPr>
      <w:r>
        <w:rPr>
          <w:rFonts w:ascii="黑体" w:hAnsi="黑体" w:eastAsia="黑体"/>
          <w:sz w:val="32"/>
        </w:rPr>
        <w:t>第三部分 专业名词解释</w:t>
      </w:r>
    </w:p>
    <w:p w14:paraId="52F0D98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80DE59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EDE56D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58BA95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8F3A7E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D15315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49E342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CCC7DE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7318A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3AF2E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577E05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A964D3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210655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B964DD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4BA0B19">
      <w:r>
        <w:br w:type="page"/>
      </w:r>
    </w:p>
    <w:p w14:paraId="32041D16">
      <w:pPr>
        <w:spacing w:line="240" w:lineRule="auto"/>
        <w:jc w:val="center"/>
        <w:outlineLvl w:val="1"/>
      </w:pPr>
      <w:r>
        <w:rPr>
          <w:rFonts w:ascii="黑体" w:hAnsi="黑体" w:eastAsia="黑体"/>
          <w:sz w:val="32"/>
        </w:rPr>
        <w:t>第四部分 部门决算报表（见附表）</w:t>
      </w:r>
    </w:p>
    <w:p w14:paraId="564CFF0E">
      <w:pPr>
        <w:spacing w:line="240" w:lineRule="auto"/>
        <w:ind w:firstLine="640"/>
        <w:jc w:val="both"/>
      </w:pPr>
      <w:r>
        <w:rPr>
          <w:rFonts w:ascii="仿宋_GB2312" w:hAnsi="仿宋_GB2312" w:eastAsia="仿宋_GB2312"/>
          <w:b w:val="0"/>
          <w:sz w:val="32"/>
        </w:rPr>
        <w:t>一、《收入支出决算总表》</w:t>
      </w:r>
    </w:p>
    <w:p w14:paraId="0CADBA66">
      <w:pPr>
        <w:spacing w:line="240" w:lineRule="auto"/>
        <w:ind w:firstLine="640"/>
        <w:jc w:val="both"/>
      </w:pPr>
      <w:r>
        <w:rPr>
          <w:rFonts w:ascii="仿宋_GB2312" w:hAnsi="仿宋_GB2312" w:eastAsia="仿宋_GB2312"/>
          <w:b w:val="0"/>
          <w:sz w:val="32"/>
        </w:rPr>
        <w:t>二、《收入决算表》</w:t>
      </w:r>
    </w:p>
    <w:p w14:paraId="4CC1875B">
      <w:pPr>
        <w:spacing w:line="240" w:lineRule="auto"/>
        <w:ind w:firstLine="640"/>
        <w:jc w:val="both"/>
      </w:pPr>
      <w:r>
        <w:rPr>
          <w:rFonts w:ascii="仿宋_GB2312" w:hAnsi="仿宋_GB2312" w:eastAsia="仿宋_GB2312"/>
          <w:b w:val="0"/>
          <w:sz w:val="32"/>
        </w:rPr>
        <w:t>三、《支出决算表》</w:t>
      </w:r>
    </w:p>
    <w:p w14:paraId="3A298C6B">
      <w:pPr>
        <w:spacing w:line="240" w:lineRule="auto"/>
        <w:ind w:firstLine="640"/>
        <w:jc w:val="both"/>
      </w:pPr>
      <w:r>
        <w:rPr>
          <w:rFonts w:ascii="仿宋_GB2312" w:hAnsi="仿宋_GB2312" w:eastAsia="仿宋_GB2312"/>
          <w:b w:val="0"/>
          <w:sz w:val="32"/>
        </w:rPr>
        <w:t>四、《财政拨款收入支出决算总表》</w:t>
      </w:r>
    </w:p>
    <w:p w14:paraId="40D2CA3C">
      <w:pPr>
        <w:spacing w:line="240" w:lineRule="auto"/>
        <w:ind w:firstLine="640"/>
        <w:jc w:val="both"/>
      </w:pPr>
      <w:r>
        <w:rPr>
          <w:rFonts w:ascii="仿宋_GB2312" w:hAnsi="仿宋_GB2312" w:eastAsia="仿宋_GB2312"/>
          <w:b w:val="0"/>
          <w:sz w:val="32"/>
        </w:rPr>
        <w:t>五、《一般公共预算财政拨款支出决算表》</w:t>
      </w:r>
    </w:p>
    <w:p w14:paraId="25CD1D27">
      <w:pPr>
        <w:spacing w:line="240" w:lineRule="auto"/>
        <w:ind w:firstLine="640"/>
        <w:jc w:val="both"/>
      </w:pPr>
      <w:r>
        <w:rPr>
          <w:rFonts w:ascii="仿宋_GB2312" w:hAnsi="仿宋_GB2312" w:eastAsia="仿宋_GB2312"/>
          <w:b w:val="0"/>
          <w:sz w:val="32"/>
        </w:rPr>
        <w:t>六、《一般公共预算财政拨款基本支出决算表》</w:t>
      </w:r>
    </w:p>
    <w:p w14:paraId="28AA1A81">
      <w:pPr>
        <w:spacing w:line="240" w:lineRule="auto"/>
        <w:ind w:firstLine="640"/>
        <w:jc w:val="both"/>
      </w:pPr>
      <w:r>
        <w:rPr>
          <w:rFonts w:ascii="仿宋_GB2312" w:hAnsi="仿宋_GB2312" w:eastAsia="仿宋_GB2312"/>
          <w:b w:val="0"/>
          <w:sz w:val="32"/>
        </w:rPr>
        <w:t>七、《政府性基金预算财政拨款收入支出决算表》</w:t>
      </w:r>
    </w:p>
    <w:p w14:paraId="44EF1070">
      <w:pPr>
        <w:spacing w:line="240" w:lineRule="auto"/>
        <w:ind w:firstLine="640"/>
        <w:jc w:val="both"/>
      </w:pPr>
      <w:r>
        <w:rPr>
          <w:rFonts w:ascii="仿宋_GB2312" w:hAnsi="仿宋_GB2312" w:eastAsia="仿宋_GB2312"/>
          <w:b w:val="0"/>
          <w:sz w:val="32"/>
        </w:rPr>
        <w:t>八、《国有资本经营预算财政拨款收入支出决算表》</w:t>
      </w:r>
    </w:p>
    <w:p w14:paraId="42EB1690">
      <w:pPr>
        <w:spacing w:line="240" w:lineRule="auto"/>
        <w:ind w:firstLine="640"/>
        <w:jc w:val="both"/>
      </w:pPr>
      <w:r>
        <w:rPr>
          <w:rFonts w:ascii="仿宋_GB2312" w:hAnsi="仿宋_GB2312" w:eastAsia="仿宋_GB2312"/>
          <w:b w:val="0"/>
          <w:sz w:val="32"/>
        </w:rPr>
        <w:t>九、《财政拨款“三公”经费支出决算表》</w:t>
      </w:r>
    </w:p>
    <w:p w14:paraId="6727DF16">
      <w:pPr>
        <w:spacing w:line="240" w:lineRule="auto"/>
        <w:ind w:firstLine="640"/>
        <w:jc w:val="both"/>
      </w:pPr>
    </w:p>
    <w:p w14:paraId="2EF5A776">
      <w:pPr>
        <w:spacing w:line="240" w:lineRule="auto"/>
        <w:ind w:firstLine="640"/>
        <w:jc w:val="both"/>
      </w:pPr>
    </w:p>
    <w:p w14:paraId="323A9FCA">
      <w:pPr>
        <w:spacing w:line="240" w:lineRule="auto"/>
        <w:ind w:firstLine="640"/>
        <w:jc w:val="both"/>
      </w:pPr>
    </w:p>
    <w:p w14:paraId="7B178316">
      <w:pPr>
        <w:spacing w:line="240" w:lineRule="auto"/>
        <w:ind w:firstLine="640"/>
        <w:jc w:val="both"/>
      </w:pPr>
    </w:p>
    <w:p w14:paraId="4A132C9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CC5BF9-DF3A-469D-944E-069509BC76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61CDD2C-9234-40B2-9622-2A727B004748}"/>
  </w:font>
  <w:font w:name="仿宋_GB2312">
    <w:panose1 w:val="02010609030101010101"/>
    <w:charset w:val="86"/>
    <w:family w:val="modern"/>
    <w:pitch w:val="default"/>
    <w:sig w:usb0="00000001" w:usb1="080E0000" w:usb2="00000000" w:usb3="00000000" w:csb0="00040000" w:csb1="00000000"/>
    <w:embedRegular r:id="rId3" w:fontKey="{DD93079A-5F2F-4842-A721-3B3D2394430B}"/>
  </w:font>
  <w:font w:name="楷体_GB2312">
    <w:panose1 w:val="02010609030101010101"/>
    <w:charset w:val="86"/>
    <w:family w:val="auto"/>
    <w:pitch w:val="default"/>
    <w:sig w:usb0="00000001" w:usb1="080E0000" w:usb2="00000000" w:usb3="00000000" w:csb0="00040000" w:csb1="00000000"/>
    <w:embedRegular r:id="rId4" w:fontKey="{E01DA5C7-46F1-4A18-AC60-21ABBD533EEE}"/>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94C9F"/>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DB1DEC"/>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4193</Words>
  <Characters>4912</Characters>
  <Lines>0</Lines>
  <Paragraphs>0</Paragraphs>
  <TotalTime>2</TotalTime>
  <ScaleCrop>false</ScaleCrop>
  <LinksUpToDate>false</LinksUpToDate>
  <CharactersWithSpaces>4920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2025-09-12T10:52:51Z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