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清偿欠款项目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岳普湖县水利局本级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岳普湖县水利局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买买提江·肉苏力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清偿欠款项目实施前期、过程及效果，评价财政预算资金使用的效率及效益。</w:t>
        <w:br/>
        <w:t>经济金融风险点多面广，隐蔽性、突发性、传染性、危害性强，是诱发政治安全和社会稳定问题的突出风险源。防范化解财政金融风险，事关国家安全、发展安全、人民群众财产安全。切实防范和化解政府债务风险，有利于从严控制政府债务增量，积极化解存量，将债务风险牢牢地控制在警戒线内，促进风险有序释放，营造良好的财政金融生态。防范和化解政府债务风险，有利于及时纠正靠举债甚至不规范举债维系发展的惯性思维，正确处理好谋发展、保稳定与防风险的关系；有利于更好发挥财政资源配置、经济稳定、收入分配的基本功能，推动全县经济结构转型升级，社会事业全面进步，确保全县发展改革发展始终在安全稳定的环境下推进。</w:t>
        <w:br/>
        <w:t>2.主要内容及实施情况</w:t>
        <w:br/>
        <w:t>项目主要用于偿还前期欠款项目6个，其中：岳普湖县2021年以来补交水土保持补偿费项目、岳普湖县小型农田水利建设项目（一标段、二标段）、喀什噶尔河灌区续建配套与节水改造工（十三期）岳普湖县社教干渠段项目（第二标段）、岳普湖县第二批大中型水库移民避险解困试点第三标段阿洪鲁库木乡项目、岳普湖县2020年以来生产建设项目补交水土保持费项目、岳普湖县井电双控安装智能计量设施及远程控制平台建设项目。确保项目款项及时支付以前年度应付未付的防渗改造工程欠款。加强资金调度，优先保障欠款清偿需要。对于达到支付条件的账款，及时按照合同约定和清欠要求偿还。稳妥有序地推进清欠工作,按期偿还欠款有利于优化财政资源配置，腾出财力补短板，更有效地发挥民生财政职能，扩大公共服务供给，推动形成优质高效的公共服务供给体系，更好地满足人民日益增长的美好生活需要。</w:t>
        <w:br/>
        <w:t>项目实施前由项目负责人买买提江·肉苏力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为岳普湖县水利局，岳普湖县水利局职能是贯彻执行有关水行政管理的法律法规和方针政策；负责保障水资源的合理开发利用；拟定地方性水利发展规划和政策，起草相关地方性法规和政府规章草案；组织编制全县重大水资源发展规划，重要河流湖泊流域综合规划、防洪规划等重大水利规划。</w:t>
        <w:br/>
        <w:t>指导水利设施、水域及其岸线的管理、保护与综合利用。指导重要河流湖泊、水库及河口的治理、开发和保护。指导河湖水生态保护与修复、河湖生态流量水量管理及河湖水系连通工作。</w:t>
        <w:br/>
        <w:t>按规定制定水利工程建设有关制度并组织实施，负责提出水利固定资产投资规模、方向、具体安排建议并组织实施，按规定权限审批、核准规划内和年度计划规模内固定资产投资项目，提出水利资金安排建议并负责项目实施的监督管理。</w:t>
        <w:br/>
        <w:t>负责组织编制洪水干旱灾害防治规划和防护标准并指导实施。承担水情旱情监测预警工作。组织编制重要河流湖泊和重要水工程的防御洪水抗御旱灾调度及应急水量调度方案，按程序报批并组织实施。承担防御洪水应急抢险的技术支撑工作。</w:t>
        <w:br/>
        <w:t>编制情况：岳普湖县水利局为行政单位，成立于1991年1月，本级下设农村防病改水办公室和水政监察大队、水利质量监督站和岳普湖河湖中心，岳普湖县水管总站和岳普湖县农村供水总站等。单位编制5人，工勤2人。本级下设农村改水服务站，编制8人；水政监察大队编制4人，为参考公务员管理的事业单位人数9人；下设水利质量监督站和岳普湖河湖中心为全额事业单位，编制人数6人；下设岳普湖县水管总站和岳普湖县农村供水总站为自收自支事业单位，编制人数40人。</w:t>
        <w:br/>
        <w:t>4.资金投入和使用情况</w:t>
        <w:br/>
        <w:t>（1）项目资金安排落实、总投入等情况分析</w:t>
        <w:br/>
        <w:t>根据《清偿欠款项目资金申请报告》和《岳普湖县财经领导小组会议纪要》等文件，全年预算安排为571.75万元，其中：财政资金571.75万元，其他资金0.00万元，预算资金到位率为100%。</w:t>
        <w:br/>
        <w:t>（2）项目资金实际使用情况分析</w:t>
        <w:br/>
        <w:t>截止2022年12月31日，本项目实际支付资金571.75万元，预算执行率100%。项目资金主要用于偿还以前年度防渗改造工程项目欠款等。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按照“统一部署、分工协作、共同参与”的原则，统筹协调，明确各部门职责分工、形成工作合力，有条不紊推进防渗工程项目欠款清偿工作，确保按时、保质完成项目欠款清偿工作。主动与各相关部门建立联络制度和定期分析研究，切实规范债务清偿工作，确保实效。</w:t>
        <w:br/>
        <w:t>2.项目阶段性目标</w:t>
        <w:br/>
        <w:t>项目主要用于偿还前期欠款项目6个，确保项目款项按期及时支付，提高政府部门的履约和服务能力，增强政府公信力。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买买提江·肉苏力任绩效评价组组长，绩效评价工作职责为负责全盘工作，对项目实施情况进行实地调查。</w:t>
        <w:br/>
        <w:t>阿不都热西提·喀迪尔、崔振瑜、朱小红任绩效评价组成员，绩效评价工作职责对项目实施情况进行实地调查，负责资料审核等工作。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571.75万元，实际支出571.75万元，预算执行率100%。项目资金使用合规，项目财务管理制度健全，财务监控到位，所有资金支付均按照国库集中支付制度严格执行，现有项目管理制度执行情况良好。</w:t>
        <w:br/>
        <w:t>在项目效果方面，已完成偿还前期欠款项目6个，确保项目款项按期及时支付。项目的实施有效提高政府部门的履约和服务能力，增强政府公信力。受益人员满意度为100%。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水利局项目经费管理办法》等相关管理办法，对财政资金进行严格管理，做到专款专用。项目的执行符合《岳普湖县水利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保障偿还欠款项目数量年度指标值为大于等于6个，实际完成值为6个，完成预期目标，根据评分标准，该指标不扣分。</w:t>
        <w:br/>
        <w:t>产出数量三级指标共计1个，指标从实际完成情况方面进行评价，权重分值8分，实际得分8分。</w:t>
        <w:br/>
        <w:t>2.产出质量</w:t>
        <w:br/>
        <w:t>资金保障率年度指标值为等于100%，实际完成值为100%，完成预期目标，根据评分标准，该指标不扣分。</w:t>
        <w:br/>
        <w:t>资金覆盖率年度指标值为等于100%，实际完成值为100%，完成预期目标，根据评分标准，该指标不扣分。</w:t>
        <w:br/>
        <w:t>资金使用合规性年度指标值为等于100%，实际完成值为100%，完成预期目标，根据评分标准，该指标不扣分。</w:t>
        <w:br/>
        <w:t>产出质量三级指标共计3个，指标从质量达标方面进行评价，权重分值8分，实际得分8分。</w:t>
        <w:br/>
        <w:t>3.产出时效</w:t>
        <w:br/>
        <w:t>资金按期支付及时性年度指标值为等于100%，实际完成值为100%，完成预期目标，根据评分标准，该指标不扣分。</w:t>
        <w:br/>
        <w:t>资金支付完成时间年度指标值为2022年9月28日前，实际完成值为2022年8月23日，完成预期目标，根据评分标准，该指标不扣分。</w:t>
        <w:br/>
        <w:t>产出时效三级指标共计2个，指标从完成及时性方面进行评价，权重分值6分，实际得分6分。</w:t>
        <w:br/>
        <w:t>4.产出成本</w:t>
        <w:br/>
        <w:t>项目欠款偿还金额控制数年度指标值为小于等于95.29万元/个，实际完成值为95.29万元/个，完成预期目标，根据评分标准，该指标不扣分。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提高政府部门的履约和服务能力年度指标值为有效提高，实际完成值为有效提高，完成预期目标，根据评分标准，该指标不扣分，实际得10分。</w:t>
        <w:br/>
        <w:t>③项目实施的生态效益分析</w:t>
        <w:br/>
        <w:t>本项目无此指标。</w:t>
        <w:br/>
        <w:t>④项目实施的可持续影响分析</w:t>
        <w:br/>
        <w:t>增强政府公信力年度指标值为持续增强，实际完成值为持续增强，完成预期目标，根据评分标准，该指标不扣分，实际得10分。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5.从严控制政府债务增量，积极化解存量，将债务风险牢牢地控制在警戒线内，促进风险有序释放，营造良好的财政金融生态。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3.财政收支状况受到市场经济的影响，部分欠款清偿力度不足。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5.控制债务风险，加大欠款清偿覆盖力度，提升政府公信力。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