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
        <w:ind w:left="0" w:leftChars="0" w:firstLine="0" w:firstLineChars="0"/>
        <w:jc w:val="center"/>
        <w:rPr>
          <w:rFonts w:ascii="仿宋_GB2312" w:hAnsi="Arial"/>
          <w:b/>
          <w:color w:val="auto"/>
          <w:szCs w:val="44"/>
          <w:highlight w:val="none"/>
        </w:rPr>
      </w:pPr>
      <w:bookmarkStart w:id="0" w:name="_Toc10470"/>
      <w:bookmarkStart w:id="1" w:name="_Toc4267"/>
      <w:bookmarkStart w:id="219" w:name="_GoBack"/>
      <w:r>
        <w:rPr>
          <w:rFonts w:hint="eastAsia"/>
          <w:b/>
          <w:bCs/>
          <w:color w:val="auto"/>
          <w:sz w:val="44"/>
          <w:szCs w:val="44"/>
          <w:highlight w:val="none"/>
          <w:lang w:val="en-US" w:eastAsia="zh-CN"/>
        </w:rPr>
        <w:t>部门单位</w:t>
      </w:r>
      <w:r>
        <w:rPr>
          <w:rFonts w:hint="eastAsia"/>
          <w:b/>
          <w:bCs/>
          <w:color w:val="auto"/>
          <w:sz w:val="44"/>
          <w:szCs w:val="44"/>
          <w:highlight w:val="none"/>
        </w:rPr>
        <w:t>项目支出绩效评价报告</w:t>
      </w:r>
      <w:bookmarkEnd w:id="0"/>
      <w:bookmarkEnd w:id="1"/>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hint="eastAsia" w:ascii="仿宋" w:hAnsi="仿宋" w:eastAsia="仿宋" w:cs="仿宋"/>
          <w:b/>
          <w:color w:val="auto"/>
          <w:kern w:val="0"/>
          <w:sz w:val="28"/>
          <w:szCs w:val="28"/>
          <w:highlight w:val="none"/>
          <w:lang w:val="en-US" w:eastAsia="zh-CN" w:bidi="en-US"/>
        </w:rPr>
      </w:pPr>
      <w:r>
        <w:rPr>
          <w:rFonts w:hint="eastAsia" w:ascii="仿宋" w:hAnsi="仿宋" w:eastAsia="仿宋" w:cs="仿宋"/>
          <w:b/>
          <w:color w:val="auto"/>
          <w:kern w:val="0"/>
          <w:sz w:val="28"/>
          <w:szCs w:val="28"/>
          <w:highlight w:val="none"/>
          <w:lang w:eastAsia="zh-CN" w:bidi="en-US"/>
        </w:rPr>
        <w:t>（</w:t>
      </w:r>
      <w:r>
        <w:rPr>
          <w:rFonts w:hint="eastAsia" w:ascii="仿宋" w:hAnsi="仿宋" w:eastAsia="仿宋" w:cs="仿宋"/>
          <w:b/>
          <w:color w:val="auto"/>
          <w:kern w:val="0"/>
          <w:sz w:val="28"/>
          <w:szCs w:val="28"/>
          <w:highlight w:val="none"/>
          <w:lang w:val="en-US" w:eastAsia="zh-CN" w:bidi="en-US"/>
        </w:rPr>
        <w:t>2023年度）</w:t>
      </w: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left="2532" w:leftChars="300" w:hanging="1692" w:hangingChars="529"/>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项目名称：</w:t>
      </w:r>
      <w:r>
        <w:rPr>
          <w:rFonts w:hint="eastAsia" w:ascii="仿宋_GB2312" w:hAnsi="Times New Roman" w:cs="Times New Roman"/>
          <w:color w:val="auto"/>
          <w:kern w:val="0"/>
          <w:sz w:val="32"/>
          <w:szCs w:val="32"/>
          <w:highlight w:val="none"/>
          <w:lang w:eastAsia="zh-CN" w:bidi="en-US"/>
        </w:rPr>
        <w:t>2023年岳普湖县农业生产社会化服务项目</w:t>
      </w:r>
    </w:p>
    <w:p>
      <w:pPr>
        <w:spacing w:line="480" w:lineRule="auto"/>
        <w:ind w:left="2875" w:leftChars="300" w:hanging="2035" w:hangingChars="636"/>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项目单位：</w:t>
      </w:r>
      <w:r>
        <w:rPr>
          <w:rFonts w:hint="eastAsia" w:ascii="仿宋_GB2312" w:hAnsi="Times New Roman" w:cs="Times New Roman"/>
          <w:color w:val="auto"/>
          <w:kern w:val="0"/>
          <w:sz w:val="32"/>
          <w:szCs w:val="32"/>
          <w:highlight w:val="none"/>
          <w:lang w:eastAsia="zh-CN" w:bidi="en-US"/>
        </w:rPr>
        <w:t>岳普湖县农业农村局</w:t>
      </w:r>
    </w:p>
    <w:p>
      <w:pPr>
        <w:spacing w:line="480" w:lineRule="auto"/>
        <w:ind w:left="2875" w:leftChars="300" w:hanging="2035" w:hangingChars="636"/>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主管部门：</w:t>
      </w:r>
      <w:r>
        <w:rPr>
          <w:rFonts w:hint="eastAsia" w:ascii="仿宋_GB2312" w:hAnsi="Times New Roman" w:cs="Times New Roman"/>
          <w:color w:val="auto"/>
          <w:kern w:val="0"/>
          <w:sz w:val="32"/>
          <w:szCs w:val="32"/>
          <w:highlight w:val="none"/>
          <w:lang w:eastAsia="zh-CN" w:bidi="en-US"/>
        </w:rPr>
        <w:t>岳普湖县农业农村局</w:t>
      </w:r>
    </w:p>
    <w:p>
      <w:pPr>
        <w:spacing w:line="480" w:lineRule="auto"/>
        <w:ind w:left="2875" w:leftChars="300" w:hanging="2035" w:hangingChars="636"/>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项目负责人：</w:t>
      </w:r>
      <w:r>
        <w:rPr>
          <w:rFonts w:hint="eastAsia" w:ascii="仿宋_GB2312" w:hAnsi="Times New Roman" w:cs="Times New Roman"/>
          <w:color w:val="auto"/>
          <w:kern w:val="0"/>
          <w:sz w:val="32"/>
          <w:szCs w:val="32"/>
          <w:highlight w:val="none"/>
          <w:lang w:eastAsia="zh-CN" w:bidi="en-US"/>
        </w:rPr>
        <w:t>王佩武</w:t>
      </w:r>
    </w:p>
    <w:p>
      <w:pPr>
        <w:spacing w:line="480" w:lineRule="auto"/>
        <w:ind w:left="2875" w:leftChars="300" w:hanging="2035" w:hangingChars="636"/>
        <w:jc w:val="left"/>
        <w:rPr>
          <w:rFonts w:ascii="仿宋_GB2312" w:hAnsi="Times New Roman" w:cs="Times New Roman"/>
          <w:color w:val="auto"/>
          <w:kern w:val="0"/>
          <w:sz w:val="32"/>
          <w:szCs w:val="32"/>
          <w:highlight w:val="none"/>
          <w:lang w:bidi="en-US"/>
        </w:rPr>
      </w:pPr>
      <w:r>
        <w:rPr>
          <w:rFonts w:hint="eastAsia" w:ascii="仿宋_GB2312" w:hAnsi="Times New Roman" w:cs="Times New Roman"/>
          <w:color w:val="auto"/>
          <w:kern w:val="0"/>
          <w:sz w:val="32"/>
          <w:szCs w:val="32"/>
          <w:highlight w:val="none"/>
          <w:lang w:bidi="en-US"/>
        </w:rPr>
        <w:t>填报时间：202</w:t>
      </w:r>
      <w:r>
        <w:rPr>
          <w:rFonts w:hint="eastAsia" w:ascii="仿宋_GB2312" w:hAnsi="Times New Roman" w:cs="Times New Roman"/>
          <w:color w:val="auto"/>
          <w:kern w:val="0"/>
          <w:sz w:val="32"/>
          <w:szCs w:val="32"/>
          <w:highlight w:val="none"/>
          <w:lang w:val="en-US" w:eastAsia="zh-CN" w:bidi="en-US"/>
        </w:rPr>
        <w:t>3</w:t>
      </w:r>
      <w:r>
        <w:rPr>
          <w:rFonts w:hint="eastAsia" w:ascii="仿宋_GB2312" w:hAnsi="Times New Roman" w:cs="Times New Roman"/>
          <w:color w:val="auto"/>
          <w:kern w:val="0"/>
          <w:sz w:val="32"/>
          <w:szCs w:val="32"/>
          <w:highlight w:val="none"/>
          <w:lang w:bidi="en-US"/>
        </w:rPr>
        <w:t>年12月31日</w:t>
      </w:r>
    </w:p>
    <w:p>
      <w:pPr>
        <w:ind w:firstLine="0" w:firstLineChars="0"/>
        <w:rPr>
          <w:color w:val="auto"/>
          <w:szCs w:val="44"/>
          <w:highlight w:val="none"/>
        </w:rPr>
      </w:pPr>
      <w:r>
        <w:rPr>
          <w:rFonts w:hint="eastAsia" w:ascii="仿宋_GB2312" w:hAnsi="Times New Roman" w:cs="Times New Roman"/>
          <w:color w:val="auto"/>
          <w:kern w:val="0"/>
          <w:sz w:val="32"/>
          <w:szCs w:val="32"/>
          <w:highlight w:val="none"/>
          <w:lang w:bidi="en-US"/>
        </w:rPr>
        <w:br w:type="page"/>
      </w:r>
    </w:p>
    <w:p>
      <w:pPr>
        <w:pStyle w:val="19"/>
        <w:tabs>
          <w:tab w:val="right" w:leader="dot" w:pos="8296"/>
        </w:tabs>
        <w:ind w:firstLine="723"/>
        <w:jc w:val="center"/>
        <w:rPr>
          <w:rFonts w:ascii="黑体" w:hAnsi="黑体" w:eastAsia="黑体" w:cs="黑体"/>
          <w:color w:val="auto"/>
          <w:sz w:val="36"/>
          <w:szCs w:val="36"/>
          <w:highlight w:val="none"/>
        </w:rPr>
      </w:pPr>
      <w:bookmarkStart w:id="2" w:name="_Toc17858_WPSOffice_Level1"/>
      <w:bookmarkStart w:id="3" w:name="_Toc22132_WPSOffice_Level1"/>
      <w:r>
        <w:rPr>
          <w:rFonts w:hint="eastAsia" w:ascii="黑体" w:hAnsi="黑体" w:eastAsia="黑体" w:cs="黑体"/>
          <w:color w:val="auto"/>
          <w:sz w:val="36"/>
          <w:szCs w:val="36"/>
          <w:highlight w:val="none"/>
        </w:rPr>
        <w:t>目   录</w:t>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TOC \o "1-2" \h \z \u </w:instrText>
      </w:r>
      <w:r>
        <w:rPr>
          <w:color w:val="auto"/>
          <w:highlight w:val="none"/>
        </w:rPr>
        <w:fldChar w:fldCharType="separate"/>
      </w:r>
      <w:r>
        <w:rPr>
          <w:color w:val="auto"/>
          <w:highlight w:val="none"/>
        </w:rPr>
        <w:fldChar w:fldCharType="begin"/>
      </w:r>
      <w:r>
        <w:rPr>
          <w:color w:val="auto"/>
          <w:highlight w:val="none"/>
        </w:rPr>
        <w:instrText xml:space="preserve"> HYPERLINK \l "_Toc127054583" </w:instrText>
      </w:r>
      <w:r>
        <w:rPr>
          <w:color w:val="auto"/>
          <w:highlight w:val="none"/>
        </w:rPr>
        <w:fldChar w:fldCharType="separate"/>
      </w:r>
      <w:r>
        <w:rPr>
          <w:rStyle w:val="29"/>
          <w:color w:val="auto"/>
          <w:sz w:val="30"/>
          <w:szCs w:val="30"/>
          <w:highlight w:val="none"/>
        </w:rPr>
        <w:t>一、基本情况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_Toc127054583 \h </w:instrText>
      </w:r>
      <w:r>
        <w:rPr>
          <w:color w:val="auto"/>
          <w:sz w:val="30"/>
          <w:szCs w:val="30"/>
          <w:highlight w:val="none"/>
        </w:rPr>
        <w:fldChar w:fldCharType="separate"/>
      </w:r>
      <w:r>
        <w:rPr>
          <w:color w:val="auto"/>
          <w:sz w:val="30"/>
          <w:szCs w:val="30"/>
          <w:highlight w:val="none"/>
        </w:rPr>
        <w:t>- 1 -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"_Toc127054584" </w:instrText>
      </w:r>
      <w:r>
        <w:rPr>
          <w:color w:val="auto"/>
          <w:highlight w:val="none"/>
        </w:rPr>
        <w:fldChar w:fldCharType="separate"/>
      </w:r>
      <w:r>
        <w:rPr>
          <w:rStyle w:val="29"/>
          <w:color w:val="auto"/>
          <w:sz w:val="30"/>
          <w:szCs w:val="30"/>
          <w:highlight w:val="none"/>
        </w:rPr>
        <w:t>（一）项目概况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_Toc127054584 \h </w:instrText>
      </w:r>
      <w:r>
        <w:rPr>
          <w:color w:val="auto"/>
          <w:sz w:val="30"/>
          <w:szCs w:val="30"/>
          <w:highlight w:val="none"/>
        </w:rPr>
        <w:fldChar w:fldCharType="separate"/>
      </w:r>
      <w:r>
        <w:rPr>
          <w:color w:val="auto"/>
          <w:sz w:val="30"/>
          <w:szCs w:val="30"/>
          <w:highlight w:val="none"/>
        </w:rPr>
        <w:t>- 1 -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jc w:val="both"/>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"_Toc127054585" </w:instrText>
      </w:r>
      <w:r>
        <w:rPr>
          <w:color w:val="auto"/>
          <w:highlight w:val="none"/>
        </w:rPr>
        <w:fldChar w:fldCharType="separate"/>
      </w:r>
      <w:r>
        <w:rPr>
          <w:rStyle w:val="29"/>
          <w:color w:val="auto"/>
          <w:sz w:val="30"/>
          <w:szCs w:val="30"/>
          <w:highlight w:val="none"/>
        </w:rPr>
        <w:t>（二）项目绩效目标</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_Toc127054585 \h </w:instrText>
      </w:r>
      <w:r>
        <w:rPr>
          <w:color w:val="auto"/>
          <w:sz w:val="30"/>
          <w:szCs w:val="30"/>
          <w:highlight w:val="none"/>
        </w:rPr>
        <w:fldChar w:fldCharType="separate"/>
      </w:r>
      <w:r>
        <w:rPr>
          <w:color w:val="auto"/>
          <w:sz w:val="30"/>
          <w:szCs w:val="30"/>
          <w:highlight w:val="none"/>
        </w:rPr>
        <w:t>- 4 -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"_Toc127054586" </w:instrText>
      </w:r>
      <w:r>
        <w:rPr>
          <w:color w:val="auto"/>
          <w:highlight w:val="none"/>
        </w:rPr>
        <w:fldChar w:fldCharType="separate"/>
      </w:r>
      <w:r>
        <w:rPr>
          <w:rStyle w:val="29"/>
          <w:color w:val="auto"/>
          <w:sz w:val="30"/>
          <w:szCs w:val="30"/>
          <w:highlight w:val="none"/>
        </w:rPr>
        <w:t>二、绩效评价工作开展情况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_Toc127054586 \h </w:instrText>
      </w:r>
      <w:r>
        <w:rPr>
          <w:color w:val="auto"/>
          <w:sz w:val="30"/>
          <w:szCs w:val="30"/>
          <w:highlight w:val="none"/>
        </w:rPr>
        <w:fldChar w:fldCharType="separate"/>
      </w:r>
      <w:r>
        <w:rPr>
          <w:color w:val="auto"/>
          <w:sz w:val="30"/>
          <w:szCs w:val="30"/>
          <w:highlight w:val="none"/>
        </w:rPr>
        <w:t>- 5 -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"_Toc127054587" </w:instrText>
      </w:r>
      <w:r>
        <w:rPr>
          <w:color w:val="auto"/>
          <w:highlight w:val="none"/>
        </w:rPr>
        <w:fldChar w:fldCharType="separate"/>
      </w:r>
      <w:r>
        <w:rPr>
          <w:rStyle w:val="29"/>
          <w:rFonts w:ascii="仿宋_GB2312" w:hAnsi="仿宋_GB2312" w:cs="仿宋_GB2312"/>
          <w:color w:val="auto"/>
          <w:sz w:val="30"/>
          <w:szCs w:val="30"/>
          <w:highlight w:val="none"/>
        </w:rPr>
        <w:t>（一）绩效评价目的、对象和范围</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_Toc127054587 \h </w:instrText>
      </w:r>
      <w:r>
        <w:rPr>
          <w:color w:val="auto"/>
          <w:sz w:val="30"/>
          <w:szCs w:val="30"/>
          <w:highlight w:val="none"/>
        </w:rPr>
        <w:fldChar w:fldCharType="separate"/>
      </w:r>
      <w:r>
        <w:rPr>
          <w:color w:val="auto"/>
          <w:sz w:val="30"/>
          <w:szCs w:val="30"/>
          <w:highlight w:val="none"/>
        </w:rPr>
        <w:t>- 5 -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"_Toc127054588" </w:instrText>
      </w:r>
      <w:r>
        <w:rPr>
          <w:color w:val="auto"/>
          <w:highlight w:val="none"/>
        </w:rPr>
        <w:fldChar w:fldCharType="separate"/>
      </w:r>
      <w:r>
        <w:rPr>
          <w:rStyle w:val="29"/>
          <w:rFonts w:ascii="仿宋_GB2312" w:hAnsi="仿宋_GB2312" w:cs="仿宋_GB2312"/>
          <w:color w:val="auto"/>
          <w:sz w:val="30"/>
          <w:szCs w:val="30"/>
          <w:highlight w:val="none"/>
        </w:rPr>
        <w:t>（二）绩效评价原则、评价指标体系、评价方法评价标准</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_Toc127054588 \h </w:instrText>
      </w:r>
      <w:r>
        <w:rPr>
          <w:color w:val="auto"/>
          <w:sz w:val="30"/>
          <w:szCs w:val="30"/>
          <w:highlight w:val="none"/>
        </w:rPr>
        <w:fldChar w:fldCharType="separate"/>
      </w:r>
      <w:r>
        <w:rPr>
          <w:color w:val="auto"/>
          <w:sz w:val="30"/>
          <w:szCs w:val="30"/>
          <w:highlight w:val="none"/>
        </w:rPr>
        <w:t>- 7 -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"_Toc127054589" </w:instrText>
      </w:r>
      <w:r>
        <w:rPr>
          <w:color w:val="auto"/>
          <w:highlight w:val="none"/>
        </w:rPr>
        <w:fldChar w:fldCharType="separate"/>
      </w:r>
      <w:r>
        <w:rPr>
          <w:rStyle w:val="29"/>
          <w:rFonts w:ascii="仿宋_GB2312" w:hAnsi="仿宋_GB2312" w:cs="仿宋_GB2312"/>
          <w:color w:val="auto"/>
          <w:sz w:val="30"/>
          <w:szCs w:val="30"/>
          <w:highlight w:val="none"/>
        </w:rPr>
        <w:t>（三）绩效评价工作过程</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_Toc127054589 \h </w:instrText>
      </w:r>
      <w:r>
        <w:rPr>
          <w:color w:val="auto"/>
          <w:sz w:val="30"/>
          <w:szCs w:val="30"/>
          <w:highlight w:val="none"/>
        </w:rPr>
        <w:fldChar w:fldCharType="separate"/>
      </w:r>
      <w:r>
        <w:rPr>
          <w:color w:val="auto"/>
          <w:sz w:val="30"/>
          <w:szCs w:val="30"/>
          <w:highlight w:val="none"/>
        </w:rPr>
        <w:t>- 11 -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"_Toc127054590" </w:instrText>
      </w:r>
      <w:r>
        <w:rPr>
          <w:color w:val="auto"/>
          <w:highlight w:val="none"/>
        </w:rPr>
        <w:fldChar w:fldCharType="separate"/>
      </w:r>
      <w:r>
        <w:rPr>
          <w:rStyle w:val="29"/>
          <w:color w:val="auto"/>
          <w:sz w:val="30"/>
          <w:szCs w:val="30"/>
          <w:highlight w:val="none"/>
        </w:rPr>
        <w:t>三、综合评价情况及评价结论</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_Toc127054590 \h </w:instrText>
      </w:r>
      <w:r>
        <w:rPr>
          <w:color w:val="auto"/>
          <w:sz w:val="30"/>
          <w:szCs w:val="30"/>
          <w:highlight w:val="none"/>
        </w:rPr>
        <w:fldChar w:fldCharType="separate"/>
      </w:r>
      <w:r>
        <w:rPr>
          <w:color w:val="auto"/>
          <w:sz w:val="30"/>
          <w:szCs w:val="30"/>
          <w:highlight w:val="none"/>
        </w:rPr>
        <w:t>- 12 -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"_Toc127054591" </w:instrText>
      </w:r>
      <w:r>
        <w:rPr>
          <w:color w:val="auto"/>
          <w:highlight w:val="none"/>
        </w:rPr>
        <w:fldChar w:fldCharType="separate"/>
      </w:r>
      <w:r>
        <w:rPr>
          <w:rStyle w:val="29"/>
          <w:color w:val="auto"/>
          <w:sz w:val="30"/>
          <w:szCs w:val="30"/>
          <w:highlight w:val="none"/>
        </w:rPr>
        <w:t>（一）综合评价情况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_Toc127054591 \h </w:instrText>
      </w:r>
      <w:r>
        <w:rPr>
          <w:color w:val="auto"/>
          <w:sz w:val="30"/>
          <w:szCs w:val="30"/>
          <w:highlight w:val="none"/>
        </w:rPr>
        <w:fldChar w:fldCharType="separate"/>
      </w:r>
      <w:r>
        <w:rPr>
          <w:color w:val="auto"/>
          <w:sz w:val="30"/>
          <w:szCs w:val="30"/>
          <w:highlight w:val="none"/>
        </w:rPr>
        <w:t>- 12 -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"_Toc127054592" </w:instrText>
      </w:r>
      <w:r>
        <w:rPr>
          <w:color w:val="auto"/>
          <w:highlight w:val="none"/>
        </w:rPr>
        <w:fldChar w:fldCharType="separate"/>
      </w:r>
      <w:r>
        <w:rPr>
          <w:rStyle w:val="29"/>
          <w:color w:val="auto"/>
          <w:sz w:val="30"/>
          <w:szCs w:val="30"/>
          <w:highlight w:val="none"/>
        </w:rPr>
        <w:t>（二）综合评价结论</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_Toc127054592 \h </w:instrText>
      </w:r>
      <w:r>
        <w:rPr>
          <w:color w:val="auto"/>
          <w:sz w:val="30"/>
          <w:szCs w:val="30"/>
          <w:highlight w:val="none"/>
        </w:rPr>
        <w:fldChar w:fldCharType="separate"/>
      </w:r>
      <w:r>
        <w:rPr>
          <w:color w:val="auto"/>
          <w:sz w:val="30"/>
          <w:szCs w:val="30"/>
          <w:highlight w:val="none"/>
        </w:rPr>
        <w:t>- 13 -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"_Toc127054593" </w:instrText>
      </w:r>
      <w:r>
        <w:rPr>
          <w:color w:val="auto"/>
          <w:highlight w:val="none"/>
        </w:rPr>
        <w:fldChar w:fldCharType="separate"/>
      </w:r>
      <w:r>
        <w:rPr>
          <w:rStyle w:val="29"/>
          <w:color w:val="auto"/>
          <w:sz w:val="30"/>
          <w:szCs w:val="30"/>
          <w:highlight w:val="none"/>
        </w:rPr>
        <w:t>四、绩效评价指标分析</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_Toc127054593 \h </w:instrText>
      </w:r>
      <w:r>
        <w:rPr>
          <w:color w:val="auto"/>
          <w:sz w:val="30"/>
          <w:szCs w:val="30"/>
          <w:highlight w:val="none"/>
        </w:rPr>
        <w:fldChar w:fldCharType="separate"/>
      </w:r>
      <w:r>
        <w:rPr>
          <w:color w:val="auto"/>
          <w:sz w:val="30"/>
          <w:szCs w:val="30"/>
          <w:highlight w:val="none"/>
        </w:rPr>
        <w:t>- 14 -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"_Toc127054594" </w:instrText>
      </w:r>
      <w:r>
        <w:rPr>
          <w:color w:val="auto"/>
          <w:highlight w:val="none"/>
        </w:rPr>
        <w:fldChar w:fldCharType="separate"/>
      </w:r>
      <w:r>
        <w:rPr>
          <w:rStyle w:val="29"/>
          <w:rFonts w:ascii="仿宋_GB2312" w:hAnsi="仿宋_GB2312" w:cs="仿宋_GB2312"/>
          <w:color w:val="auto"/>
          <w:sz w:val="30"/>
          <w:szCs w:val="30"/>
          <w:highlight w:val="none"/>
        </w:rPr>
        <w:t>（一）项目决策情况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_Toc127054594 \h </w:instrText>
      </w:r>
      <w:r>
        <w:rPr>
          <w:color w:val="auto"/>
          <w:sz w:val="30"/>
          <w:szCs w:val="30"/>
          <w:highlight w:val="none"/>
        </w:rPr>
        <w:fldChar w:fldCharType="separate"/>
      </w:r>
      <w:r>
        <w:rPr>
          <w:color w:val="auto"/>
          <w:sz w:val="30"/>
          <w:szCs w:val="30"/>
          <w:highlight w:val="none"/>
        </w:rPr>
        <w:t>- 14 -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"_Toc127054595" </w:instrText>
      </w:r>
      <w:r>
        <w:rPr>
          <w:color w:val="auto"/>
          <w:highlight w:val="none"/>
        </w:rPr>
        <w:fldChar w:fldCharType="separate"/>
      </w:r>
      <w:r>
        <w:rPr>
          <w:rStyle w:val="29"/>
          <w:rFonts w:ascii="仿宋_GB2312" w:hAnsi="仿宋_GB2312" w:cs="仿宋_GB2312"/>
          <w:color w:val="auto"/>
          <w:sz w:val="30"/>
          <w:szCs w:val="30"/>
          <w:highlight w:val="none"/>
        </w:rPr>
        <w:t>（二）项目过程情况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_Toc127054595 \h </w:instrText>
      </w:r>
      <w:r>
        <w:rPr>
          <w:color w:val="auto"/>
          <w:sz w:val="30"/>
          <w:szCs w:val="30"/>
          <w:highlight w:val="none"/>
        </w:rPr>
        <w:fldChar w:fldCharType="separate"/>
      </w:r>
      <w:r>
        <w:rPr>
          <w:color w:val="auto"/>
          <w:sz w:val="30"/>
          <w:szCs w:val="30"/>
          <w:highlight w:val="none"/>
        </w:rPr>
        <w:t>- 16 -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"_Toc127054596" </w:instrText>
      </w:r>
      <w:r>
        <w:rPr>
          <w:color w:val="auto"/>
          <w:highlight w:val="none"/>
        </w:rPr>
        <w:fldChar w:fldCharType="separate"/>
      </w:r>
      <w:r>
        <w:rPr>
          <w:rStyle w:val="29"/>
          <w:rFonts w:ascii="仿宋_GB2312" w:hAnsi="仿宋_GB2312" w:cs="仿宋_GB2312"/>
          <w:color w:val="auto"/>
          <w:sz w:val="30"/>
          <w:szCs w:val="30"/>
          <w:highlight w:val="none"/>
        </w:rPr>
        <w:t>（三）项目产出情况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_Toc127054596 \h </w:instrText>
      </w:r>
      <w:r>
        <w:rPr>
          <w:color w:val="auto"/>
          <w:sz w:val="30"/>
          <w:szCs w:val="30"/>
          <w:highlight w:val="none"/>
        </w:rPr>
        <w:fldChar w:fldCharType="separate"/>
      </w:r>
      <w:r>
        <w:rPr>
          <w:color w:val="auto"/>
          <w:sz w:val="30"/>
          <w:szCs w:val="30"/>
          <w:highlight w:val="none"/>
        </w:rPr>
        <w:t>- 18 -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"_Toc127054597" </w:instrText>
      </w:r>
      <w:r>
        <w:rPr>
          <w:color w:val="auto"/>
          <w:highlight w:val="none"/>
        </w:rPr>
        <w:fldChar w:fldCharType="separate"/>
      </w:r>
      <w:r>
        <w:rPr>
          <w:rStyle w:val="29"/>
          <w:rFonts w:ascii="仿宋_GB2312" w:hAnsi="仿宋_GB2312" w:cs="仿宋_GB2312"/>
          <w:color w:val="auto"/>
          <w:sz w:val="30"/>
          <w:szCs w:val="30"/>
          <w:highlight w:val="none"/>
        </w:rPr>
        <w:t>（四）项目效益情况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_Toc127054597 \h </w:instrText>
      </w:r>
      <w:r>
        <w:rPr>
          <w:color w:val="auto"/>
          <w:sz w:val="30"/>
          <w:szCs w:val="30"/>
          <w:highlight w:val="none"/>
        </w:rPr>
        <w:fldChar w:fldCharType="separate"/>
      </w:r>
      <w:r>
        <w:rPr>
          <w:color w:val="auto"/>
          <w:sz w:val="30"/>
          <w:szCs w:val="30"/>
          <w:highlight w:val="none"/>
        </w:rPr>
        <w:t>- 18 -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"_Toc127054598" </w:instrText>
      </w:r>
      <w:r>
        <w:rPr>
          <w:color w:val="auto"/>
          <w:highlight w:val="none"/>
        </w:rPr>
        <w:fldChar w:fldCharType="separate"/>
      </w:r>
      <w:r>
        <w:rPr>
          <w:rStyle w:val="29"/>
          <w:color w:val="auto"/>
          <w:sz w:val="30"/>
          <w:szCs w:val="30"/>
          <w:highlight w:val="none"/>
        </w:rPr>
        <w:t>五、预算执行进度与绩效指标偏差</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_Toc127054598 \h </w:instrText>
      </w:r>
      <w:r>
        <w:rPr>
          <w:color w:val="auto"/>
          <w:sz w:val="30"/>
          <w:szCs w:val="30"/>
          <w:highlight w:val="none"/>
        </w:rPr>
        <w:fldChar w:fldCharType="separate"/>
      </w:r>
      <w:r>
        <w:rPr>
          <w:color w:val="auto"/>
          <w:sz w:val="30"/>
          <w:szCs w:val="30"/>
          <w:highlight w:val="none"/>
        </w:rPr>
        <w:t>- 20 -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"_Toc127054599" </w:instrText>
      </w:r>
      <w:r>
        <w:rPr>
          <w:color w:val="auto"/>
          <w:highlight w:val="none"/>
        </w:rPr>
        <w:fldChar w:fldCharType="separate"/>
      </w:r>
      <w:r>
        <w:rPr>
          <w:rStyle w:val="29"/>
          <w:color w:val="auto"/>
          <w:sz w:val="30"/>
          <w:szCs w:val="30"/>
          <w:highlight w:val="none"/>
        </w:rPr>
        <w:t>六、主要经验及做法、存在的问题及原因分析</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_Toc127054599 \h </w:instrText>
      </w:r>
      <w:r>
        <w:rPr>
          <w:color w:val="auto"/>
          <w:sz w:val="30"/>
          <w:szCs w:val="30"/>
          <w:highlight w:val="none"/>
        </w:rPr>
        <w:fldChar w:fldCharType="separate"/>
      </w:r>
      <w:r>
        <w:rPr>
          <w:color w:val="auto"/>
          <w:sz w:val="30"/>
          <w:szCs w:val="30"/>
          <w:highlight w:val="none"/>
        </w:rPr>
        <w:t>- 20 -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"_Toc127054600" </w:instrText>
      </w:r>
      <w:r>
        <w:rPr>
          <w:color w:val="auto"/>
          <w:highlight w:val="none"/>
        </w:rPr>
        <w:fldChar w:fldCharType="separate"/>
      </w:r>
      <w:r>
        <w:rPr>
          <w:rStyle w:val="29"/>
          <w:rFonts w:ascii="仿宋_GB2312" w:hAnsi="仿宋_GB2312" w:cs="仿宋_GB2312"/>
          <w:color w:val="auto"/>
          <w:sz w:val="30"/>
          <w:szCs w:val="30"/>
          <w:highlight w:val="none"/>
        </w:rPr>
        <w:t>（一）主要经验及做法</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_Toc127054600 \h </w:instrText>
      </w:r>
      <w:r>
        <w:rPr>
          <w:color w:val="auto"/>
          <w:sz w:val="30"/>
          <w:szCs w:val="30"/>
          <w:highlight w:val="none"/>
        </w:rPr>
        <w:fldChar w:fldCharType="separate"/>
      </w:r>
      <w:r>
        <w:rPr>
          <w:color w:val="auto"/>
          <w:sz w:val="30"/>
          <w:szCs w:val="30"/>
          <w:highlight w:val="none"/>
        </w:rPr>
        <w:t>- 21 -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"_Toc127054601" </w:instrText>
      </w:r>
      <w:r>
        <w:rPr>
          <w:color w:val="auto"/>
          <w:highlight w:val="none"/>
        </w:rPr>
        <w:fldChar w:fldCharType="separate"/>
      </w:r>
      <w:r>
        <w:rPr>
          <w:rStyle w:val="29"/>
          <w:rFonts w:ascii="仿宋_GB2312" w:hAnsi="仿宋_GB2312" w:cs="仿宋_GB2312"/>
          <w:color w:val="auto"/>
          <w:sz w:val="30"/>
          <w:szCs w:val="30"/>
          <w:highlight w:val="none"/>
        </w:rPr>
        <w:t>（二）存在问题及原因分析</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_Toc127054601 \h </w:instrText>
      </w:r>
      <w:r>
        <w:rPr>
          <w:color w:val="auto"/>
          <w:sz w:val="30"/>
          <w:szCs w:val="30"/>
          <w:highlight w:val="none"/>
        </w:rPr>
        <w:fldChar w:fldCharType="separate"/>
      </w:r>
      <w:r>
        <w:rPr>
          <w:color w:val="auto"/>
          <w:sz w:val="30"/>
          <w:szCs w:val="30"/>
          <w:highlight w:val="none"/>
        </w:rPr>
        <w:t>- 21 -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"_Toc127054602" </w:instrText>
      </w:r>
      <w:r>
        <w:rPr>
          <w:color w:val="auto"/>
          <w:highlight w:val="none"/>
        </w:rPr>
        <w:fldChar w:fldCharType="separate"/>
      </w:r>
      <w:r>
        <w:rPr>
          <w:rStyle w:val="29"/>
          <w:color w:val="auto"/>
          <w:sz w:val="30"/>
          <w:szCs w:val="30"/>
          <w:highlight w:val="none"/>
        </w:rPr>
        <w:t>七、有关建议</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_Toc127054602 \h </w:instrText>
      </w:r>
      <w:r>
        <w:rPr>
          <w:color w:val="auto"/>
          <w:sz w:val="30"/>
          <w:szCs w:val="30"/>
          <w:highlight w:val="none"/>
        </w:rPr>
        <w:fldChar w:fldCharType="separate"/>
      </w:r>
      <w:r>
        <w:rPr>
          <w:color w:val="auto"/>
          <w:sz w:val="30"/>
          <w:szCs w:val="30"/>
          <w:highlight w:val="none"/>
        </w:rPr>
        <w:t>- 21 -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"_Toc127054603" </w:instrText>
      </w:r>
      <w:r>
        <w:rPr>
          <w:color w:val="auto"/>
          <w:highlight w:val="none"/>
        </w:rPr>
        <w:fldChar w:fldCharType="separate"/>
      </w:r>
      <w:r>
        <w:rPr>
          <w:rStyle w:val="29"/>
          <w:color w:val="auto"/>
          <w:sz w:val="30"/>
          <w:szCs w:val="30"/>
          <w:highlight w:val="none"/>
        </w:rPr>
        <w:t>八、其他需要说明的问题</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_Toc127054603 \h </w:instrText>
      </w:r>
      <w:r>
        <w:rPr>
          <w:color w:val="auto"/>
          <w:sz w:val="30"/>
          <w:szCs w:val="30"/>
          <w:highlight w:val="none"/>
        </w:rPr>
        <w:fldChar w:fldCharType="separate"/>
      </w:r>
      <w:r>
        <w:rPr>
          <w:color w:val="auto"/>
          <w:sz w:val="30"/>
          <w:szCs w:val="30"/>
          <w:highlight w:val="none"/>
        </w:rPr>
        <w:t>- 22 -</w:t>
      </w:r>
      <w:r>
        <w:rPr>
          <w:color w:val="auto"/>
          <w:sz w:val="30"/>
          <w:szCs w:val="30"/>
          <w:highlight w:val="none"/>
        </w:rPr>
        <w:fldChar w:fldCharType="end"/>
      </w:r>
      <w:r>
        <w:rPr>
          <w:color w:val="auto"/>
          <w:sz w:val="30"/>
          <w:szCs w:val="30"/>
          <w:highlight w:val="none"/>
        </w:rPr>
        <w:fldChar w:fldCharType="end"/>
      </w:r>
    </w:p>
    <w:p>
      <w:pPr>
        <w:pStyle w:val="31"/>
        <w:keepNext w:val="0"/>
        <w:keepLines w:val="0"/>
        <w:spacing w:line="520" w:lineRule="exact"/>
        <w:ind w:firstLine="640" w:firstLineChars="200"/>
        <w:jc w:val="both"/>
        <w:rPr>
          <w:color w:val="auto"/>
          <w:highlight w:val="none"/>
        </w:rPr>
        <w:sectPr>
          <w:headerReference r:id="rId3" w:type="default"/>
          <w:footerReference r:id="rId4" w:type="default"/>
          <w:pgSz w:w="11906" w:h="16838"/>
          <w:pgMar w:top="1440" w:right="1800" w:bottom="1440" w:left="1800" w:header="851" w:footer="992" w:gutter="0"/>
          <w:pgNumType w:fmt="numberInDash" w:start="1"/>
          <w:cols w:space="720" w:num="1"/>
          <w:docGrid w:type="lines" w:linePitch="312" w:charSpace="0"/>
        </w:sectPr>
      </w:pPr>
      <w:r>
        <w:rPr>
          <w:color w:val="auto"/>
          <w:highlight w:val="none"/>
        </w:rPr>
        <w:fldChar w:fldCharType="end"/>
      </w:r>
      <w:bookmarkStart w:id="4" w:name="_Toc127054583"/>
      <w:bookmarkStart w:id="5" w:name="_Toc17118"/>
      <w:bookmarkStart w:id="6" w:name="_Toc11547"/>
      <w:bookmarkStart w:id="7" w:name="_Toc14304"/>
      <w:bookmarkStart w:id="8" w:name="_Toc32254_WPSOffice_Level1"/>
    </w:p>
    <w:p>
      <w:pPr>
        <w:pStyle w:val="31"/>
        <w:keepNext w:val="0"/>
        <w:keepLines w:val="0"/>
        <w:spacing w:line="520" w:lineRule="exact"/>
        <w:ind w:firstLine="640" w:firstLineChars="200"/>
        <w:jc w:val="both"/>
        <w:rPr>
          <w:color w:val="auto"/>
          <w:highlight w:val="none"/>
        </w:rPr>
      </w:pPr>
      <w:r>
        <w:rPr>
          <w:rFonts w:hint="eastAsia"/>
          <w:color w:val="auto"/>
          <w:highlight w:val="none"/>
        </w:rPr>
        <w:t>一、基本情况</w:t>
      </w:r>
      <w:bookmarkEnd w:id="2"/>
      <w:bookmarkEnd w:id="3"/>
      <w:bookmarkEnd w:id="4"/>
      <w:bookmarkEnd w:id="5"/>
      <w:bookmarkEnd w:id="6"/>
      <w:bookmarkEnd w:id="7"/>
      <w:bookmarkEnd w:id="8"/>
    </w:p>
    <w:p>
      <w:pPr>
        <w:pStyle w:val="52"/>
        <w:keepNext w:val="0"/>
        <w:keepLines w:val="0"/>
        <w:spacing w:line="520" w:lineRule="exact"/>
        <w:ind w:left="560"/>
        <w:jc w:val="both"/>
        <w:rPr>
          <w:color w:val="auto"/>
          <w:highlight w:val="none"/>
        </w:rPr>
      </w:pPr>
      <w:bookmarkStart w:id="9" w:name="_Toc17504"/>
      <w:bookmarkStart w:id="10" w:name="_Toc17283"/>
      <w:bookmarkStart w:id="11" w:name="_Toc1545_WPSOffice_Level2"/>
      <w:bookmarkStart w:id="12" w:name="_Toc5769"/>
      <w:bookmarkStart w:id="13" w:name="_Toc12560_WPSOffice_Level2"/>
      <w:bookmarkStart w:id="14" w:name="_Toc31410"/>
      <w:bookmarkStart w:id="15" w:name="_Toc32174_WPSOffice_Level2"/>
      <w:bookmarkStart w:id="16" w:name="_Toc24286"/>
      <w:bookmarkStart w:id="17" w:name="_Toc127054584"/>
      <w:bookmarkStart w:id="18" w:name="_Toc6398"/>
      <w:r>
        <w:rPr>
          <w:rFonts w:hint="eastAsia"/>
          <w:color w:val="auto"/>
          <w:highlight w:val="none"/>
        </w:rPr>
        <w:t>（一）项目概况</w:t>
      </w:r>
      <w:bookmarkEnd w:id="9"/>
      <w:bookmarkEnd w:id="10"/>
      <w:bookmarkEnd w:id="11"/>
      <w:bookmarkEnd w:id="12"/>
      <w:bookmarkEnd w:id="13"/>
      <w:bookmarkEnd w:id="14"/>
      <w:bookmarkEnd w:id="15"/>
      <w:bookmarkEnd w:id="16"/>
      <w:bookmarkEnd w:id="17"/>
      <w:bookmarkEnd w:id="18"/>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1.项目背景</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本项目遵循财政部《项目支出绩效评价管理办法》（财预〔2020〕10号）和自治区财政厅《自</w:t>
      </w:r>
      <w:r>
        <w:rPr>
          <w:rFonts w:hint="eastAsia" w:ascii="仿宋_GB2312" w:hAnsi="仿宋_GB2312" w:cs="仿宋_GB2312"/>
          <w:color w:val="auto"/>
          <w:highlight w:val="none"/>
        </w:rPr>
        <w:t>治区财政支出绩效评价管理暂行办法》（新财预〔2018〕189号）等相关政策文件与规定，旨在评价</w:t>
      </w:r>
      <w:r>
        <w:rPr>
          <w:rFonts w:hint="eastAsia" w:ascii="仿宋_GB2312" w:hAnsi="仿宋_GB2312" w:cs="仿宋_GB2312"/>
          <w:color w:val="auto"/>
          <w:highlight w:val="none"/>
          <w:lang w:eastAsia="zh-CN"/>
        </w:rPr>
        <w:t>2023年岳普湖县农业生产社会化服务项目</w:t>
      </w:r>
      <w:r>
        <w:rPr>
          <w:rFonts w:hint="eastAsia" w:ascii="仿宋_GB2312" w:hAnsi="仿宋_GB2312" w:cs="仿宋_GB2312"/>
          <w:color w:val="auto"/>
          <w:highlight w:val="none"/>
        </w:rPr>
        <w:t>实施前期、过程及效果，评价财政预算资金</w:t>
      </w:r>
      <w:r>
        <w:rPr>
          <w:rFonts w:hint="eastAsia" w:ascii="仿宋_GB2312" w:hAnsi="仿宋_GB2312" w:cs="仿宋_GB2312"/>
          <w:color w:val="auto"/>
          <w:highlight w:val="none"/>
        </w:rPr>
        <w:t>使用的效率及效益。</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lang w:val="en-US" w:eastAsia="zh-CN"/>
        </w:rPr>
        <w:t>中华人民共和国</w:t>
      </w:r>
      <w:r>
        <w:rPr>
          <w:rFonts w:hint="eastAsia" w:ascii="仿宋_GB2312" w:hAnsi="仿宋_GB2312" w:cs="仿宋_GB2312"/>
          <w:color w:val="auto"/>
          <w:highlight w:val="none"/>
          <w:lang w:eastAsia="zh-CN"/>
        </w:rPr>
        <w:t>农业农村部《关于加快发展农业社会化服务的指导意见》（农经发〔2021〕2号）</w:t>
      </w:r>
      <w:r>
        <w:rPr>
          <w:rFonts w:hint="eastAsia" w:ascii="仿宋_GB2312" w:hAnsi="仿宋_GB2312" w:cs="仿宋_GB2312"/>
          <w:color w:val="auto"/>
          <w:highlight w:val="none"/>
          <w:lang w:val="en-US" w:eastAsia="zh-CN"/>
        </w:rPr>
        <w:t>明确</w:t>
      </w:r>
      <w:r>
        <w:rPr>
          <w:rFonts w:hint="eastAsia" w:ascii="仿宋_GB2312" w:hAnsi="仿宋_GB2312" w:cs="仿宋_GB2312"/>
          <w:color w:val="auto"/>
          <w:highlight w:val="none"/>
        </w:rPr>
        <w:t>发展农业社会化服务，是实现小农户和现代农业有机衔接的基本途径和主要机制，是激发农民生产积极性、发展农业生产力的重要经营方式，已成为构建现代农业经营体系、转变农业发展方式、加快推进农业现代化的重大战略举措</w:t>
      </w:r>
      <w:r>
        <w:rPr>
          <w:rFonts w:hint="eastAsia" w:ascii="仿宋_GB2312" w:hAnsi="仿宋_GB2312" w:cs="仿宋_GB2312"/>
          <w:color w:val="auto"/>
          <w:highlight w:val="none"/>
          <w:lang w:eastAsia="zh-CN"/>
        </w:rPr>
        <w:t>。</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lang w:eastAsia="zh-CN"/>
        </w:rPr>
        <w:t>大国小农是基本国情农情，人均一亩三分地、户均不过十亩田的小农生产方式，是我国农业发展需要长期面对的基本现实。这决定了我国不可能在短期内通过流转土地搞大规模集中经营，也不可能走一些国家高投入高成本、家家户户设施装备小而全的路子。当前，最现实、最有效的途径就是通过发展农业社会化服务，将先进适用的品种、技术、装备和组织形式等现代生产要素有效导入小农户生产，帮助小农户解决一家一户干不了、干不好、干起来不划算的事，丰富和完善农村双层经营体制的内涵，促进小农户和现代农业有机衔接，推进农业生产过程的专业化、标准化、集约化，以服务过程的现代化实现农业现代化。</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lang w:eastAsia="zh-CN"/>
        </w:rPr>
        <w:t>与农业高质量发展的要求相比，我国农业面临化肥农药用量大、利用率低，技术装备普及难、应用不充分，农产品品种杂、品质不优，以及农民组织化程度低等问题，迫切需要用现代科学技术、物质装备、产业体系、经营形式改造和提升农业。实践表明，农业社会化服务的过程，是推广应用先进技术装备的过程，是改善资源要素投入结构和质量的过程，是推进农业标准化生产、规模化经营的过程，也是提高农民组织化程度的过程，有助于转变农业发展方式，促进农业转型升级，实现质量兴农、绿色兴农和高质量发展。</w:t>
      </w:r>
    </w:p>
    <w:p>
      <w:pPr>
        <w:pStyle w:val="32"/>
        <w:spacing w:line="520" w:lineRule="exact"/>
        <w:rPr>
          <w:rFonts w:ascii="仿宋_GB2312" w:hAnsi="仿宋_GB2312" w:cs="仿宋_GB2312"/>
          <w:b/>
          <w:bCs/>
          <w:color w:val="auto"/>
          <w:highlight w:val="none"/>
        </w:rPr>
      </w:pPr>
      <w:r>
        <w:rPr>
          <w:rFonts w:hint="eastAsia" w:ascii="仿宋_GB2312" w:hAnsi="仿宋_GB2312" w:cs="仿宋_GB2312"/>
          <w:b/>
          <w:bCs/>
          <w:color w:val="auto"/>
          <w:highlight w:val="none"/>
        </w:rPr>
        <w:t>2.主要内容及实施情况</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1）主要内容</w:t>
      </w:r>
    </w:p>
    <w:p>
      <w:pPr>
        <w:pStyle w:val="32"/>
        <w:spacing w:line="520" w:lineRule="exact"/>
        <w:ind w:firstLine="560"/>
        <w:rPr>
          <w:rFonts w:hint="eastAsia"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rPr>
        <w:t>在岳普湖县开展社会化服务补助，对岳普湖县阿其克乡小麦机械收割和小麦秸秆打包、正播玉米收割进行机械费用补助。其中：小麦机械收割和小麦秸秆打包共涉及44832.38亩，正播玉米收割共涉及2162.8亩。</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2）实施情况</w:t>
      </w:r>
    </w:p>
    <w:p>
      <w:pPr>
        <w:pStyle w:val="32"/>
        <w:spacing w:line="520" w:lineRule="exact"/>
        <w:ind w:firstLine="560"/>
        <w:rPr>
          <w:rFonts w:ascii="仿宋_GB2312" w:hAnsi="仿宋_GB2312" w:cs="仿宋_GB2312"/>
          <w:color w:val="auto"/>
          <w:highlight w:val="none"/>
        </w:rPr>
      </w:pPr>
      <w:r>
        <w:rPr>
          <w:rFonts w:ascii="仿宋_GB2312" w:hAnsi="仿宋_GB2312" w:cs="仿宋_GB2312"/>
          <w:color w:val="auto"/>
          <w:highlight w:val="none"/>
        </w:rPr>
        <w:t>项目实施前由项目负责人</w:t>
      </w:r>
      <w:r>
        <w:rPr>
          <w:rFonts w:hint="eastAsia" w:ascii="仿宋_GB2312" w:hAnsi="仿宋_GB2312" w:cs="仿宋_GB2312"/>
          <w:color w:val="auto"/>
          <w:highlight w:val="none"/>
          <w:lang w:eastAsia="zh-CN"/>
        </w:rPr>
        <w:t>王佩武</w:t>
      </w:r>
      <w:r>
        <w:rPr>
          <w:rFonts w:ascii="仿宋_GB2312" w:hAnsi="仿宋_GB2312" w:cs="仿宋_GB2312"/>
          <w:color w:val="auto"/>
          <w:highlight w:val="none"/>
        </w:rPr>
        <w:t>进行牵头，首先进行项目的前期调研。评估项目实施的相关性、预期绩效的可实现性、实施方案的有</w:t>
      </w:r>
      <w:r>
        <w:rPr>
          <w:rFonts w:ascii="仿宋_GB2312" w:hAnsi="仿宋_GB2312" w:cs="仿宋_GB2312"/>
          <w:color w:val="auto"/>
          <w:highlight w:val="none"/>
        </w:rPr>
        <w:t>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3.项目实施主体</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lang w:val="en-US" w:eastAsia="zh-CN"/>
        </w:rPr>
        <w:t>项目实施主体:</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lang w:eastAsia="zh-CN"/>
        </w:rPr>
        <w:t>。</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项目实施时间：</w:t>
      </w:r>
      <w:r>
        <w:rPr>
          <w:rFonts w:hint="eastAsia" w:ascii="仿宋_GB2312" w:hAnsi="仿宋_GB2312" w:cs="仿宋_GB2312"/>
          <w:color w:val="auto"/>
          <w:highlight w:val="none"/>
          <w:lang w:val="en-US" w:eastAsia="zh-CN"/>
        </w:rPr>
        <w:t>2023年1月-12月。</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lang w:val="en-US" w:eastAsia="zh-CN"/>
        </w:rPr>
        <w:t>实施主体基本情况：</w:t>
      </w:r>
      <w:r>
        <w:rPr>
          <w:rFonts w:hint="eastAsia" w:ascii="仿宋_GB2312" w:hAnsi="仿宋_GB2312" w:cs="仿宋_GB2312"/>
          <w:color w:val="auto"/>
          <w:highlight w:val="none"/>
        </w:rPr>
        <w:t>该项目实施单位为</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rPr>
        <w:t>，</w:t>
      </w:r>
      <w:r>
        <w:rPr>
          <w:rFonts w:hint="eastAsia" w:ascii="仿宋_GB2312" w:hAnsi="仿宋_GB2312" w:cs="仿宋_GB2312"/>
          <w:color w:val="auto"/>
          <w:highlight w:val="none"/>
          <w:lang w:eastAsia="zh-CN"/>
        </w:rPr>
        <w:t>2019年根据地委、行署批准的《岳普湖县机构改革方案》（喀党办字〔2019〕6号）和《关于印发&lt;岳普湖县机构改革方案实施意见&gt;的通知》（岳党办发〔2019〕15号）文件精神，岳普湖县将县委农村工作领导小组办公室、县农业局、县畜牧兽医局、县农牧机械局4个正科级单位及相关部门整合组建成立了岳普湖县农业农村局，并于2019年3月3日宣布成立。将县农业综合开发办公室、农牧机械管理局、农机安全监理站、农村经济经营管理局、种子管理站、农业技术推广中心、农产品检验检测中心、动物卫生监督所、畜牧兽医站承担的行政职能划归县农业农村局，县委农村工作领导小组办公室设在县农业农村局，接受县委农村工作领导小组的直接领导，承担县委农村工作领导小组具体工作。县农业农村局设有农业综合行政执法大队，农业综合服务中心、种业发展中心、农村合作经济发展中心、农业农村机械化发展中心、动物卫生服务站等6个参公机构，畜牧兽医站、良繁中心、农业产业发展中心、农业技术推广中心、农产品质量安全检测中心、人工影响天气服务站、瓜（菜）果产业发展中心、种苗培育服务中心、农牧机械推广站等9个事业机构。</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单位主要职能是：</w:t>
      </w:r>
      <w:r>
        <w:rPr>
          <w:rFonts w:hint="eastAsia" w:ascii="仿宋_GB2312" w:hAnsi="仿宋_GB2312" w:cs="仿宋_GB2312"/>
          <w:color w:val="auto"/>
          <w:highlight w:val="none"/>
          <w:lang w:eastAsia="zh-CN"/>
        </w:rPr>
        <w:t>（1）组织实施全县“三农”工作及畜牧兽医工作的发展战略、中长期规划、重大政策。（2）统筹推动发展农村社会事业、农村公共服务、农村文化、农村基础设施和乡村治理。（3）贯彻深化农村经济体制改革和巩固完善农村基本经营制度的政策。（4）指导乡村特色产业、农产品加工业、休闲农业和乡镇企业发展工作。（5）负责种植业、县国有农场、农业机械化等农业各产业的监督管理。（6）负责农产品质量安全监督管理，组织农业资源区划工作。（7）负责全县有关农业生产资料和农业投入品的监督管理。（8）负责农业防灾减灾、农作物重大病虫害防治工作。（9）负责农业投资管理。提出农业投融资体制机制改革建议。（10）承担农业科技体制改革和农业科技创新体系建设。（11）指导农业农村人才工作，牵头开展农业对外合作工作，负责组织实施畜牧兽医工作。（12）负责和监督动物疫病防治和疫情管理工作。（13）完成县委、县人民政府和县委农村工作领导小组交办的其他任务。</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实施主体编制情况：岳普湖县农业农村局编制内实有在职人员人数103人。其中：行政编制人员56人，行政工勤编制人员2人，事业编制人员45人。</w:t>
      </w:r>
    </w:p>
    <w:p>
      <w:pPr>
        <w:pStyle w:val="32"/>
        <w:spacing w:line="520" w:lineRule="exact"/>
        <w:ind w:firstLine="562"/>
        <w:rPr>
          <w:rFonts w:hint="eastAsia" w:ascii="仿宋_GB2312" w:hAnsi="仿宋_GB2312" w:eastAsia="仿宋_GB2312" w:cs="仿宋_GB2312"/>
          <w:b/>
          <w:bCs/>
          <w:color w:val="auto"/>
          <w:highlight w:val="none"/>
          <w:lang w:eastAsia="zh-CN"/>
        </w:rPr>
      </w:pPr>
      <w:r>
        <w:rPr>
          <w:rFonts w:hint="eastAsia" w:ascii="仿宋_GB2312" w:hAnsi="仿宋_GB2312" w:cs="仿宋_GB2312"/>
          <w:b/>
          <w:bCs/>
          <w:color w:val="auto"/>
          <w:highlight w:val="none"/>
          <w:lang w:eastAsia="zh-CN"/>
        </w:rPr>
        <w:t>4.资金投入情况</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（1）项目资金安排落实、总投入等情况分析</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根据</w:t>
      </w:r>
      <w:r>
        <w:rPr>
          <w:rFonts w:hint="eastAsia" w:ascii="仿宋_GB2312" w:hAnsi="仿宋_GB2312" w:cs="仿宋_GB2312"/>
          <w:color w:val="auto"/>
          <w:highlight w:val="none"/>
        </w:rPr>
        <w:t>《关于下达2023年中央农业经营主体能力提升资金预算的通知》（喀地财农〔2023〕9号）</w:t>
      </w:r>
      <w:r>
        <w:rPr>
          <w:rFonts w:hint="eastAsia" w:ascii="仿宋_GB2312" w:hAnsi="仿宋_GB2312" w:cs="仿宋_GB2312"/>
          <w:color w:val="auto"/>
          <w:highlight w:val="none"/>
        </w:rPr>
        <w:t>等文件，年初批复部门预算数</w:t>
      </w:r>
      <w:r>
        <w:rPr>
          <w:rFonts w:hint="eastAsia" w:ascii="仿宋_GB2312" w:hAnsi="仿宋_GB2312" w:cs="仿宋_GB2312"/>
          <w:color w:val="auto"/>
          <w:highlight w:val="none"/>
          <w:lang w:val="en-US" w:eastAsia="zh-CN"/>
        </w:rPr>
        <w:t>160.00</w:t>
      </w:r>
      <w:r>
        <w:rPr>
          <w:rFonts w:hint="eastAsia" w:ascii="仿宋_GB2312" w:hAnsi="仿宋_GB2312" w:cs="仿宋_GB2312"/>
          <w:color w:val="auto"/>
          <w:highlight w:val="none"/>
        </w:rPr>
        <w:t>万元，全年预算数为</w:t>
      </w:r>
      <w:r>
        <w:rPr>
          <w:rFonts w:hint="eastAsia" w:ascii="仿宋_GB2312" w:hAnsi="仿宋_GB2312" w:cs="仿宋_GB2312"/>
          <w:color w:val="auto"/>
          <w:highlight w:val="none"/>
          <w:lang w:val="en-US" w:eastAsia="zh-CN"/>
        </w:rPr>
        <w:t>160.00</w:t>
      </w:r>
      <w:r>
        <w:rPr>
          <w:rFonts w:hint="eastAsia" w:ascii="仿宋_GB2312" w:hAnsi="仿宋_GB2312" w:cs="仿宋_GB2312"/>
          <w:color w:val="auto"/>
          <w:highlight w:val="none"/>
        </w:rPr>
        <w:t>万元，其中：财政资金</w:t>
      </w:r>
      <w:r>
        <w:rPr>
          <w:rFonts w:hint="eastAsia" w:ascii="仿宋_GB2312" w:hAnsi="仿宋_GB2312" w:cs="仿宋_GB2312"/>
          <w:color w:val="auto"/>
          <w:highlight w:val="none"/>
          <w:lang w:val="en-US" w:eastAsia="zh-CN"/>
        </w:rPr>
        <w:t>160.00</w:t>
      </w:r>
      <w:r>
        <w:rPr>
          <w:rFonts w:hint="eastAsia" w:ascii="仿宋_GB2312" w:hAnsi="仿宋_GB2312" w:cs="仿宋_GB2312"/>
          <w:color w:val="auto"/>
          <w:highlight w:val="none"/>
        </w:rPr>
        <w:t>万元，其他资金</w:t>
      </w:r>
      <w:r>
        <w:rPr>
          <w:rFonts w:hint="eastAsia" w:ascii="仿宋_GB2312" w:hAnsi="仿宋_GB2312" w:cs="仿宋_GB2312"/>
          <w:color w:val="auto"/>
          <w:highlight w:val="none"/>
        </w:rPr>
        <w:t>0.00</w:t>
      </w:r>
      <w:r>
        <w:rPr>
          <w:rFonts w:hint="eastAsia" w:ascii="仿宋_GB2312" w:hAnsi="仿宋_GB2312" w:cs="仿宋_GB2312"/>
          <w:color w:val="auto"/>
          <w:highlight w:val="none"/>
        </w:rPr>
        <w:t>万元</w:t>
      </w:r>
      <w:r>
        <w:rPr>
          <w:rFonts w:hint="eastAsia" w:ascii="仿宋_GB2312" w:hAnsi="仿宋_GB2312" w:cs="仿宋_GB2312"/>
          <w:color w:val="auto"/>
          <w:highlight w:val="none"/>
          <w:lang w:eastAsia="zh-CN"/>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截止</w:t>
      </w:r>
      <w:r>
        <w:rPr>
          <w:rFonts w:hint="eastAsia" w:ascii="仿宋_GB2312" w:hAnsi="仿宋_GB2312" w:cs="仿宋_GB2312"/>
          <w:color w:val="auto"/>
          <w:highlight w:val="none"/>
        </w:rPr>
        <w:t>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年12月31日，</w:t>
      </w:r>
      <w:r>
        <w:rPr>
          <w:rFonts w:hint="eastAsia" w:ascii="仿宋_GB2312" w:hAnsi="仿宋_GB2312" w:cs="仿宋_GB2312"/>
          <w:color w:val="auto"/>
          <w:highlight w:val="none"/>
          <w:lang w:val="en-US" w:eastAsia="zh-CN"/>
        </w:rPr>
        <w:t>实际到位项目资金</w:t>
      </w:r>
      <w:r>
        <w:rPr>
          <w:rFonts w:hint="eastAsia" w:ascii="仿宋_GB2312" w:hAnsi="仿宋_GB2312" w:cs="仿宋_GB2312"/>
          <w:color w:val="auto"/>
          <w:highlight w:val="none"/>
          <w:lang w:val="en-US" w:eastAsia="zh-CN"/>
        </w:rPr>
        <w:t>160.00</w:t>
      </w:r>
      <w:r>
        <w:rPr>
          <w:rFonts w:hint="eastAsia" w:ascii="仿宋_GB2312" w:hAnsi="仿宋_GB2312" w:cs="仿宋_GB2312"/>
          <w:color w:val="auto"/>
          <w:highlight w:val="none"/>
          <w:lang w:val="en-US" w:eastAsia="zh-CN"/>
        </w:rPr>
        <w:t>万元，</w:t>
      </w:r>
      <w:r>
        <w:rPr>
          <w:rFonts w:hint="eastAsia" w:ascii="仿宋_GB2312" w:hAnsi="仿宋_GB2312" w:cs="仿宋_GB2312"/>
          <w:color w:val="auto"/>
          <w:highlight w:val="none"/>
        </w:rPr>
        <w:t>预算资金到位率为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b/>
          <w:bCs/>
          <w:color w:val="auto"/>
          <w:highlight w:val="none"/>
          <w:lang w:val="en-US" w:eastAsia="zh-CN"/>
        </w:rPr>
        <w:t>5.资金使用情况</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截止202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年12月31日，本项目实际支付资金</w:t>
      </w:r>
      <w:r>
        <w:rPr>
          <w:rFonts w:hint="eastAsia" w:ascii="仿宋_GB2312" w:hAnsi="仿宋_GB2312" w:cs="仿宋_GB2312"/>
          <w:color w:val="auto"/>
          <w:highlight w:val="none"/>
          <w:lang w:val="en-US" w:eastAsia="zh-CN"/>
        </w:rPr>
        <w:t>160.00</w:t>
      </w:r>
      <w:r>
        <w:rPr>
          <w:rFonts w:hint="eastAsia" w:ascii="仿宋_GB2312" w:hAnsi="仿宋_GB2312" w:cs="仿宋_GB2312"/>
          <w:color w:val="auto"/>
          <w:highlight w:val="none"/>
        </w:rPr>
        <w:t>万元，预算执行率</w:t>
      </w:r>
      <w:r>
        <w:rPr>
          <w:rFonts w:hint="eastAsia" w:ascii="仿宋_GB2312" w:hAnsi="仿宋_GB2312" w:cs="仿宋_GB2312"/>
          <w:color w:val="auto"/>
          <w:highlight w:val="none"/>
        </w:rPr>
        <w:t>100%</w:t>
      </w:r>
      <w:r>
        <w:rPr>
          <w:rFonts w:hint="eastAsia" w:ascii="仿宋_GB2312" w:hAnsi="仿宋_GB2312" w:cs="仿宋_GB2312"/>
          <w:color w:val="auto"/>
          <w:highlight w:val="none"/>
        </w:rPr>
        <w:t>。项目资金主要用于</w:t>
      </w:r>
      <w:r>
        <w:rPr>
          <w:rFonts w:hint="eastAsia" w:ascii="仿宋_GB2312" w:hAnsi="仿宋_GB2312" w:cs="仿宋_GB2312"/>
          <w:color w:val="auto"/>
          <w:highlight w:val="none"/>
          <w:lang w:val="en-US" w:eastAsia="zh-CN"/>
        </w:rPr>
        <w:t>对小麦机械收割和小麦秸秆打包、正播玉米收割进行机械费用补助</w:t>
      </w:r>
      <w:r>
        <w:rPr>
          <w:rFonts w:hint="eastAsia" w:ascii="仿宋_GB2312" w:hAnsi="仿宋_GB2312" w:cs="仿宋_GB2312"/>
          <w:color w:val="auto"/>
          <w:highlight w:val="none"/>
        </w:rPr>
        <w:t>。</w:t>
      </w:r>
    </w:p>
    <w:p>
      <w:pPr>
        <w:pStyle w:val="52"/>
        <w:keepNext w:val="0"/>
        <w:keepLines w:val="0"/>
        <w:spacing w:line="520" w:lineRule="exact"/>
        <w:ind w:left="560"/>
        <w:jc w:val="both"/>
        <w:rPr>
          <w:color w:val="auto"/>
          <w:highlight w:val="none"/>
        </w:rPr>
      </w:pPr>
      <w:bookmarkStart w:id="19" w:name="_Toc32607_WPSOffice_Level2"/>
      <w:bookmarkStart w:id="20" w:name="_Toc20532"/>
      <w:bookmarkStart w:id="21" w:name="_Toc127054585"/>
      <w:bookmarkStart w:id="22" w:name="_Toc18631"/>
      <w:bookmarkStart w:id="23" w:name="_Toc13569"/>
      <w:bookmarkStart w:id="24" w:name="_Toc23149"/>
      <w:bookmarkStart w:id="25" w:name="_Toc18974"/>
      <w:bookmarkStart w:id="26" w:name="_Toc1686_WPSOffice_Level2"/>
      <w:bookmarkStart w:id="27" w:name="_Toc23928_WPSOffice_Level2"/>
      <w:bookmarkStart w:id="28" w:name="_Toc19378"/>
      <w:r>
        <w:rPr>
          <w:rFonts w:hint="eastAsia"/>
          <w:color w:val="auto"/>
          <w:highlight w:val="none"/>
        </w:rPr>
        <w:t>（二）项目绩效目标</w:t>
      </w:r>
      <w:bookmarkEnd w:id="19"/>
      <w:bookmarkEnd w:id="20"/>
      <w:bookmarkEnd w:id="21"/>
      <w:bookmarkEnd w:id="22"/>
      <w:bookmarkEnd w:id="23"/>
      <w:bookmarkEnd w:id="24"/>
      <w:bookmarkEnd w:id="25"/>
      <w:bookmarkEnd w:id="26"/>
      <w:bookmarkEnd w:id="27"/>
      <w:bookmarkEnd w:id="28"/>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1.项目总体目标</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rPr>
        <w:t>在岳普湖县开展社会化服务补助，对岳普湖县阿其克乡小麦机械收割和小麦秸秆打包、正播玉米收割进行机械费用补助。其中：小麦机械收割和小麦秸秆打包共涉及44832.38亩，亩均补助标准34元；正播玉米收割共涉及2162.8亩，亩均补助标准35元。小麦机械收割和小麦秸秆打包机械费用补助受益户数3806户，正播玉米收割机械费用补助受益户数406户。通过项目的实施提高农户种粮积极性，提升机械化在农业生产中的普及应用程度。</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2.项目阶段性目标</w:t>
      </w:r>
      <w:bookmarkStart w:id="29" w:name="_Toc24349"/>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前期准备：通过制定项目实施方案，经项目负责人审核通过后，有序开展后续工作。</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组织实施：资金一到位，立即根据项目要求实施项目。项目责任人按照项目实施方案要求逐一进行项目部署安排，提高项目质量及效率性。</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项目投入：本项目预算安排总额为</w:t>
      </w:r>
      <w:r>
        <w:rPr>
          <w:rFonts w:hint="eastAsia" w:ascii="仿宋_GB2312" w:hAnsi="仿宋_GB2312" w:cs="仿宋_GB2312"/>
          <w:color w:val="auto"/>
          <w:highlight w:val="none"/>
          <w:lang w:val="en-US" w:eastAsia="zh-CN"/>
        </w:rPr>
        <w:t>160.00</w:t>
      </w:r>
      <w:r>
        <w:rPr>
          <w:rFonts w:hint="eastAsia" w:ascii="仿宋_GB2312" w:hAnsi="仿宋_GB2312" w:cs="仿宋_GB2312"/>
          <w:color w:val="auto"/>
          <w:highlight w:val="none"/>
          <w:lang w:val="en-US" w:eastAsia="zh-CN"/>
        </w:rPr>
        <w:t>万元，</w:t>
      </w:r>
      <w:r>
        <w:rPr>
          <w:rFonts w:hint="eastAsia" w:ascii="仿宋_GB2312" w:hAnsi="仿宋_GB2312" w:cs="仿宋_GB2312"/>
          <w:color w:val="auto"/>
          <w:highlight w:val="none"/>
          <w:lang w:val="en-US" w:eastAsia="zh-CN"/>
        </w:rPr>
        <w:t>中央资金：160.00万元。</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项目产出：</w:t>
      </w:r>
      <w:r>
        <w:rPr>
          <w:rFonts w:hint="eastAsia" w:ascii="仿宋_GB2312" w:hAnsi="仿宋_GB2312" w:cs="仿宋_GB2312"/>
          <w:color w:val="auto"/>
          <w:highlight w:val="none"/>
          <w:lang w:val="en-US" w:eastAsia="zh-CN"/>
        </w:rPr>
        <w:t>在岳普湖县开展社会化服务补助，对岳普湖县阿其克乡小麦机械收割和小麦秸秆打包、正播玉米收割进行机械费用补助。其中：小麦机械收割和小麦秸秆打包共涉及44832.38亩，亩均补助标准34元；正播玉米收割共涉及2162.8亩，亩均补助标准35元。</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项目效果：</w:t>
      </w:r>
      <w:r>
        <w:rPr>
          <w:rFonts w:hint="eastAsia" w:ascii="仿宋_GB2312" w:hAnsi="仿宋_GB2312" w:cs="仿宋_GB2312"/>
          <w:color w:val="auto"/>
          <w:highlight w:val="none"/>
          <w:lang w:val="en-US" w:eastAsia="zh-CN"/>
        </w:rPr>
        <w:t>小麦机械收割和小麦秸秆打包机械费用补助受益户数3806户，正播玉米收割机械费用补助受益户数406户。通过项目的实施提高农户种粮积极性，提升机械化在农业生产中的普及应用程度。</w:t>
      </w:r>
    </w:p>
    <w:p>
      <w:pPr>
        <w:pStyle w:val="31"/>
        <w:keepNext w:val="0"/>
        <w:keepLines w:val="0"/>
        <w:spacing w:line="520" w:lineRule="exact"/>
        <w:ind w:firstLine="640" w:firstLineChars="200"/>
        <w:jc w:val="both"/>
        <w:rPr>
          <w:color w:val="auto"/>
          <w:highlight w:val="none"/>
        </w:rPr>
      </w:pPr>
      <w:bookmarkStart w:id="30" w:name="_Toc12560_WPSOffice_Level1"/>
      <w:bookmarkStart w:id="31" w:name="_Toc8160"/>
      <w:bookmarkStart w:id="32" w:name="_Toc32174_WPSOffice_Level1"/>
      <w:bookmarkStart w:id="33" w:name="_Toc1545_WPSOffice_Level1"/>
      <w:bookmarkStart w:id="34" w:name="_Toc17863"/>
      <w:bookmarkStart w:id="35" w:name="_Toc3608"/>
      <w:bookmarkStart w:id="36" w:name="_Toc9278"/>
      <w:bookmarkStart w:id="37" w:name="_Toc127054586"/>
      <w:bookmarkStart w:id="38" w:name="_Toc10478"/>
      <w:r>
        <w:rPr>
          <w:rFonts w:hint="eastAsia"/>
          <w:color w:val="auto"/>
          <w:highlight w:val="none"/>
        </w:rPr>
        <w:t>二、绩效评价工作开展情况</w:t>
      </w:r>
      <w:bookmarkEnd w:id="29"/>
      <w:bookmarkEnd w:id="30"/>
      <w:bookmarkEnd w:id="31"/>
      <w:bookmarkEnd w:id="32"/>
      <w:bookmarkEnd w:id="33"/>
      <w:bookmarkEnd w:id="34"/>
      <w:bookmarkEnd w:id="35"/>
      <w:bookmarkEnd w:id="36"/>
      <w:bookmarkEnd w:id="37"/>
      <w:bookmarkEnd w:id="38"/>
    </w:p>
    <w:p>
      <w:pPr>
        <w:pStyle w:val="52"/>
        <w:keepNext w:val="0"/>
        <w:keepLines w:val="0"/>
        <w:spacing w:line="520" w:lineRule="exact"/>
        <w:ind w:left="560"/>
        <w:jc w:val="both"/>
        <w:rPr>
          <w:rFonts w:ascii="仿宋_GB2312" w:hAnsi="仿宋_GB2312" w:cs="仿宋_GB2312"/>
          <w:color w:val="auto"/>
          <w:highlight w:val="none"/>
        </w:rPr>
      </w:pPr>
      <w:bookmarkStart w:id="39" w:name="_Toc25691"/>
      <w:bookmarkStart w:id="40" w:name="_Toc17696_WPSOffice_Level2"/>
      <w:bookmarkStart w:id="41" w:name="_Toc20761"/>
      <w:bookmarkStart w:id="42" w:name="_Toc15466"/>
      <w:bookmarkStart w:id="43" w:name="_Toc127054587"/>
      <w:bookmarkStart w:id="44" w:name="_Toc1092"/>
      <w:bookmarkStart w:id="45" w:name="_Toc27953"/>
      <w:bookmarkStart w:id="46" w:name="_Toc10259_WPSOffice_Level2"/>
      <w:bookmarkStart w:id="47" w:name="_Toc14202_WPSOffice_Level2"/>
      <w:bookmarkStart w:id="48" w:name="_Toc1997"/>
      <w:r>
        <w:rPr>
          <w:rFonts w:hint="eastAsia" w:ascii="仿宋_GB2312" w:hAnsi="仿宋_GB2312" w:cs="仿宋_GB2312"/>
          <w:color w:val="auto"/>
          <w:highlight w:val="none"/>
        </w:rPr>
        <w:t>（一）绩效评价目的、对象</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时间</w:t>
      </w:r>
      <w:r>
        <w:rPr>
          <w:rFonts w:hint="eastAsia" w:ascii="仿宋_GB2312" w:hAnsi="仿宋_GB2312" w:cs="仿宋_GB2312"/>
          <w:color w:val="auto"/>
          <w:highlight w:val="none"/>
        </w:rPr>
        <w:t>和范围</w:t>
      </w:r>
      <w:bookmarkEnd w:id="39"/>
      <w:bookmarkEnd w:id="40"/>
      <w:bookmarkEnd w:id="41"/>
      <w:bookmarkEnd w:id="42"/>
      <w:bookmarkEnd w:id="43"/>
      <w:bookmarkEnd w:id="44"/>
      <w:bookmarkEnd w:id="45"/>
      <w:bookmarkEnd w:id="46"/>
      <w:bookmarkEnd w:id="47"/>
      <w:bookmarkEnd w:id="48"/>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lang w:val="en-US" w:eastAsia="zh-CN"/>
        </w:rPr>
        <w:t>1.绩效评价完整性</w:t>
      </w:r>
    </w:p>
    <w:p>
      <w:pPr>
        <w:pStyle w:val="32"/>
        <w:spacing w:line="520" w:lineRule="exact"/>
        <w:ind w:firstLine="562"/>
        <w:rPr>
          <w:rFonts w:hint="eastAsia" w:ascii="仿宋_GB2312" w:hAnsi="仿宋_GB2312" w:cs="仿宋_GB2312"/>
          <w:b w:val="0"/>
          <w:bCs w:val="0"/>
          <w:color w:val="auto"/>
          <w:highlight w:val="none"/>
        </w:rPr>
      </w:pPr>
      <w:r>
        <w:rPr>
          <w:rFonts w:hint="eastAsia" w:ascii="仿宋_GB2312" w:hAnsi="仿宋_GB2312" w:cs="仿宋_GB2312"/>
          <w:b w:val="0"/>
          <w:bCs w:val="0"/>
          <w:color w:val="auto"/>
          <w:highlight w:val="none"/>
          <w:lang w:val="en-US" w:eastAsia="zh-CN"/>
        </w:rPr>
        <w:t>完整性主要体现在绩效</w:t>
      </w:r>
      <w:r>
        <w:rPr>
          <w:rFonts w:hint="eastAsia" w:ascii="仿宋_GB2312" w:hAnsi="仿宋_GB2312" w:cs="仿宋_GB2312"/>
          <w:b w:val="0"/>
          <w:bCs w:val="0"/>
          <w:color w:val="auto"/>
          <w:highlight w:val="none"/>
        </w:rPr>
        <w:t>评价过程的全面性和系统性。涵盖了对项目</w:t>
      </w:r>
      <w:r>
        <w:rPr>
          <w:rFonts w:hint="eastAsia" w:ascii="仿宋_GB2312" w:hAnsi="仿宋_GB2312" w:cs="仿宋_GB2312"/>
          <w:b w:val="0"/>
          <w:bCs w:val="0"/>
          <w:color w:val="auto"/>
          <w:highlight w:val="none"/>
          <w:lang w:val="en-US" w:eastAsia="zh-CN"/>
        </w:rPr>
        <w:t>全过程</w:t>
      </w:r>
      <w:r>
        <w:rPr>
          <w:rFonts w:hint="eastAsia" w:ascii="仿宋_GB2312" w:hAnsi="仿宋_GB2312" w:cs="仿宋_GB2312"/>
          <w:b w:val="0"/>
          <w:bCs w:val="0"/>
          <w:color w:val="auto"/>
          <w:highlight w:val="none"/>
        </w:rPr>
        <w:t>的完整生命周期的评</w:t>
      </w:r>
      <w:r>
        <w:rPr>
          <w:rFonts w:hint="eastAsia" w:ascii="仿宋_GB2312" w:hAnsi="仿宋_GB2312" w:cs="仿宋_GB2312"/>
          <w:b w:val="0"/>
          <w:bCs w:val="0"/>
          <w:color w:val="auto"/>
          <w:highlight w:val="none"/>
          <w:lang w:val="en-US" w:eastAsia="zh-CN"/>
        </w:rPr>
        <w:t>价</w:t>
      </w:r>
      <w:r>
        <w:rPr>
          <w:rFonts w:hint="eastAsia" w:ascii="仿宋_GB2312" w:hAnsi="仿宋_GB2312" w:cs="仿宋_GB2312"/>
          <w:b w:val="0"/>
          <w:bCs w:val="0"/>
          <w:color w:val="auto"/>
          <w:highlight w:val="none"/>
        </w:rPr>
        <w:t>，确保评价行为</w:t>
      </w:r>
      <w:r>
        <w:rPr>
          <w:rFonts w:hint="eastAsia" w:ascii="仿宋_GB2312" w:hAnsi="仿宋_GB2312" w:cs="仿宋_GB2312"/>
          <w:b w:val="0"/>
          <w:bCs w:val="0"/>
          <w:color w:val="auto"/>
          <w:highlight w:val="none"/>
          <w:lang w:val="en-US" w:eastAsia="zh-CN"/>
        </w:rPr>
        <w:t>持续性</w:t>
      </w:r>
      <w:r>
        <w:rPr>
          <w:rFonts w:hint="eastAsia" w:ascii="仿宋_GB2312" w:hAnsi="仿宋_GB2312" w:cs="仿宋_GB2312"/>
          <w:b w:val="0"/>
          <w:bCs w:val="0"/>
          <w:color w:val="auto"/>
          <w:highlight w:val="none"/>
        </w:rPr>
        <w:t>，有利于不同阶段的项目评价信息相互支撑和验证。保证评价结论的科学性和权威性。</w:t>
      </w:r>
    </w:p>
    <w:p>
      <w:pPr>
        <w:pStyle w:val="32"/>
        <w:spacing w:line="520" w:lineRule="exact"/>
        <w:ind w:firstLine="562"/>
        <w:rPr>
          <w:rFonts w:hint="eastAsia" w:ascii="仿宋_GB2312" w:hAnsi="仿宋_GB2312" w:cs="仿宋_GB2312"/>
          <w:b w:val="0"/>
          <w:bCs w:val="0"/>
          <w:color w:val="auto"/>
          <w:highlight w:val="none"/>
        </w:rPr>
      </w:pPr>
      <w:r>
        <w:rPr>
          <w:rFonts w:hint="eastAsia" w:ascii="仿宋_GB2312" w:hAnsi="仿宋_GB2312" w:cs="仿宋_GB2312"/>
          <w:b w:val="0"/>
          <w:bCs w:val="0"/>
          <w:color w:val="auto"/>
          <w:highlight w:val="none"/>
        </w:rPr>
        <w:t>项目绩效评价过程中，</w:t>
      </w:r>
      <w:r>
        <w:rPr>
          <w:rFonts w:hint="eastAsia" w:ascii="仿宋_GB2312" w:hAnsi="仿宋_GB2312" w:cs="仿宋_GB2312"/>
          <w:b w:val="0"/>
          <w:bCs w:val="0"/>
          <w:color w:val="auto"/>
          <w:highlight w:val="none"/>
          <w:lang w:val="en-US" w:eastAsia="zh-CN"/>
        </w:rPr>
        <w:t>应</w:t>
      </w:r>
      <w:r>
        <w:rPr>
          <w:rFonts w:hint="eastAsia" w:ascii="仿宋_GB2312" w:hAnsi="仿宋_GB2312" w:cs="仿宋_GB2312"/>
          <w:b w:val="0"/>
          <w:bCs w:val="0"/>
          <w:color w:val="auto"/>
          <w:highlight w:val="none"/>
        </w:rPr>
        <w:t>全面考虑项目的各个方面，包括项目的目标设定、实施过程、资源利用、风险控制、产出效果等。此外，完整性要求评价</w:t>
      </w:r>
      <w:r>
        <w:rPr>
          <w:rFonts w:hint="eastAsia" w:ascii="仿宋_GB2312" w:hAnsi="仿宋_GB2312" w:cs="仿宋_GB2312"/>
          <w:b w:val="0"/>
          <w:bCs w:val="0"/>
          <w:color w:val="auto"/>
          <w:highlight w:val="none"/>
          <w:lang w:val="en-US" w:eastAsia="zh-CN"/>
        </w:rPr>
        <w:t>充分</w:t>
      </w:r>
      <w:r>
        <w:rPr>
          <w:rFonts w:hint="eastAsia" w:ascii="仿宋_GB2312" w:hAnsi="仿宋_GB2312" w:cs="仿宋_GB2312"/>
          <w:b w:val="0"/>
          <w:bCs w:val="0"/>
          <w:color w:val="auto"/>
          <w:highlight w:val="none"/>
        </w:rPr>
        <w:t>考虑</w:t>
      </w:r>
      <w:r>
        <w:rPr>
          <w:rFonts w:hint="eastAsia" w:ascii="仿宋_GB2312" w:hAnsi="仿宋_GB2312" w:cs="仿宋_GB2312"/>
          <w:b w:val="0"/>
          <w:bCs w:val="0"/>
          <w:color w:val="auto"/>
          <w:highlight w:val="none"/>
          <w:lang w:val="en-US" w:eastAsia="zh-CN"/>
        </w:rPr>
        <w:t>项目</w:t>
      </w:r>
      <w:r>
        <w:rPr>
          <w:rFonts w:hint="eastAsia" w:ascii="仿宋_GB2312" w:hAnsi="仿宋_GB2312" w:cs="仿宋_GB2312"/>
          <w:b w:val="0"/>
          <w:bCs w:val="0"/>
          <w:color w:val="auto"/>
          <w:highlight w:val="none"/>
        </w:rPr>
        <w:t>效益的</w:t>
      </w:r>
      <w:r>
        <w:rPr>
          <w:rFonts w:hint="eastAsia" w:ascii="仿宋_GB2312" w:hAnsi="仿宋_GB2312" w:cs="仿宋_GB2312"/>
          <w:b w:val="0"/>
          <w:bCs w:val="0"/>
          <w:color w:val="auto"/>
          <w:highlight w:val="none"/>
          <w:lang w:val="en-US" w:eastAsia="zh-CN"/>
        </w:rPr>
        <w:t>发挥</w:t>
      </w:r>
      <w:r>
        <w:rPr>
          <w:rFonts w:hint="eastAsia" w:ascii="仿宋_GB2312" w:hAnsi="仿宋_GB2312" w:cs="仿宋_GB2312"/>
          <w:b w:val="0"/>
          <w:bCs w:val="0"/>
          <w:color w:val="auto"/>
          <w:highlight w:val="none"/>
        </w:rPr>
        <w:t>贡献。</w:t>
      </w:r>
    </w:p>
    <w:p>
      <w:pPr>
        <w:pStyle w:val="32"/>
        <w:spacing w:line="520" w:lineRule="exact"/>
        <w:ind w:firstLine="562"/>
        <w:rPr>
          <w:rFonts w:hint="eastAsia" w:ascii="仿宋_GB2312" w:hAnsi="仿宋_GB2312" w:cs="仿宋_GB2312"/>
          <w:b/>
          <w:bCs/>
          <w:color w:val="auto"/>
          <w:highlight w:val="none"/>
        </w:rPr>
      </w:pPr>
      <w:r>
        <w:rPr>
          <w:rFonts w:hint="eastAsia" w:ascii="仿宋_GB2312" w:hAnsi="仿宋_GB2312" w:cs="仿宋_GB2312"/>
          <w:b w:val="0"/>
          <w:bCs w:val="0"/>
          <w:color w:val="auto"/>
          <w:highlight w:val="none"/>
        </w:rPr>
        <w:t>为了实现项目绩效评价的完整性，建立一套科学、合理、系统的评价指标体系。</w:t>
      </w:r>
      <w:r>
        <w:rPr>
          <w:rFonts w:hint="eastAsia" w:ascii="仿宋_GB2312" w:hAnsi="仿宋_GB2312" w:cs="仿宋_GB2312"/>
          <w:b w:val="0"/>
          <w:bCs w:val="0"/>
          <w:color w:val="auto"/>
          <w:highlight w:val="none"/>
          <w:lang w:val="en-US" w:eastAsia="zh-CN"/>
        </w:rPr>
        <w:t>评价体系</w:t>
      </w:r>
      <w:r>
        <w:rPr>
          <w:rFonts w:hint="eastAsia" w:ascii="仿宋_GB2312" w:hAnsi="仿宋_GB2312" w:cs="仿宋_GB2312"/>
          <w:b w:val="0"/>
          <w:bCs w:val="0"/>
          <w:color w:val="auto"/>
          <w:highlight w:val="none"/>
        </w:rPr>
        <w:t>能够全面反映项目的特点和要求</w:t>
      </w:r>
      <w:r>
        <w:rPr>
          <w:rFonts w:hint="eastAsia" w:ascii="仿宋_GB2312" w:hAnsi="仿宋_GB2312" w:cs="仿宋_GB2312"/>
          <w:b w:val="0"/>
          <w:bCs w:val="0"/>
          <w:color w:val="auto"/>
          <w:highlight w:val="none"/>
          <w:lang w:eastAsia="zh-CN"/>
        </w:rPr>
        <w:t>，</w:t>
      </w:r>
      <w:r>
        <w:rPr>
          <w:rFonts w:hint="eastAsia" w:ascii="仿宋_GB2312" w:hAnsi="仿宋_GB2312" w:cs="仿宋_GB2312"/>
          <w:b w:val="0"/>
          <w:bCs w:val="0"/>
          <w:color w:val="auto"/>
          <w:highlight w:val="none"/>
        </w:rPr>
        <w:t>确保评价的准确性和有效性。</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lang w:val="en-US" w:eastAsia="zh-CN"/>
        </w:rPr>
        <w:t>2</w:t>
      </w:r>
      <w:r>
        <w:rPr>
          <w:rFonts w:hint="eastAsia" w:ascii="仿宋_GB2312" w:hAnsi="仿宋_GB2312" w:cs="仿宋_GB2312"/>
          <w:b/>
          <w:bCs/>
          <w:color w:val="auto"/>
          <w:highlight w:val="none"/>
        </w:rPr>
        <w:t>.绩效评价目的</w:t>
      </w:r>
    </w:p>
    <w:p>
      <w:pPr>
        <w:pStyle w:val="46"/>
        <w:widowControl w:val="0"/>
        <w:spacing w:line="520" w:lineRule="exact"/>
        <w:ind w:left="0" w:leftChars="0" w:firstLine="560" w:firstLineChars="200"/>
        <w:rPr>
          <w:rFonts w:ascii="仿宋_GB2312" w:hAnsi="仿宋_GB2312" w:cs="仿宋_GB2312"/>
          <w:b w:val="0"/>
          <w:snapToGrid/>
          <w:color w:val="auto"/>
          <w:highlight w:val="none"/>
        </w:rPr>
      </w:pPr>
      <w:r>
        <w:rPr>
          <w:rFonts w:hint="eastAsia" w:ascii="仿宋_GB2312" w:hAnsi="仿宋_GB2312" w:cs="仿宋_GB2312"/>
          <w:b w:val="0"/>
          <w:snapToGrid/>
          <w:color w:val="auto"/>
          <w:highlight w:val="none"/>
        </w:rPr>
        <w:t>本次绩效评价遵循财政部《项目支出绩效评价管理办法》（财预〔2020〕10号）和自治区财政厅《自治区财</w:t>
      </w:r>
      <w:r>
        <w:rPr>
          <w:rFonts w:hint="eastAsia" w:ascii="仿宋_GB2312" w:hAnsi="仿宋_GB2312" w:cs="仿宋_GB2312"/>
          <w:b w:val="0"/>
          <w:snapToGrid/>
          <w:color w:val="auto"/>
          <w:highlight w:val="none"/>
        </w:rPr>
        <w:t>政支出绩效评价管理暂行办法》（新财预〔2018〕189号）等相关政策文件的规定，对</w:t>
      </w:r>
      <w:r>
        <w:rPr>
          <w:rFonts w:hint="eastAsia" w:ascii="仿宋_GB2312" w:hAnsi="仿宋_GB2312" w:cs="仿宋_GB2312"/>
          <w:b w:val="0"/>
          <w:snapToGrid/>
          <w:color w:val="auto"/>
          <w:highlight w:val="none"/>
          <w:lang w:eastAsia="zh-CN"/>
        </w:rPr>
        <w:t>“</w:t>
      </w:r>
      <w:r>
        <w:rPr>
          <w:rFonts w:hint="eastAsia" w:ascii="仿宋_GB2312" w:hAnsi="仿宋_GB2312" w:cs="仿宋_GB2312"/>
          <w:b w:val="0"/>
          <w:snapToGrid/>
          <w:color w:val="auto"/>
          <w:highlight w:val="none"/>
          <w:lang w:val="en-US" w:eastAsia="zh-CN"/>
        </w:rPr>
        <w:t>2023年岳普湖县农业生产社会化服务项目</w:t>
      </w:r>
      <w:r>
        <w:rPr>
          <w:rFonts w:hint="eastAsia" w:ascii="仿宋_GB2312" w:hAnsi="仿宋_GB2312" w:cs="仿宋_GB2312"/>
          <w:b w:val="0"/>
          <w:snapToGrid/>
          <w:color w:val="auto"/>
          <w:highlight w:val="none"/>
          <w:lang w:eastAsia="zh-CN"/>
        </w:rPr>
        <w:t>”</w:t>
      </w:r>
      <w:r>
        <w:rPr>
          <w:rFonts w:hint="eastAsia" w:ascii="仿宋_GB2312" w:hAnsi="仿宋_GB2312" w:cs="仿宋_GB2312"/>
          <w:b w:val="0"/>
          <w:snapToGrid/>
          <w:color w:val="auto"/>
          <w:highlight w:val="none"/>
        </w:rPr>
        <w:t>开展本次部门项目支出绩效评价工作旨在评价财政项目实施前期、过程及效果，评价财政预算资金使用</w:t>
      </w:r>
      <w:r>
        <w:rPr>
          <w:rFonts w:hint="eastAsia" w:ascii="仿宋_GB2312" w:hAnsi="仿宋_GB2312" w:cs="仿宋_GB2312"/>
          <w:b w:val="0"/>
          <w:snapToGrid/>
          <w:color w:val="auto"/>
          <w:highlight w:val="none"/>
        </w:rPr>
        <w:t>的效率及效益。</w:t>
      </w:r>
    </w:p>
    <w:p>
      <w:pPr>
        <w:pStyle w:val="46"/>
        <w:widowControl w:val="0"/>
        <w:spacing w:line="520" w:lineRule="exact"/>
        <w:ind w:left="0" w:leftChars="0" w:firstLine="560" w:firstLineChars="200"/>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w:t>
      </w:r>
      <w:r>
        <w:rPr>
          <w:rFonts w:hint="eastAsia" w:ascii="仿宋_GB2312" w:hAnsi="仿宋_GB2312" w:cs="仿宋_GB2312"/>
          <w:b w:val="0"/>
          <w:snapToGrid/>
          <w:color w:val="auto"/>
          <w:highlight w:val="none"/>
          <w:lang w:val="en-US" w:eastAsia="zh-CN"/>
        </w:rPr>
        <w:t>具体绩效评价的目的如下：</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.绩效评价对象</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本次绩效评价遵循财政部《项目支出绩效评价管理办法》（财预〔2020〕10号）和自治区财政厅《自</w:t>
      </w:r>
      <w:r>
        <w:rPr>
          <w:rFonts w:hint="eastAsia" w:ascii="仿宋_GB2312" w:hAnsi="仿宋_GB2312" w:cs="仿宋_GB2312"/>
          <w:color w:val="auto"/>
          <w:highlight w:val="none"/>
        </w:rPr>
        <w:t>治区财政支出绩效评价管理暂行办法》（新财预〔2018〕189号）等相关政策文件的规定，以</w:t>
      </w:r>
      <w:r>
        <w:rPr>
          <w:rFonts w:hint="eastAsia" w:ascii="仿宋_GB2312" w:hAnsi="仿宋_GB2312" w:cs="仿宋_GB2312"/>
          <w:color w:val="auto"/>
          <w:highlight w:val="none"/>
          <w:lang w:eastAsia="zh-CN"/>
        </w:rPr>
        <w:t>“2023年岳普湖县农业生产社会化服务项目”</w:t>
      </w:r>
      <w:r>
        <w:rPr>
          <w:rFonts w:hint="eastAsia" w:ascii="仿宋_GB2312" w:hAnsi="仿宋_GB2312" w:cs="仿宋_GB2312"/>
          <w:color w:val="auto"/>
          <w:highlight w:val="none"/>
        </w:rPr>
        <w:t>支出为对象所对应的预</w:t>
      </w:r>
      <w:r>
        <w:rPr>
          <w:rFonts w:hint="eastAsia" w:ascii="仿宋_GB2312" w:hAnsi="仿宋_GB2312" w:cs="仿宋_GB2312"/>
          <w:color w:val="auto"/>
          <w:highlight w:val="none"/>
        </w:rPr>
        <w:t>算资金，以</w:t>
      </w:r>
      <w:r>
        <w:rPr>
          <w:rFonts w:hint="eastAsia" w:ascii="仿宋_GB2312" w:hAnsi="仿宋_GB2312" w:cs="仿宋_GB2312"/>
          <w:color w:val="auto"/>
          <w:highlight w:val="none"/>
          <w:lang w:val="en-US" w:eastAsia="zh-CN"/>
        </w:rPr>
        <w:t>本</w:t>
      </w:r>
      <w:r>
        <w:rPr>
          <w:rFonts w:hint="eastAsia" w:ascii="仿宋_GB2312" w:hAnsi="仿宋_GB2312" w:cs="仿宋_GB2312"/>
          <w:color w:val="auto"/>
          <w:highlight w:val="none"/>
        </w:rPr>
        <w:t>项目实施所带来的产出和效果为主要内容，以促进预算单位完成特定工作任务目标所组织开展的绩效评价。</w:t>
      </w:r>
    </w:p>
    <w:p>
      <w:pPr>
        <w:pStyle w:val="46"/>
        <w:widowControl w:val="0"/>
        <w:spacing w:line="520" w:lineRule="exact"/>
        <w:ind w:left="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4.绩效评价时间</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本次绩效评价工作开展时间为2024年1月3日至2024年3月15日。</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lang w:val="en-US" w:eastAsia="zh-CN"/>
        </w:rPr>
        <w:t>5</w:t>
      </w:r>
      <w:r>
        <w:rPr>
          <w:rFonts w:hint="eastAsia" w:ascii="仿宋_GB2312" w:hAnsi="仿宋_GB2312" w:cs="仿宋_GB2312"/>
          <w:color w:val="auto"/>
          <w:highlight w:val="none"/>
        </w:rPr>
        <w:t>.绩效评价范围</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本次评价范围涵盖项目总体绩效目标、各项绩效指标完成情况以及预算执行情况。对项目预算资金支出的所有内容进行评价。包括项目决策、项目实施和项目成果验收流程等。</w:t>
      </w:r>
    </w:p>
    <w:p>
      <w:pPr>
        <w:pStyle w:val="52"/>
        <w:keepNext w:val="0"/>
        <w:keepLines w:val="0"/>
        <w:spacing w:line="520" w:lineRule="exact"/>
        <w:ind w:left="560"/>
        <w:jc w:val="both"/>
        <w:rPr>
          <w:rFonts w:ascii="仿宋_GB2312" w:hAnsi="仿宋_GB2312" w:cs="仿宋_GB2312"/>
          <w:color w:val="auto"/>
          <w:highlight w:val="none"/>
        </w:rPr>
      </w:pPr>
      <w:bookmarkStart w:id="49" w:name="_Toc2200"/>
      <w:bookmarkStart w:id="50" w:name="_Toc2006_WPSOffice_Level2"/>
      <w:bookmarkStart w:id="51" w:name="_Toc127054588"/>
      <w:bookmarkStart w:id="52" w:name="_Toc5010"/>
      <w:bookmarkStart w:id="53" w:name="_Toc7586"/>
      <w:bookmarkStart w:id="54" w:name="_Toc18827"/>
      <w:bookmarkStart w:id="55" w:name="_Toc6151"/>
      <w:bookmarkStart w:id="56" w:name="_Toc10930_WPSOffice_Level2"/>
      <w:bookmarkStart w:id="57" w:name="_Toc10463_WPSOffice_Level2"/>
      <w:bookmarkStart w:id="58" w:name="_Toc5510"/>
      <w:r>
        <w:rPr>
          <w:rFonts w:hint="eastAsia" w:ascii="仿宋_GB2312" w:hAnsi="仿宋_GB2312" w:cs="仿宋_GB2312"/>
          <w:color w:val="auto"/>
          <w:highlight w:val="none"/>
        </w:rPr>
        <w:t>（二）绩效评价原则、评价指标体系、评价方法</w:t>
      </w:r>
      <w:r>
        <w:rPr>
          <w:rFonts w:hint="eastAsia" w:ascii="仿宋_GB2312" w:hAnsi="仿宋_GB2312" w:cs="仿宋_GB2312"/>
          <w:color w:val="auto"/>
          <w:highlight w:val="none"/>
          <w:lang w:val="en-US" w:eastAsia="zh-CN"/>
        </w:rPr>
        <w:t>和</w:t>
      </w:r>
      <w:r>
        <w:rPr>
          <w:rFonts w:hint="eastAsia" w:ascii="仿宋_GB2312" w:hAnsi="仿宋_GB2312" w:cs="仿宋_GB2312"/>
          <w:color w:val="auto"/>
          <w:highlight w:val="none"/>
        </w:rPr>
        <w:t>评价标准</w:t>
      </w:r>
      <w:bookmarkEnd w:id="49"/>
      <w:bookmarkEnd w:id="50"/>
      <w:bookmarkEnd w:id="51"/>
      <w:bookmarkEnd w:id="52"/>
      <w:bookmarkEnd w:id="53"/>
      <w:bookmarkEnd w:id="54"/>
      <w:bookmarkEnd w:id="55"/>
      <w:bookmarkEnd w:id="56"/>
      <w:bookmarkEnd w:id="57"/>
      <w:bookmarkEnd w:id="58"/>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1.绩效评价原则</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本次绩效评价遵循的原则包括：</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（1）科学公正。绩效评价应当运用科学合理的方法，按照规范的程序，对项目绩效进行客观、公正的反映。</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（3）激励约束。绩效评价结果应与预算安排、政策调整、改进管理实质性挂钩，体现奖优罚劣和激励相容导向，有效要安排、低效要压减、无效要问责。</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（4）公开透明。绩效评价结果应依法依规公开，并自觉接受社会监督。</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2.绩效评价指标体系</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一级指标为：决策、过程、产出、效益。</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二级指标为：项目立项、绩效目标、资金投入、资金管理、组织实施、产出数量、产出质量、产出时效、产出成本、项目效益。</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三级指标为：立项依据充分性、立项程序规范性、绩效目标合理性、绩效指标明确性、预算编制科学性、资金分配合理性、资金到位率、预算执行率、资金使用合规性、管理制度健全性、制度执行有效性、</w:t>
      </w:r>
      <w:r>
        <w:rPr>
          <w:rFonts w:hint="eastAsia" w:ascii="仿宋_GB2312" w:hAnsi="仿宋_GB2312" w:cs="仿宋_GB2312"/>
          <w:color w:val="auto"/>
          <w:highlight w:val="none"/>
        </w:rPr>
        <w:t>项目实施管理规范性</w:t>
      </w:r>
      <w:r>
        <w:rPr>
          <w:rFonts w:hint="eastAsia" w:ascii="仿宋_GB2312" w:hAnsi="仿宋_GB2312" w:cs="仿宋_GB2312"/>
          <w:color w:val="auto"/>
          <w:highlight w:val="none"/>
          <w:lang w:eastAsia="zh-CN"/>
        </w:rPr>
        <w:t>、小麦机械收割和小麦秸秆打包补助面积、正播玉米收割补助面积、资金支付合规性、资金支付完成时间、小麦机械收割和小麦秸秆打包机械费用补助标准、正播玉米收割机械费用补助标准、小麦机械收割和小麦秸秆打包机械费用补助受益户数、正播玉米收割机械费用补助受益户数</w:t>
      </w:r>
      <w:r>
        <w:rPr>
          <w:rFonts w:hint="eastAsia" w:ascii="仿宋_GB2312" w:hAnsi="仿宋_GB2312" w:cs="仿宋_GB2312"/>
          <w:color w:val="auto"/>
          <w:highlight w:val="none"/>
        </w:rPr>
        <w:t>、满意度。</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3.绩效评价方法</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本次评价采用定量与定性评价相结合的比较法、</w:t>
      </w:r>
      <w:r>
        <w:rPr>
          <w:rFonts w:hint="eastAsia" w:ascii="仿宋_GB2312" w:hAnsi="仿宋_GB2312" w:cs="仿宋_GB2312"/>
          <w:color w:val="auto"/>
          <w:highlight w:val="none"/>
          <w:lang w:val="en-US" w:eastAsia="zh-CN"/>
        </w:rPr>
        <w:t>文献法、</w:t>
      </w:r>
      <w:r>
        <w:rPr>
          <w:rFonts w:hint="eastAsia" w:ascii="仿宋_GB2312" w:hAnsi="仿宋_GB2312" w:cs="仿宋_GB2312"/>
          <w:color w:val="auto"/>
          <w:highlight w:val="none"/>
        </w:rPr>
        <w:t>公众评判法</w:t>
      </w:r>
      <w:r>
        <w:rPr>
          <w:rFonts w:hint="eastAsia" w:ascii="仿宋_GB2312" w:hAnsi="仿宋_GB2312" w:cs="仿宋_GB2312"/>
          <w:color w:val="auto"/>
          <w:highlight w:val="none"/>
          <w:lang w:val="en-US" w:eastAsia="zh-CN"/>
        </w:rPr>
        <w:t>等方法</w:t>
      </w:r>
      <w:r>
        <w:rPr>
          <w:rFonts w:hint="eastAsia" w:ascii="仿宋_GB2312" w:hAnsi="仿宋_GB2312" w:cs="仿宋_GB2312"/>
          <w:color w:val="auto"/>
          <w:highlight w:val="none"/>
        </w:rPr>
        <w:t>，总分由各项指标得分汇总形成。</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1）</w:t>
      </w:r>
      <w:r>
        <w:rPr>
          <w:rFonts w:hint="eastAsia" w:ascii="仿宋_GB2312" w:hAnsi="仿宋_GB2312" w:cs="仿宋_GB2312"/>
          <w:color w:val="auto"/>
          <w:highlight w:val="none"/>
        </w:rPr>
        <w:t>项目决策</w:t>
      </w:r>
      <w:r>
        <w:rPr>
          <w:rFonts w:hint="eastAsia" w:ascii="仿宋_GB2312" w:hAnsi="仿宋_GB2312" w:cs="仿宋_GB2312"/>
          <w:color w:val="auto"/>
          <w:highlight w:val="none"/>
          <w:lang w:val="en-US" w:eastAsia="zh-CN"/>
        </w:rPr>
        <w:t>方面</w:t>
      </w:r>
      <w:r>
        <w:rPr>
          <w:rFonts w:hint="eastAsia" w:ascii="仿宋_GB2312" w:hAnsi="仿宋_GB2312" w:cs="仿宋_GB2312"/>
          <w:color w:val="auto"/>
          <w:highlight w:val="none"/>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立项依据充分性：比较法、文献法，查找法律法规政策以及规划，对比实际执行内容和政策支持内容是否匹配。</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立项程序规范性：比较法、文献法，查找相关项目设立的政策和文件要求，对比分析实际执行程序是否按照政策及文件要求执行，分析立项程序的规范性。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绩效目标合理性：比较法，对比分析年初编制项目支出绩效目标表与项目内容的相关性、资金的匹配性等。</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绩效指标明确性：比较法，比较分析年初编制项目支出绩效目标表是否符合双七原则，是否可衡量。</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预算编制科学性：成本效益分析法</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分析在产出一定的情况下，成本取值是否有依据，是否经过询价，是否按照市场最低成本编制。</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资金分配合理性：因素分析法，综合分析资金的分配依据是否充分，分配金额是否与项目实施单位需求金额一致。</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项目过程</w:t>
      </w:r>
      <w:r>
        <w:rPr>
          <w:rFonts w:hint="eastAsia" w:ascii="仿宋_GB2312" w:hAnsi="仿宋_GB2312" w:cs="仿宋_GB2312"/>
          <w:color w:val="auto"/>
          <w:highlight w:val="none"/>
          <w:lang w:val="en-US" w:eastAsia="zh-CN"/>
        </w:rPr>
        <w:t>方面</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资金到位率：比较法，资金到位率预期指标值应为100%，通过实际计算，分析实际完成值和预期指标值之间的差距和原因。</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预算执行率：比较法，预算执行率预期指标值应为100%，通过实际计算，分析实际完成值和预期指标值之间的差距和原因。</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资金使用合规性：文献法、实地勘察法，一是查找资金管理办法，包括专项资金管理办法和单位自有资金管理办法；二是通过查账了解具体开支情况，是否专款专用，是否按照标准支出。</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管理制度健全性：文献法、比较法，查阅项目实施人员提供的财务和业务管理制度，将已建立的制度与现行的法律法规和政策要求进行对比，分析项目制度的合法性、合规性、完整性。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制度执行有效性：比较法，结合项目实际实施过程性文件，根据已建设的财务管理制度和项目管理制度综合分析制度执行的有效性。</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项目产出</w:t>
      </w:r>
      <w:r>
        <w:rPr>
          <w:rFonts w:hint="eastAsia" w:ascii="仿宋_GB2312" w:hAnsi="仿宋_GB2312" w:cs="仿宋_GB2312"/>
          <w:color w:val="auto"/>
          <w:highlight w:val="none"/>
          <w:lang w:val="en-US" w:eastAsia="zh-CN"/>
        </w:rPr>
        <w:t>方面</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比较法</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4）项目效益方面</w:t>
      </w:r>
    </w:p>
    <w:p>
      <w:pPr>
        <w:pStyle w:val="32"/>
        <w:spacing w:line="520" w:lineRule="exact"/>
        <w:ind w:firstLine="560"/>
        <w:rPr>
          <w:rFonts w:hint="eastAsia" w:ascii="仿宋_GB2312" w:hAnsi="仿宋_GB2312" w:eastAsia="仿宋_GB2312" w:cs="仿宋_GB2312"/>
          <w:color w:val="auto"/>
          <w:highlight w:val="none"/>
          <w:lang w:eastAsia="zh-CN"/>
        </w:rPr>
      </w:pPr>
      <w:r>
        <w:rPr>
          <w:rFonts w:hint="eastAsia" w:ascii="仿宋_GB2312" w:hAnsi="仿宋_GB2312" w:cs="仿宋_GB2312"/>
          <w:color w:val="auto"/>
          <w:highlight w:val="none"/>
          <w:lang w:eastAsia="zh-CN"/>
        </w:rPr>
        <w:t>公众评判法、实地勘察法，通过实地勘察、问卷及抽样调查等方式评价本项目实施后社会公众或服务对象对项目实施效果的满意程度。</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比较法</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通过整理本项目相关资料和数据，评价数量指标的完成情况；通过分析项目的实施情况与绩效目标实现情况，评价项目实施的效果；通过分析项目资金使用情况及产生的效果，评价预算资金分配的合理性。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4.绩效评价标准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计划标准：指以预先制定的目标、计划、预算、定额等作为评价标准。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行业标准：指参照国家公布的行业指标数据制定的评价标准。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历史标准：指参照历史数据制定的评价标准，为体现绩效改进的原则，在可实现的条件下应当确定相对较高的评价标准。</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rPr>
        <w:t>“</w:t>
      </w:r>
      <w:r>
        <w:rPr>
          <w:rFonts w:hint="eastAsia" w:ascii="仿宋_GB2312" w:hAnsi="仿宋_GB2312" w:cs="仿宋_GB2312"/>
          <w:color w:val="auto"/>
          <w:highlight w:val="none"/>
          <w:lang w:eastAsia="zh-CN"/>
        </w:rPr>
        <w:t>2023年岳普湖县农业生产社会化服务项目</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采用的是计划标准，以事先制定的目标、计划、预算、定额等预计数据作为评价财政支出绩效的标准。通过将实际完成值与预定数据进行对比，发现偏差及时通知实施单位进行限期整改并反馈整改情况。</w:t>
      </w:r>
    </w:p>
    <w:p>
      <w:pPr>
        <w:pStyle w:val="52"/>
        <w:keepNext w:val="0"/>
        <w:keepLines w:val="0"/>
        <w:spacing w:line="520" w:lineRule="exact"/>
        <w:ind w:left="560"/>
        <w:jc w:val="both"/>
        <w:rPr>
          <w:rFonts w:ascii="仿宋_GB2312" w:hAnsi="仿宋_GB2312" w:cs="仿宋_GB2312"/>
          <w:color w:val="auto"/>
          <w:highlight w:val="none"/>
        </w:rPr>
      </w:pPr>
      <w:bookmarkStart w:id="59" w:name="_Toc20415"/>
      <w:bookmarkStart w:id="60" w:name="_Toc17200"/>
      <w:bookmarkStart w:id="61" w:name="_Toc19104_WPSOffice_Level2"/>
      <w:bookmarkStart w:id="62" w:name="_Toc26233_WPSOffice_Level2"/>
      <w:bookmarkStart w:id="63" w:name="_Toc12894"/>
      <w:bookmarkStart w:id="64" w:name="_Toc26838"/>
      <w:bookmarkStart w:id="65" w:name="_Toc12413_WPSOffice_Level2"/>
      <w:bookmarkStart w:id="66" w:name="_Toc127054589"/>
      <w:bookmarkStart w:id="67" w:name="_Toc31508"/>
      <w:bookmarkStart w:id="68" w:name="_Toc22357"/>
      <w:r>
        <w:rPr>
          <w:rFonts w:hint="eastAsia" w:ascii="仿宋_GB2312" w:hAnsi="仿宋_GB2312" w:cs="仿宋_GB2312"/>
          <w:color w:val="auto"/>
          <w:highlight w:val="none"/>
        </w:rPr>
        <w:t>（三）绩效评价工作过程</w:t>
      </w:r>
      <w:bookmarkEnd w:id="59"/>
      <w:bookmarkEnd w:id="60"/>
      <w:bookmarkEnd w:id="61"/>
      <w:bookmarkEnd w:id="62"/>
      <w:bookmarkEnd w:id="63"/>
      <w:bookmarkEnd w:id="64"/>
      <w:bookmarkEnd w:id="65"/>
      <w:bookmarkEnd w:id="66"/>
      <w:bookmarkEnd w:id="67"/>
      <w:bookmarkEnd w:id="68"/>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本次评价设计了评价方案、评价指标体系，通过资料分析、调研、访谈满意度调查等方式形成评价结论，在与项目单位沟通后确定评价意见，并出具评价报告。</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1.前期准备</w:t>
      </w:r>
      <w:r>
        <w:rPr>
          <w:rFonts w:hint="eastAsia" w:ascii="仿宋_GB2312" w:hAnsi="仿宋_GB2312" w:cs="仿宋_GB2312"/>
          <w:b/>
          <w:bCs/>
          <w:color w:val="auto"/>
          <w:highlight w:val="none"/>
          <w:lang w:val="en-US" w:eastAsia="zh-CN"/>
        </w:rPr>
        <w:t>阶段（2024年1月3日—1月10日）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作为绩效评价工作具体实施机构，绩效评价组成员构成如下：</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王佩武</w:t>
      </w:r>
      <w:r>
        <w:rPr>
          <w:rFonts w:ascii="仿宋_GB2312" w:hAnsi="仿宋_GB2312" w:cs="仿宋_GB2312"/>
          <w:color w:val="auto"/>
          <w:highlight w:val="none"/>
        </w:rPr>
        <w:t>任</w:t>
      </w:r>
      <w:r>
        <w:rPr>
          <w:rFonts w:hint="eastAsia" w:ascii="仿宋_GB2312" w:hAnsi="仿宋_GB2312" w:cs="仿宋_GB2312"/>
          <w:color w:val="auto"/>
          <w:highlight w:val="none"/>
        </w:rPr>
        <w:t>绩效</w:t>
      </w:r>
      <w:r>
        <w:rPr>
          <w:rFonts w:ascii="仿宋_GB2312" w:hAnsi="仿宋_GB2312" w:cs="仿宋_GB2312"/>
          <w:color w:val="auto"/>
          <w:highlight w:val="none"/>
        </w:rPr>
        <w:t>评价组组长，绩效评价工作职责为负责全盘工作</w:t>
      </w:r>
      <w:r>
        <w:rPr>
          <w:rFonts w:hint="eastAsia" w:ascii="仿宋_GB2312" w:hAnsi="仿宋_GB2312" w:cs="仿宋_GB2312"/>
          <w:color w:val="auto"/>
          <w:highlight w:val="none"/>
        </w:rPr>
        <w:t>，</w:t>
      </w:r>
      <w:r>
        <w:rPr>
          <w:rFonts w:ascii="仿宋_GB2312" w:hAnsi="仿宋_GB2312" w:cs="仿宋_GB2312"/>
          <w:color w:val="auto"/>
          <w:highlight w:val="none"/>
        </w:rPr>
        <w:t>对项目实施情况进行实地调查。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努尔比亚·斯德克、何江霞</w:t>
      </w:r>
      <w:r>
        <w:rPr>
          <w:rFonts w:ascii="仿宋_GB2312" w:hAnsi="仿宋_GB2312" w:cs="仿宋_GB2312"/>
          <w:color w:val="auto"/>
          <w:highlight w:val="none"/>
        </w:rPr>
        <w:t>任</w:t>
      </w:r>
      <w:r>
        <w:rPr>
          <w:rFonts w:hint="eastAsia" w:ascii="仿宋_GB2312" w:hAnsi="仿宋_GB2312" w:cs="仿宋_GB2312"/>
          <w:color w:val="auto"/>
          <w:highlight w:val="none"/>
        </w:rPr>
        <w:t>绩效</w:t>
      </w:r>
      <w:r>
        <w:rPr>
          <w:rFonts w:ascii="仿宋_GB2312" w:hAnsi="仿宋_GB2312" w:cs="仿宋_GB2312"/>
          <w:color w:val="auto"/>
          <w:highlight w:val="none"/>
        </w:rPr>
        <w:t>评价组成员，绩效评价工作职责</w:t>
      </w:r>
      <w:r>
        <w:rPr>
          <w:rFonts w:hint="eastAsia" w:ascii="仿宋_GB2312" w:hAnsi="仿宋_GB2312" w:cs="仿宋_GB2312"/>
          <w:color w:val="auto"/>
          <w:highlight w:val="none"/>
        </w:rPr>
        <w:t>对</w:t>
      </w:r>
      <w:r>
        <w:rPr>
          <w:rFonts w:ascii="仿宋_GB2312" w:hAnsi="仿宋_GB2312" w:cs="仿宋_GB2312"/>
          <w:color w:val="auto"/>
          <w:highlight w:val="none"/>
        </w:rPr>
        <w:t>项目实施情况进行实地调查</w:t>
      </w:r>
      <w:r>
        <w:rPr>
          <w:rFonts w:hint="eastAsia" w:ascii="仿宋_GB2312" w:hAnsi="仿宋_GB2312" w:cs="仿宋_GB2312"/>
          <w:color w:val="auto"/>
          <w:highlight w:val="none"/>
        </w:rPr>
        <w:t>，</w:t>
      </w:r>
      <w:r>
        <w:rPr>
          <w:rFonts w:ascii="仿宋_GB2312" w:hAnsi="仿宋_GB2312" w:cs="仿宋_GB2312"/>
          <w:color w:val="auto"/>
          <w:highlight w:val="none"/>
        </w:rPr>
        <w:t>负责资料审核等工作。</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2.组织实施</w:t>
      </w:r>
      <w:r>
        <w:rPr>
          <w:rFonts w:hint="eastAsia" w:ascii="仿宋_GB2312" w:hAnsi="仿宋_GB2312" w:cs="仿宋_GB2312"/>
          <w:b/>
          <w:bCs/>
          <w:color w:val="auto"/>
          <w:highlight w:val="none"/>
          <w:lang w:val="en-US" w:eastAsia="zh-CN"/>
        </w:rPr>
        <w:t>阶段（2024年1月11日—2月1日）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3.分析评价</w:t>
      </w:r>
      <w:r>
        <w:rPr>
          <w:rFonts w:hint="eastAsia" w:ascii="仿宋_GB2312" w:hAnsi="仿宋_GB2312" w:cs="仿宋_GB2312"/>
          <w:b/>
          <w:bCs/>
          <w:color w:val="auto"/>
          <w:highlight w:val="none"/>
          <w:lang w:val="en-US" w:eastAsia="zh-CN"/>
        </w:rPr>
        <w:t>阶段（2024年2月2日—2月29日）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绩效评价组根据收集梳理的资料围绕项目立项、资金落实、业务管理、财务管理、项目产出、项目效益等内容，对照已确定的绩效评价指标进行详细全面的分析评价，逐项打分并形成绩效评价最终结果。</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4.撰写与提交评价报告</w:t>
      </w:r>
      <w:r>
        <w:rPr>
          <w:rFonts w:hint="eastAsia" w:ascii="仿宋_GB2312" w:hAnsi="仿宋_GB2312" w:cs="仿宋_GB2312"/>
          <w:b/>
          <w:bCs/>
          <w:color w:val="auto"/>
          <w:highlight w:val="none"/>
          <w:lang w:val="en-US" w:eastAsia="zh-CN"/>
        </w:rPr>
        <w:t>阶段（2024年3月1日-3月7日）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绩效评价组根据收集项目评价资料撰写绩效评价报告。按照新疆维吾尔自治区财政绩效管理信息系统绩效评价模块中</w:t>
      </w:r>
      <w:r>
        <w:rPr>
          <w:rFonts w:hint="eastAsia" w:ascii="仿宋_GB2312" w:hAnsi="仿宋_GB2312" w:cs="仿宋_GB2312"/>
          <w:color w:val="auto"/>
          <w:highlight w:val="none"/>
          <w:lang w:val="en-US" w:eastAsia="zh-CN"/>
        </w:rPr>
        <w:t>的</w:t>
      </w:r>
      <w:r>
        <w:rPr>
          <w:rFonts w:hint="eastAsia" w:ascii="仿宋_GB2312" w:hAnsi="仿宋_GB2312" w:cs="仿宋_GB2312"/>
          <w:color w:val="auto"/>
          <w:highlight w:val="none"/>
        </w:rPr>
        <w:t>统一格式</w:t>
      </w:r>
      <w:r>
        <w:rPr>
          <w:rFonts w:hint="eastAsia" w:ascii="仿宋_GB2312" w:hAnsi="仿宋_GB2312" w:cs="仿宋_GB2312"/>
          <w:color w:val="auto"/>
          <w:highlight w:val="none"/>
          <w:lang w:val="en-US" w:eastAsia="zh-CN"/>
        </w:rPr>
        <w:t>及</w:t>
      </w:r>
      <w:r>
        <w:rPr>
          <w:rFonts w:hint="eastAsia" w:ascii="仿宋_GB2312" w:hAnsi="仿宋_GB2312" w:cs="仿宋_GB2312"/>
          <w:color w:val="auto"/>
          <w:highlight w:val="none"/>
        </w:rPr>
        <w:t>文本框架撰写绩效评价报告并提交审核。</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5.归集档案</w:t>
      </w:r>
      <w:r>
        <w:rPr>
          <w:rFonts w:hint="eastAsia" w:ascii="仿宋_GB2312" w:hAnsi="仿宋_GB2312" w:cs="仿宋_GB2312"/>
          <w:b/>
          <w:bCs/>
          <w:color w:val="auto"/>
          <w:highlight w:val="none"/>
          <w:lang w:val="en-US" w:eastAsia="zh-CN"/>
        </w:rPr>
        <w:t>阶段（2024年3月8日-3月15日）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建立和落实档案管理制度，由绩效评价组将项目相关资料存档，包括但不限于：评价项目基本情况和相关文件、评价实施方案、项目支付资料等相关档案。</w:t>
      </w:r>
    </w:p>
    <w:p>
      <w:pPr>
        <w:pStyle w:val="31"/>
        <w:keepNext w:val="0"/>
        <w:keepLines w:val="0"/>
        <w:spacing w:line="520" w:lineRule="exact"/>
        <w:ind w:firstLine="640" w:firstLineChars="200"/>
        <w:jc w:val="both"/>
        <w:rPr>
          <w:color w:val="auto"/>
          <w:highlight w:val="none"/>
        </w:rPr>
      </w:pPr>
      <w:bookmarkStart w:id="69" w:name="_Toc127054590"/>
      <w:bookmarkStart w:id="70" w:name="_Toc25359"/>
      <w:bookmarkStart w:id="71" w:name="_Toc7014"/>
      <w:bookmarkStart w:id="72" w:name="_Toc1686_WPSOffice_Level1"/>
      <w:bookmarkStart w:id="73" w:name="_Toc5081"/>
      <w:bookmarkStart w:id="74" w:name="_Toc1597"/>
      <w:bookmarkStart w:id="75" w:name="_Toc32607_WPSOffice_Level1"/>
      <w:bookmarkStart w:id="76" w:name="_Toc4810"/>
      <w:bookmarkStart w:id="77" w:name="_Toc23928_WPSOffice_Level1"/>
      <w:bookmarkStart w:id="78" w:name="_Toc16646"/>
      <w:r>
        <w:rPr>
          <w:rFonts w:hint="eastAsia"/>
          <w:color w:val="auto"/>
          <w:highlight w:val="none"/>
        </w:rPr>
        <w:t>三、综合评价情况及评价结论</w:t>
      </w:r>
      <w:bookmarkEnd w:id="69"/>
      <w:bookmarkEnd w:id="70"/>
      <w:bookmarkEnd w:id="71"/>
      <w:bookmarkEnd w:id="72"/>
      <w:bookmarkEnd w:id="73"/>
      <w:bookmarkEnd w:id="74"/>
      <w:bookmarkEnd w:id="75"/>
      <w:bookmarkEnd w:id="76"/>
      <w:bookmarkEnd w:id="77"/>
      <w:bookmarkEnd w:id="78"/>
    </w:p>
    <w:p>
      <w:pPr>
        <w:pStyle w:val="52"/>
        <w:keepNext w:val="0"/>
        <w:keepLines w:val="0"/>
        <w:spacing w:line="520" w:lineRule="exact"/>
        <w:ind w:left="560"/>
        <w:jc w:val="both"/>
        <w:rPr>
          <w:color w:val="auto"/>
          <w:highlight w:val="none"/>
        </w:rPr>
      </w:pPr>
      <w:bookmarkStart w:id="79" w:name="_Toc5941_WPSOffice_Level2"/>
      <w:bookmarkStart w:id="80" w:name="_Toc15650_WPSOffice_Level2"/>
      <w:bookmarkStart w:id="81" w:name="_Toc22637"/>
      <w:bookmarkStart w:id="82" w:name="_Toc24395"/>
      <w:bookmarkStart w:id="83" w:name="_Toc28208_WPSOffice_Level2"/>
      <w:bookmarkStart w:id="84" w:name="_Toc127054591"/>
      <w:bookmarkStart w:id="85" w:name="_Toc4710"/>
      <w:bookmarkStart w:id="86" w:name="_Toc6425"/>
      <w:bookmarkStart w:id="87" w:name="_Toc1796"/>
      <w:bookmarkStart w:id="88" w:name="_Toc30078"/>
      <w:r>
        <w:rPr>
          <w:rFonts w:hint="eastAsia"/>
          <w:color w:val="auto"/>
          <w:highlight w:val="none"/>
        </w:rPr>
        <w:t>（一）综合评价情况</w:t>
      </w:r>
      <w:bookmarkEnd w:id="79"/>
      <w:bookmarkEnd w:id="80"/>
      <w:bookmarkEnd w:id="81"/>
      <w:bookmarkEnd w:id="82"/>
      <w:bookmarkEnd w:id="83"/>
      <w:bookmarkEnd w:id="84"/>
      <w:bookmarkEnd w:id="85"/>
      <w:bookmarkEnd w:id="86"/>
      <w:bookmarkEnd w:id="87"/>
      <w:bookmarkEnd w:id="88"/>
    </w:p>
    <w:p>
      <w:pPr>
        <w:pStyle w:val="32"/>
        <w:spacing w:line="520" w:lineRule="exact"/>
        <w:ind w:firstLine="560"/>
        <w:rPr>
          <w:color w:val="auto"/>
          <w:highlight w:val="none"/>
        </w:rPr>
      </w:pPr>
      <w:r>
        <w:rPr>
          <w:rFonts w:hint="eastAsia"/>
          <w:color w:val="auto"/>
          <w:highlight w:val="none"/>
        </w:rP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在项目决策方面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立项符合国家法律法规、国民经济发展规划和相关政策，项目立项依据充分。项目按照规定的程序申请，经过必要的研究、论证和评估，立项程序规范。</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在项目管理方面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本项目预算安排</w:t>
      </w:r>
      <w:r>
        <w:rPr>
          <w:rFonts w:hint="eastAsia" w:ascii="仿宋_GB2312" w:hAnsi="仿宋_GB2312" w:cs="仿宋_GB2312"/>
          <w:color w:val="auto"/>
          <w:highlight w:val="none"/>
          <w:lang w:val="en-US" w:eastAsia="zh-CN"/>
        </w:rPr>
        <w:t>160.00</w:t>
      </w:r>
      <w:r>
        <w:rPr>
          <w:rFonts w:hint="eastAsia" w:ascii="仿宋_GB2312" w:hAnsi="仿宋_GB2312" w:cs="仿宋_GB2312"/>
          <w:color w:val="auto"/>
          <w:highlight w:val="none"/>
        </w:rPr>
        <w:t>万元，实际支出</w:t>
      </w:r>
      <w:r>
        <w:rPr>
          <w:rFonts w:hint="eastAsia" w:ascii="仿宋_GB2312" w:hAnsi="仿宋_GB2312" w:cs="仿宋_GB2312"/>
          <w:color w:val="auto"/>
          <w:highlight w:val="none"/>
          <w:lang w:val="en-US" w:eastAsia="zh-CN"/>
        </w:rPr>
        <w:t>160.00</w:t>
      </w:r>
      <w:r>
        <w:rPr>
          <w:rFonts w:hint="eastAsia" w:ascii="仿宋_GB2312" w:hAnsi="仿宋_GB2312" w:cs="仿宋_GB2312"/>
          <w:color w:val="auto"/>
          <w:highlight w:val="none"/>
        </w:rPr>
        <w:t>万元，预算执行率</w:t>
      </w:r>
      <w:r>
        <w:rPr>
          <w:rFonts w:hint="eastAsia" w:ascii="仿宋_GB2312" w:hAnsi="仿宋_GB2312" w:cs="仿宋_GB2312"/>
          <w:color w:val="auto"/>
          <w:highlight w:val="none"/>
        </w:rPr>
        <w:t>100%</w:t>
      </w:r>
      <w:r>
        <w:rPr>
          <w:rFonts w:hint="eastAsia" w:ascii="仿宋_GB2312" w:hAnsi="仿宋_GB2312" w:cs="仿宋_GB2312"/>
          <w:color w:val="auto"/>
          <w:highlight w:val="none"/>
        </w:rPr>
        <w:t>。项目资金使用合规，项目财务管理制度健全，财务监控到位，所有资金支付均按照国库集中支付制度严格执行，现有项目管理制度执行情况良好。</w:t>
      </w:r>
    </w:p>
    <w:p>
      <w:pPr>
        <w:pStyle w:val="32"/>
        <w:keepNext w:val="0"/>
        <w:keepLines w:val="0"/>
        <w:pageBreakBefore w:val="0"/>
        <w:widowControl w:val="0"/>
        <w:kinsoku/>
        <w:wordWrap/>
        <w:overflowPunct/>
        <w:topLinePunct w:val="0"/>
        <w:autoSpaceDE/>
        <w:autoSpaceDN/>
        <w:bidi w:val="0"/>
        <w:adjustRightInd/>
        <w:snapToGrid/>
        <w:spacing w:line="520" w:lineRule="exact"/>
        <w:ind w:firstLine="560"/>
        <w:textAlignment w:val="auto"/>
        <w:rPr>
          <w:rFonts w:hint="eastAsia" w:ascii="仿宋_GB2312" w:hAnsi="仿宋_GB2312" w:cs="仿宋_GB2312"/>
          <w:color w:val="auto"/>
          <w:highlight w:val="none"/>
        </w:rPr>
      </w:pPr>
      <w:r>
        <w:rPr>
          <w:rFonts w:hint="eastAsia" w:ascii="仿宋_GB2312" w:hAnsi="仿宋_GB2312" w:cs="仿宋_GB2312"/>
          <w:color w:val="auto"/>
          <w:highlight w:val="none"/>
        </w:rPr>
        <w:t>在项目效果方面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已经按期完成了社会化服务补助兑付工作，对岳普湖县阿其克乡小麦机械收割和小麦秸秆打包、正播玉米收割机械费用补助已经按期支付完成。其中：小麦机械收割和小麦秸秆打包补助达到了44832.38亩，亩均补助标准为34元；正播玉米收割补助达到了2162.8亩，亩均补助标准为35元。项目预算执行率为100%。小麦机械收割和小麦秸秆打包机械费用补助受益户数达到了3806户，正播玉米收割机械费用补助受益户数达到了406户。通过项目的实施进一步提高了农户种粮积极性，有效提升了机械化在农业生产中的普及应用程度。受惠农户满意度达到了100%。</w:t>
      </w:r>
    </w:p>
    <w:p>
      <w:pPr>
        <w:pStyle w:val="52"/>
        <w:keepNext w:val="0"/>
        <w:keepLines w:val="0"/>
        <w:spacing w:line="520" w:lineRule="exact"/>
        <w:ind w:left="560"/>
        <w:jc w:val="both"/>
        <w:rPr>
          <w:color w:val="auto"/>
          <w:highlight w:val="none"/>
        </w:rPr>
      </w:pPr>
      <w:bookmarkStart w:id="89" w:name="_Toc127054592"/>
      <w:bookmarkStart w:id="90" w:name="_Toc5518"/>
      <w:bookmarkStart w:id="91" w:name="_Toc19466"/>
      <w:bookmarkStart w:id="92" w:name="_Toc20924_WPSOffice_Level2"/>
      <w:bookmarkStart w:id="93" w:name="_Toc25689_WPSOffice_Level2"/>
      <w:bookmarkStart w:id="94" w:name="_Toc24314"/>
      <w:bookmarkStart w:id="95" w:name="_Toc5858"/>
      <w:bookmarkStart w:id="96" w:name="_Toc30582_WPSOffice_Level2"/>
      <w:bookmarkStart w:id="97" w:name="_Toc6175"/>
      <w:bookmarkStart w:id="98" w:name="_Toc7246"/>
      <w:r>
        <w:rPr>
          <w:rFonts w:hint="eastAsia"/>
          <w:color w:val="auto"/>
          <w:highlight w:val="none"/>
        </w:rPr>
        <w:t>（二）综合评价结论</w:t>
      </w:r>
      <w:bookmarkEnd w:id="89"/>
      <w:bookmarkEnd w:id="90"/>
      <w:bookmarkEnd w:id="91"/>
      <w:bookmarkEnd w:id="92"/>
      <w:bookmarkEnd w:id="93"/>
      <w:bookmarkEnd w:id="94"/>
      <w:bookmarkEnd w:id="95"/>
      <w:bookmarkEnd w:id="96"/>
      <w:bookmarkEnd w:id="97"/>
      <w:bookmarkEnd w:id="98"/>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运用绩效评价组制定的评价指标体系以及财政部《项目支出绩效评价管理办法》（财预〔2020〕10号）文件的评分标准，通过数据采集、问</w:t>
      </w:r>
      <w:r>
        <w:rPr>
          <w:rFonts w:hint="eastAsia" w:ascii="仿宋_GB2312" w:hAnsi="仿宋_GB2312" w:cs="仿宋_GB2312"/>
          <w:color w:val="auto"/>
          <w:highlight w:val="none"/>
        </w:rPr>
        <w:t>卷调查及访谈等方式，对本项目进行客观评价，总分一般设置为100分，其中项目决策20分、项目过程</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分、项目产出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分、项目效益</w:t>
      </w:r>
      <w:r>
        <w:rPr>
          <w:rFonts w:hint="eastAsia" w:ascii="仿宋_GB2312" w:hAnsi="仿宋_GB2312" w:cs="仿宋_GB2312"/>
          <w:color w:val="auto"/>
          <w:highlight w:val="none"/>
          <w:lang w:val="en-US" w:eastAsia="zh-CN"/>
        </w:rPr>
        <w:t>30</w:t>
      </w:r>
      <w:r>
        <w:rPr>
          <w:rFonts w:hint="eastAsia" w:ascii="仿宋_GB2312" w:hAnsi="仿宋_GB2312" w:cs="仿宋_GB2312"/>
          <w:color w:val="auto"/>
          <w:highlight w:val="none"/>
        </w:rPr>
        <w:t>分。评价结果分为优、良、中、差四个等级：优（90分（含）—100分）；良（80分（含）—90分）；中（60分（含）—80分）；差（0分—60分）。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本项目</w:t>
      </w:r>
      <w:r>
        <w:rPr>
          <w:rFonts w:hint="eastAsia" w:ascii="仿宋_GB2312" w:hAnsi="仿宋_GB2312" w:cs="仿宋_GB2312"/>
          <w:color w:val="auto"/>
          <w:highlight w:val="none"/>
        </w:rPr>
        <w:t>最终评分结果：总得分为</w:t>
      </w:r>
      <w:r>
        <w:rPr>
          <w:rFonts w:hint="eastAsia" w:ascii="仿宋_GB2312" w:hAnsi="仿宋_GB2312" w:cs="仿宋_GB2312"/>
          <w:color w:val="auto"/>
          <w:highlight w:val="none"/>
        </w:rPr>
        <w:t>100分</w:t>
      </w:r>
      <w:r>
        <w:rPr>
          <w:rFonts w:hint="eastAsia" w:ascii="仿宋_GB2312" w:hAnsi="仿宋_GB2312" w:cs="仿宋_GB2312"/>
          <w:color w:val="auto"/>
          <w:highlight w:val="none"/>
        </w:rPr>
        <w:t>，绩效评级为</w:t>
      </w:r>
      <w:r>
        <w:rPr>
          <w:rFonts w:hint="eastAsia" w:ascii="仿宋_GB2312" w:hAnsi="仿宋_GB2312" w:cs="仿宋_GB2312"/>
          <w:color w:val="auto"/>
          <w:highlight w:val="none"/>
        </w:rPr>
        <w:t>“优”</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具体得分情况</w:t>
      </w:r>
      <w:r>
        <w:rPr>
          <w:rFonts w:hint="eastAsia" w:ascii="仿宋_GB2312" w:hAnsi="仿宋_GB2312" w:cs="仿宋_GB2312"/>
          <w:color w:val="auto"/>
          <w:highlight w:val="none"/>
          <w:lang w:val="en-US" w:eastAsia="zh-CN"/>
        </w:rPr>
        <w:t>如下</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1.项目决策指标权重为20分，得分为20分，得分率为100%。</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2.项目过程指标权重为</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得分为</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分，得分率为100%</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3.项目产出指标权重为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分，得分率为100%</w:t>
      </w:r>
      <w:r>
        <w:rPr>
          <w:rFonts w:hint="eastAsia" w:ascii="仿宋_GB2312" w:hAnsi="仿宋_GB2312" w:cs="仿宋_GB2312"/>
          <w:color w:val="auto"/>
          <w:highlight w:val="none"/>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4.项目效益指标权重为30分，</w:t>
      </w:r>
      <w:r>
        <w:rPr>
          <w:rFonts w:hint="eastAsia" w:ascii="仿宋_GB2312" w:hAnsi="仿宋_GB2312" w:cs="仿宋_GB2312"/>
          <w:color w:val="auto"/>
          <w:highlight w:val="none"/>
        </w:rPr>
        <w:t>得分为30分，得分率为100%</w:t>
      </w:r>
      <w:r>
        <w:rPr>
          <w:rFonts w:hint="eastAsia" w:ascii="仿宋_GB2312" w:hAnsi="仿宋_GB2312" w:cs="仿宋_GB2312"/>
          <w:color w:val="auto"/>
          <w:highlight w:val="none"/>
        </w:rPr>
        <w:t>。具体打分情况详见：附件1综合评分表。</w:t>
      </w:r>
    </w:p>
    <w:p>
      <w:pPr>
        <w:pStyle w:val="32"/>
        <w:ind w:firstLine="562"/>
        <w:jc w:val="center"/>
        <w:rPr>
          <w:b/>
          <w:bCs/>
          <w:color w:val="auto"/>
          <w:highlight w:val="none"/>
        </w:rPr>
      </w:pPr>
      <w:bookmarkStart w:id="99" w:name="_Toc13636_WPSOffice_Level2"/>
      <w:bookmarkStart w:id="100" w:name="_Toc25446_WPSOffice_Level2"/>
      <w:bookmarkStart w:id="101" w:name="_Toc12641_WPSOffice_Level2"/>
      <w:bookmarkStart w:id="102" w:name="_Toc19284"/>
      <w:bookmarkStart w:id="103" w:name="_Toc10259_WPSOffice_Level1"/>
      <w:bookmarkStart w:id="104" w:name="_Toc31634"/>
      <w:bookmarkStart w:id="105" w:name="_Toc127054593"/>
      <w:bookmarkStart w:id="106" w:name="_Toc17696_WPSOffice_Level1"/>
      <w:bookmarkStart w:id="107" w:name="_Toc27609"/>
      <w:bookmarkStart w:id="108" w:name="_Toc4090"/>
      <w:bookmarkStart w:id="109" w:name="_Toc14202_WPSOffice_Level1"/>
      <w:bookmarkStart w:id="110" w:name="_Toc23593"/>
      <w:bookmarkStart w:id="111" w:name="_Toc21991"/>
      <w:r>
        <w:rPr>
          <w:rFonts w:hint="eastAsia"/>
          <w:b/>
          <w:bCs/>
          <w:color w:val="auto"/>
          <w:highlight w:val="none"/>
        </w:rPr>
        <w:t>项目绩效评价评分情况表</w:t>
      </w:r>
      <w:bookmarkEnd w:id="99"/>
      <w:bookmarkEnd w:id="100"/>
      <w:bookmarkEnd w:id="101"/>
    </w:p>
    <w:tbl>
      <w:tblPr>
        <w:tblStyle w:val="26"/>
        <w:tblW w:w="8309" w:type="dxa"/>
        <w:jc w:val="center"/>
        <w:tblInd w:w="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1382"/>
        <w:gridCol w:w="1382"/>
        <w:gridCol w:w="1382"/>
        <w:gridCol w:w="1382"/>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blHeader/>
          <w:jc w:val="center"/>
        </w:trPr>
        <w:tc>
          <w:tcPr>
            <w:tcW w:w="1323"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指  标</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A.项目决策</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B.项目过程</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C.项目产出</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D.项目效益</w:t>
            </w:r>
          </w:p>
        </w:tc>
        <w:tc>
          <w:tcPr>
            <w:tcW w:w="1458"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合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23" w:type="dxa"/>
            <w:vAlign w:val="center"/>
          </w:tcPr>
          <w:p>
            <w:pPr>
              <w:pStyle w:val="57"/>
              <w:spacing w:line="520" w:lineRule="exact"/>
              <w:ind w:firstLine="0" w:firstLineChars="0"/>
              <w:rPr>
                <w:rFonts w:ascii="仿宋_GB2312" w:cs="Times New Roman"/>
                <w:b w:val="0"/>
                <w:color w:val="auto"/>
                <w:sz w:val="21"/>
                <w:szCs w:val="21"/>
                <w:highlight w:val="none"/>
              </w:rPr>
            </w:pPr>
            <w:r>
              <w:rPr>
                <w:rFonts w:hint="eastAsia" w:ascii="仿宋_GB2312" w:cs="Times New Roman"/>
                <w:b w:val="0"/>
                <w:color w:val="auto"/>
                <w:sz w:val="21"/>
                <w:szCs w:val="21"/>
                <w:highlight w:val="none"/>
              </w:rPr>
              <w:t>权  重</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20.00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lang w:val="en-US" w:eastAsia="zh-CN"/>
              </w:rPr>
              <w:t>15</w:t>
            </w:r>
            <w:r>
              <w:rPr>
                <w:rFonts w:hint="eastAsia" w:ascii="仿宋_GB2312" w:cs="Times New Roman"/>
                <w:b w:val="0"/>
                <w:color w:val="auto"/>
                <w:sz w:val="21"/>
                <w:szCs w:val="21"/>
                <w:highlight w:val="none"/>
              </w:rPr>
              <w:t>.00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w:t>
            </w:r>
            <w:r>
              <w:rPr>
                <w:rFonts w:hint="eastAsia" w:ascii="仿宋_GB2312" w:cs="Times New Roman"/>
                <w:b w:val="0"/>
                <w:color w:val="auto"/>
                <w:sz w:val="21"/>
                <w:szCs w:val="21"/>
                <w:highlight w:val="none"/>
                <w:lang w:val="en-US" w:eastAsia="zh-CN"/>
              </w:rPr>
              <w:t>5</w:t>
            </w:r>
            <w:r>
              <w:rPr>
                <w:rFonts w:hint="eastAsia" w:ascii="仿宋_GB2312" w:cs="Times New Roman"/>
                <w:b w:val="0"/>
                <w:color w:val="auto"/>
                <w:sz w:val="21"/>
                <w:szCs w:val="21"/>
                <w:highlight w:val="none"/>
              </w:rPr>
              <w:t>.00</w:t>
            </w:r>
          </w:p>
        </w:tc>
        <w:tc>
          <w:tcPr>
            <w:tcW w:w="1382" w:type="dxa"/>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30.00</w:t>
            </w:r>
          </w:p>
        </w:tc>
        <w:tc>
          <w:tcPr>
            <w:tcW w:w="1458" w:type="dxa"/>
            <w:vAlign w:val="center"/>
          </w:tcPr>
          <w:p>
            <w:pPr>
              <w:pStyle w:val="57"/>
              <w:spacing w:line="520" w:lineRule="exact"/>
              <w:ind w:firstLine="420"/>
              <w:jc w:val="both"/>
              <w:rPr>
                <w:rFonts w:ascii="仿宋_GB2312" w:cs="Times New Roman"/>
                <w:b w:val="0"/>
                <w:color w:val="auto"/>
                <w:sz w:val="21"/>
                <w:szCs w:val="21"/>
                <w:highlight w:val="none"/>
              </w:rPr>
            </w:pPr>
            <w:r>
              <w:rPr>
                <w:rFonts w:hint="eastAsia" w:ascii="仿宋_GB2312" w:cs="Times New Roman"/>
                <w:b w:val="0"/>
                <w:color w:val="auto"/>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23" w:type="dxa"/>
            <w:vAlign w:val="center"/>
          </w:tcPr>
          <w:p>
            <w:pPr>
              <w:pStyle w:val="57"/>
              <w:spacing w:line="520" w:lineRule="exact"/>
              <w:ind w:firstLine="0" w:firstLineChars="0"/>
              <w:rPr>
                <w:rFonts w:hint="eastAsia" w:ascii="仿宋_GB2312" w:eastAsia="仿宋_GB2312" w:cs="Times New Roman"/>
                <w:b w:val="0"/>
                <w:color w:val="auto"/>
                <w:sz w:val="21"/>
                <w:szCs w:val="21"/>
                <w:highlight w:val="none"/>
                <w:lang w:eastAsia="zh-CN"/>
              </w:rPr>
            </w:pPr>
            <w:r>
              <w:rPr>
                <w:rFonts w:hint="eastAsia" w:ascii="仿宋_GB2312" w:cs="Times New Roman"/>
                <w:b w:val="0"/>
                <w:color w:val="auto"/>
                <w:sz w:val="21"/>
                <w:szCs w:val="21"/>
                <w:highlight w:val="none"/>
                <w:lang w:val="en-US" w:eastAsia="zh-CN"/>
              </w:rPr>
              <w:t>得</w:t>
            </w:r>
            <w:r>
              <w:rPr>
                <w:rFonts w:hint="eastAsia" w:ascii="仿宋_GB2312" w:cs="Times New Roman"/>
                <w:b w:val="0"/>
                <w:color w:val="auto"/>
                <w:sz w:val="21"/>
                <w:szCs w:val="21"/>
                <w:highlight w:val="none"/>
              </w:rPr>
              <w:t xml:space="preserve">  </w:t>
            </w:r>
            <w:r>
              <w:rPr>
                <w:rFonts w:hint="eastAsia" w:ascii="仿宋_GB2312" w:cs="Times New Roman"/>
                <w:b w:val="0"/>
                <w:color w:val="auto"/>
                <w:sz w:val="21"/>
                <w:szCs w:val="21"/>
                <w:highlight w:val="none"/>
                <w:lang w:val="en-US" w:eastAsia="zh-CN"/>
              </w:rPr>
              <w:t>分</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20.00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lang w:val="en-US" w:eastAsia="zh-CN"/>
              </w:rPr>
              <w:t>15</w:t>
            </w:r>
            <w:r>
              <w:rPr>
                <w:rFonts w:hint="eastAsia" w:ascii="仿宋_GB2312" w:cs="Times New Roman"/>
                <w:b w:val="0"/>
                <w:color w:val="auto"/>
                <w:sz w:val="21"/>
                <w:szCs w:val="21"/>
                <w:highlight w:val="none"/>
              </w:rPr>
              <w:t>.00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w:t>
            </w:r>
            <w:r>
              <w:rPr>
                <w:rFonts w:hint="eastAsia" w:ascii="仿宋_GB2312" w:cs="Times New Roman"/>
                <w:b w:val="0"/>
                <w:color w:val="auto"/>
                <w:sz w:val="21"/>
                <w:szCs w:val="21"/>
                <w:highlight w:val="none"/>
                <w:lang w:val="en-US" w:eastAsia="zh-CN"/>
              </w:rPr>
              <w:t>5</w:t>
            </w:r>
            <w:r>
              <w:rPr>
                <w:rFonts w:hint="eastAsia" w:ascii="仿宋_GB2312" w:cs="Times New Roman"/>
                <w:b w:val="0"/>
                <w:color w:val="auto"/>
                <w:sz w:val="21"/>
                <w:szCs w:val="21"/>
                <w:highlight w:val="none"/>
              </w:rPr>
              <w:t>.00</w:t>
            </w:r>
          </w:p>
        </w:tc>
        <w:tc>
          <w:tcPr>
            <w:tcW w:w="1382" w:type="dxa"/>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30.00</w:t>
            </w:r>
          </w:p>
        </w:tc>
        <w:tc>
          <w:tcPr>
            <w:tcW w:w="1458" w:type="dxa"/>
            <w:vAlign w:val="center"/>
          </w:tcPr>
          <w:p>
            <w:pPr>
              <w:pStyle w:val="57"/>
              <w:spacing w:line="520" w:lineRule="exact"/>
              <w:ind w:firstLine="420"/>
              <w:jc w:val="both"/>
              <w:rPr>
                <w:rFonts w:ascii="仿宋_GB2312" w:cs="Times New Roman"/>
                <w:b w:val="0"/>
                <w:color w:val="auto"/>
                <w:sz w:val="21"/>
                <w:szCs w:val="21"/>
                <w:highlight w:val="none"/>
              </w:rPr>
            </w:pPr>
            <w:r>
              <w:rPr>
                <w:rFonts w:hint="eastAsia" w:ascii="仿宋_GB2312" w:cs="Times New Roman"/>
                <w:b w:val="0"/>
                <w:color w:val="auto"/>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23" w:type="dxa"/>
            <w:vAlign w:val="center"/>
          </w:tcPr>
          <w:p>
            <w:pPr>
              <w:pStyle w:val="57"/>
              <w:spacing w:line="520" w:lineRule="exact"/>
              <w:ind w:firstLine="0" w:firstLineChars="0"/>
              <w:rPr>
                <w:rFonts w:ascii="仿宋_GB2312" w:cs="Times New Roman"/>
                <w:bCs/>
                <w:color w:val="auto"/>
                <w:sz w:val="21"/>
                <w:szCs w:val="21"/>
                <w:highlight w:val="none"/>
              </w:rPr>
            </w:pPr>
            <w:r>
              <w:rPr>
                <w:rFonts w:hint="eastAsia" w:ascii="仿宋_GB2312" w:cs="Times New Roman"/>
                <w:bCs/>
                <w:color w:val="auto"/>
                <w:sz w:val="21"/>
                <w:szCs w:val="21"/>
                <w:highlight w:val="none"/>
              </w:rPr>
              <w:t>得分率</w:t>
            </w:r>
          </w:p>
        </w:tc>
        <w:tc>
          <w:tcPr>
            <w:tcW w:w="1382"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382"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382"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382" w:type="dxa"/>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458"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p>
        </w:tc>
      </w:tr>
    </w:tbl>
    <w:p>
      <w:pPr>
        <w:pStyle w:val="31"/>
        <w:keepNext w:val="0"/>
        <w:keepLines w:val="0"/>
        <w:spacing w:line="520" w:lineRule="exact"/>
        <w:ind w:firstLine="640" w:firstLineChars="200"/>
        <w:jc w:val="both"/>
        <w:rPr>
          <w:color w:val="auto"/>
          <w:highlight w:val="none"/>
        </w:rPr>
      </w:pPr>
      <w:r>
        <w:rPr>
          <w:rFonts w:hint="eastAsia"/>
          <w:color w:val="auto"/>
          <w:highlight w:val="none"/>
        </w:rPr>
        <w:t>四、绩效评价指标分析</w:t>
      </w:r>
      <w:bookmarkEnd w:id="102"/>
      <w:bookmarkEnd w:id="103"/>
      <w:bookmarkEnd w:id="104"/>
      <w:bookmarkEnd w:id="105"/>
      <w:bookmarkEnd w:id="106"/>
      <w:bookmarkEnd w:id="107"/>
      <w:bookmarkEnd w:id="108"/>
      <w:bookmarkEnd w:id="109"/>
      <w:bookmarkEnd w:id="110"/>
      <w:bookmarkEnd w:id="111"/>
    </w:p>
    <w:p>
      <w:pPr>
        <w:pStyle w:val="52"/>
        <w:keepNext w:val="0"/>
        <w:keepLines w:val="0"/>
        <w:spacing w:line="520" w:lineRule="exact"/>
        <w:ind w:left="560"/>
        <w:jc w:val="both"/>
        <w:rPr>
          <w:rFonts w:ascii="仿宋_GB2312" w:hAnsi="仿宋_GB2312" w:cs="仿宋_GB2312"/>
          <w:color w:val="auto"/>
          <w:highlight w:val="none"/>
        </w:rPr>
      </w:pPr>
      <w:bookmarkStart w:id="112" w:name="_Toc127054594"/>
      <w:bookmarkStart w:id="113" w:name="_Toc15622"/>
      <w:bookmarkStart w:id="114" w:name="_Toc23471_WPSOffice_Level2"/>
      <w:bookmarkStart w:id="115" w:name="_Toc24898"/>
      <w:bookmarkStart w:id="116" w:name="_Toc1351"/>
      <w:bookmarkStart w:id="117" w:name="_Toc23212"/>
      <w:bookmarkStart w:id="118" w:name="_Toc13717_WPSOffice_Level2"/>
      <w:bookmarkStart w:id="119" w:name="_Toc17002"/>
      <w:bookmarkStart w:id="120" w:name="_Toc12537"/>
      <w:bookmarkStart w:id="121" w:name="_Toc30064_WPSOffice_Level2"/>
      <w:r>
        <w:rPr>
          <w:rFonts w:hint="eastAsia" w:ascii="仿宋_GB2312" w:hAnsi="仿宋_GB2312" w:cs="仿宋_GB2312"/>
          <w:color w:val="auto"/>
          <w:highlight w:val="none"/>
        </w:rPr>
        <w:t>（一）项目决策情况</w:t>
      </w:r>
      <w:bookmarkEnd w:id="112"/>
      <w:bookmarkEnd w:id="113"/>
      <w:bookmarkEnd w:id="114"/>
      <w:bookmarkEnd w:id="115"/>
      <w:bookmarkEnd w:id="116"/>
      <w:bookmarkEnd w:id="117"/>
      <w:bookmarkEnd w:id="118"/>
      <w:bookmarkEnd w:id="119"/>
      <w:bookmarkEnd w:id="120"/>
      <w:bookmarkEnd w:id="121"/>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决策类指标包括项目立项、绩效目标和资金投入三方面的内容，由6个三级指标构成，权重分值为20分，实际得分20分，得分率为</w:t>
      </w:r>
      <w:r>
        <w:rPr>
          <w:rFonts w:hint="eastAsia" w:ascii="仿宋_GB2312" w:hAnsi="仿宋_GB2312" w:cs="仿宋_GB2312"/>
          <w:color w:val="auto"/>
          <w:highlight w:val="none"/>
        </w:rPr>
        <w:t>100%。</w:t>
      </w:r>
    </w:p>
    <w:p>
      <w:pPr>
        <w:pStyle w:val="32"/>
        <w:spacing w:line="520" w:lineRule="exact"/>
        <w:ind w:firstLine="562"/>
        <w:rPr>
          <w:rFonts w:ascii="仿宋_GB2312" w:hAnsi="仿宋_GB2312" w:cs="仿宋_GB2312"/>
          <w:b/>
          <w:bCs/>
          <w:color w:val="auto"/>
          <w:highlight w:val="none"/>
        </w:rPr>
      </w:pPr>
      <w:bookmarkStart w:id="122" w:name="_Toc25023_WPSOffice_Level2"/>
      <w:r>
        <w:rPr>
          <w:rFonts w:hint="eastAsia" w:ascii="仿宋_GB2312" w:hAnsi="仿宋_GB2312" w:cs="仿宋_GB2312"/>
          <w:b/>
          <w:bCs/>
          <w:color w:val="auto"/>
          <w:highlight w:val="none"/>
        </w:rPr>
        <w:t>1.项目立项</w:t>
      </w:r>
      <w:bookmarkEnd w:id="122"/>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项目立项指标从立项依据充分性、立项程序规范性2个方面进行评价，</w:t>
      </w:r>
      <w:r>
        <w:rPr>
          <w:rFonts w:hint="eastAsia" w:ascii="仿宋_GB2312" w:hAnsi="仿宋_GB2312" w:cs="仿宋_GB2312"/>
          <w:color w:val="auto"/>
          <w:highlight w:val="none"/>
        </w:rPr>
        <w:t>权重分值8分，实际得分8分。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（1）立项依据充分性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（2）立项程序规范性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p>
    <w:p>
      <w:pPr>
        <w:pStyle w:val="32"/>
        <w:spacing w:line="520" w:lineRule="exact"/>
        <w:ind w:firstLine="562"/>
        <w:rPr>
          <w:rFonts w:ascii="仿宋_GB2312" w:hAnsi="仿宋_GB2312" w:cs="仿宋_GB2312"/>
          <w:b/>
          <w:bCs/>
          <w:color w:val="auto"/>
          <w:highlight w:val="none"/>
        </w:rPr>
      </w:pPr>
      <w:bookmarkStart w:id="123" w:name="_Toc20733_WPSOffice_Level2"/>
      <w:r>
        <w:rPr>
          <w:rFonts w:hint="eastAsia" w:ascii="仿宋_GB2312" w:hAnsi="仿宋_GB2312" w:cs="仿宋_GB2312"/>
          <w:b/>
          <w:bCs/>
          <w:color w:val="auto"/>
          <w:highlight w:val="none"/>
        </w:rPr>
        <w:t>2.绩效目标</w:t>
      </w:r>
      <w:bookmarkEnd w:id="123"/>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绩效目标指标从绩效目标合理性、绩效指标明确性2个方面进行评价，权重分值5分，实际得分5分。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（1）绩效目标合理性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（2）绩效指标明确性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项目设置了明确的预期产出效益和效果，将绩效目标细化分解为具体的绩效指标，绩效目标与项目目标任务数相对应，绩效目标设定的绩效指标清晰、细化、可衡量。根据评价标准，该指标不扣分，实际得分2分。</w:t>
      </w:r>
    </w:p>
    <w:p>
      <w:pPr>
        <w:pStyle w:val="32"/>
        <w:spacing w:line="520" w:lineRule="exact"/>
        <w:ind w:firstLine="562"/>
        <w:rPr>
          <w:rFonts w:ascii="仿宋_GB2312" w:hAnsi="仿宋_GB2312" w:cs="仿宋_GB2312"/>
          <w:b/>
          <w:bCs/>
          <w:color w:val="auto"/>
          <w:highlight w:val="none"/>
        </w:rPr>
      </w:pPr>
      <w:bookmarkStart w:id="124" w:name="_Toc32610_WPSOffice_Level2"/>
      <w:r>
        <w:rPr>
          <w:rFonts w:hint="eastAsia" w:ascii="仿宋_GB2312" w:hAnsi="仿宋_GB2312" w:cs="仿宋_GB2312"/>
          <w:b/>
          <w:bCs/>
          <w:color w:val="auto"/>
          <w:highlight w:val="none"/>
        </w:rPr>
        <w:t>3.资金投入</w:t>
      </w:r>
      <w:bookmarkEnd w:id="12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资金投入指标从预算编制科学性、资金分配合理性2个方面进行评价，权重分值7分，实际得分7分。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（1）预算编制科学性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预算编制经过科学论证，提供充分的测算依据佐证资料</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编制</w:t>
      </w:r>
      <w:r>
        <w:rPr>
          <w:rFonts w:hint="eastAsia" w:ascii="仿宋_GB2312" w:hAnsi="仿宋_GB2312" w:cs="仿宋_GB2312"/>
          <w:color w:val="auto"/>
          <w:highlight w:val="none"/>
        </w:rPr>
        <w:t>准确可靠的数据和信息</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确保</w:t>
      </w:r>
      <w:r>
        <w:rPr>
          <w:rFonts w:hint="eastAsia" w:ascii="仿宋_GB2312" w:hAnsi="仿宋_GB2312" w:cs="仿宋_GB2312"/>
          <w:color w:val="auto"/>
          <w:highlight w:val="none"/>
        </w:rPr>
        <w:t>预算内容与项目内容相匹配。项目投资额与工作任务相匹配。</w:t>
      </w:r>
      <w:r>
        <w:rPr>
          <w:rFonts w:hint="eastAsia" w:ascii="仿宋_GB2312" w:hAnsi="仿宋_GB2312" w:cs="仿宋_GB2312"/>
          <w:color w:val="auto"/>
          <w:highlight w:val="none"/>
        </w:rPr>
        <w:t>预算编制的程序规范、透明，确保预算的公正性和公平性</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根据评价标准，该指标不扣分，实际得分5分。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（2）资金分配合理性</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项目进行全面的评估和分析，确定各个环节和部门的资金需求，确保资金的使用与项目的进展和目标实现紧密相关。通过合理的资金分配，确保项目的顺利进行，避免资金短缺或浪费，提高项目的整体效益</w:t>
      </w:r>
      <w:r>
        <w:rPr>
          <w:rFonts w:hint="eastAsia" w:ascii="仿宋_GB2312" w:hAnsi="仿宋_GB2312" w:cs="仿宋_GB2312"/>
          <w:color w:val="auto"/>
          <w:highlight w:val="none"/>
          <w:lang w:eastAsia="zh-CN"/>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资金分配时，优先满足关键任务的资金需求，确保项目按照计划和时间表进行。</w:t>
      </w:r>
      <w:r>
        <w:rPr>
          <w:rFonts w:hint="eastAsia" w:ascii="仿宋_GB2312" w:hAnsi="仿宋_GB2312" w:cs="仿宋_GB2312"/>
          <w:color w:val="auto"/>
          <w:highlight w:val="none"/>
        </w:rPr>
        <w:t>资金分配额度与项目单位实际工作内容相适应，资金分配额度合理，资金分配依据充分。根据评价标准，该指标不扣分，实际得分2分。</w:t>
      </w:r>
    </w:p>
    <w:p>
      <w:pPr>
        <w:pStyle w:val="52"/>
        <w:keepNext w:val="0"/>
        <w:keepLines w:val="0"/>
        <w:spacing w:line="520" w:lineRule="exact"/>
        <w:ind w:left="560"/>
        <w:jc w:val="both"/>
        <w:rPr>
          <w:rFonts w:ascii="仿宋_GB2312" w:hAnsi="仿宋_GB2312" w:cs="仿宋_GB2312"/>
          <w:color w:val="auto"/>
          <w:highlight w:val="none"/>
        </w:rPr>
      </w:pPr>
      <w:bookmarkStart w:id="125" w:name="_Toc18592"/>
      <w:bookmarkStart w:id="126" w:name="_Toc30208"/>
      <w:bookmarkStart w:id="127" w:name="_Toc127054595"/>
      <w:bookmarkStart w:id="128" w:name="_Toc18771"/>
      <w:bookmarkStart w:id="129" w:name="_Toc4615_WPSOffice_Level2"/>
      <w:bookmarkStart w:id="130" w:name="_Toc804"/>
      <w:bookmarkStart w:id="131" w:name="_Toc21518"/>
      <w:bookmarkStart w:id="132" w:name="_Toc22525_WPSOffice_Level2"/>
      <w:bookmarkStart w:id="133" w:name="_Toc30315"/>
      <w:bookmarkStart w:id="134" w:name="_Toc15035_WPSOffice_Level2"/>
      <w:r>
        <w:rPr>
          <w:rFonts w:hint="eastAsia" w:ascii="仿宋_GB2312" w:hAnsi="仿宋_GB2312" w:cs="仿宋_GB2312"/>
          <w:color w:val="auto"/>
          <w:highlight w:val="none"/>
        </w:rPr>
        <w:t>（二）项目过程情况</w:t>
      </w:r>
      <w:bookmarkEnd w:id="125"/>
      <w:bookmarkEnd w:id="126"/>
      <w:bookmarkEnd w:id="127"/>
      <w:bookmarkEnd w:id="128"/>
      <w:bookmarkEnd w:id="129"/>
      <w:bookmarkEnd w:id="130"/>
      <w:bookmarkEnd w:id="131"/>
      <w:bookmarkEnd w:id="132"/>
      <w:bookmarkEnd w:id="133"/>
      <w:bookmarkEnd w:id="13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过程类指标包括资金管理和组织实施两方面的内容，由6个三级指标构成，权重分值为</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w:t>
      </w:r>
      <w:r>
        <w:rPr>
          <w:rFonts w:hint="eastAsia" w:ascii="仿宋_GB2312" w:hAnsi="仿宋_GB2312" w:cs="仿宋_GB2312"/>
          <w:color w:val="auto"/>
          <w:highlight w:val="none"/>
        </w:rPr>
        <w:t>实际得分</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1.资金管理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资金管理指标从资金到位率、预算执行率、资金使用合规性3个方面进行评价，权重分值</w:t>
      </w:r>
      <w:r>
        <w:rPr>
          <w:rFonts w:hint="eastAsia" w:ascii="仿宋_GB2312" w:hAnsi="仿宋_GB2312" w:cs="仿宋_GB2312"/>
          <w:color w:val="auto"/>
          <w:highlight w:val="none"/>
          <w:lang w:val="en-US" w:eastAsia="zh-CN"/>
        </w:rPr>
        <w:t>8</w:t>
      </w:r>
      <w:r>
        <w:rPr>
          <w:rFonts w:hint="eastAsia" w:ascii="仿宋_GB2312" w:hAnsi="仿宋_GB2312" w:cs="仿宋_GB2312"/>
          <w:color w:val="auto"/>
          <w:highlight w:val="none"/>
        </w:rPr>
        <w:t>分，</w:t>
      </w:r>
      <w:r>
        <w:rPr>
          <w:rFonts w:hint="eastAsia" w:ascii="仿宋_GB2312" w:hAnsi="仿宋_GB2312" w:cs="仿宋_GB2312"/>
          <w:color w:val="auto"/>
          <w:highlight w:val="none"/>
        </w:rPr>
        <w:t>实际得分</w:t>
      </w:r>
      <w:r>
        <w:rPr>
          <w:rFonts w:hint="eastAsia" w:ascii="仿宋_GB2312" w:hAnsi="仿宋_GB2312" w:cs="仿宋_GB2312"/>
          <w:color w:val="auto"/>
          <w:highlight w:val="none"/>
          <w:lang w:val="en-US" w:eastAsia="zh-CN"/>
        </w:rPr>
        <w:t>8</w:t>
      </w:r>
      <w:r>
        <w:rPr>
          <w:rFonts w:hint="eastAsia" w:ascii="仿宋_GB2312" w:hAnsi="仿宋_GB2312" w:cs="仿宋_GB2312"/>
          <w:color w:val="auto"/>
          <w:highlight w:val="none"/>
        </w:rPr>
        <w:t>分</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（1）资金到位率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财政资金及时足额到位，</w:t>
      </w:r>
      <w:r>
        <w:rPr>
          <w:rFonts w:hint="eastAsia" w:ascii="仿宋_GB2312" w:hAnsi="仿宋_GB2312" w:cs="仿宋_GB2312"/>
          <w:color w:val="auto"/>
          <w:highlight w:val="none"/>
        </w:rPr>
        <w:t>牵头单位能够及时足额按照合同约定将专项资金拨付给联合体单位，预算资金按计划进度执行。根据评分标准，该指标不扣分，得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（2）预算执行率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预算编制较为详细，项目资金支出总体能够按照预算执行，</w:t>
      </w:r>
      <w:r>
        <w:rPr>
          <w:rFonts w:hint="eastAsia" w:ascii="仿宋_GB2312" w:hAnsi="仿宋_GB2312" w:cs="仿宋_GB2312"/>
          <w:color w:val="auto"/>
          <w:highlight w:val="none"/>
        </w:rPr>
        <w:t>预算执行率为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根据评分标准，</w:t>
      </w:r>
      <w:r>
        <w:rPr>
          <w:rFonts w:hint="eastAsia" w:ascii="仿宋_GB2312" w:hAnsi="仿宋_GB2312" w:cs="仿宋_GB2312"/>
          <w:color w:val="auto"/>
          <w:highlight w:val="none"/>
        </w:rPr>
        <w:t>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（3）资金使用合规性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2.组织实施</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组织实施指标从管理制度健全性、制度执行有效性</w:t>
      </w:r>
      <w:r>
        <w:rPr>
          <w:rFonts w:hint="eastAsia" w:ascii="仿宋_GB2312" w:hAnsi="仿宋_GB2312" w:cs="仿宋_GB2312"/>
          <w:color w:val="auto"/>
          <w:highlight w:val="none"/>
          <w:lang w:eastAsia="zh-CN"/>
        </w:rPr>
        <w:t>、项目实施管理规范性</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个方面进行评价，权重分值</w:t>
      </w:r>
      <w:r>
        <w:rPr>
          <w:rFonts w:hint="eastAsia" w:ascii="仿宋_GB2312" w:hAnsi="仿宋_GB2312" w:cs="仿宋_GB2312"/>
          <w:color w:val="auto"/>
          <w:highlight w:val="none"/>
          <w:lang w:val="en-US" w:eastAsia="zh-CN"/>
        </w:rPr>
        <w:t>7</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7</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（1）管理制度健全性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rPr>
        <w:t>项目经费管理办法》等相关管理办法，对财政资金进行严格管理，做到专款专用。项目的执行符合《</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rPr>
        <w:t>项目管理办法》等相关法律法规和管理规定。根据评分标准，该指标不扣分，得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（2）制度执行有效性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对资金使用的合法合规性进行监督，年末对资金使用效果进行评</w:t>
      </w:r>
      <w:r>
        <w:rPr>
          <w:rFonts w:hint="eastAsia" w:ascii="仿宋_GB2312" w:hAnsi="仿宋_GB2312" w:cs="仿宋_GB2312"/>
          <w:color w:val="auto"/>
          <w:highlight w:val="none"/>
        </w:rPr>
        <w:t>价。项目管理、实施人员落实到位，有效按照计划执行。项目执行情况等资料齐全，项目相关手续完备，及时进行归档。根据评分标准，该指标不扣分，得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）项目实施管理规范性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①承接主体项目管理制度健全，项目实施符合相关项目管理规定；</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②建立了实施领导机制并建立了完善的实施方案；</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③建立了项目台账，台账记录全面、完整；</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④能接受和配合相关部门的监督检查及绩效评价</w:t>
      </w:r>
      <w:r>
        <w:rPr>
          <w:rFonts w:hint="eastAsia" w:ascii="仿宋_GB2312" w:hAnsi="仿宋_GB2312" w:cs="仿宋_GB2312"/>
          <w:color w:val="auto"/>
          <w:highlight w:val="none"/>
          <w:lang w:eastAsia="zh-CN"/>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根据评分标准，该指标不扣分，得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52"/>
        <w:keepNext w:val="0"/>
        <w:keepLines w:val="0"/>
        <w:spacing w:line="520" w:lineRule="exact"/>
        <w:ind w:left="560"/>
        <w:jc w:val="both"/>
        <w:rPr>
          <w:rFonts w:ascii="仿宋_GB2312" w:hAnsi="仿宋_GB2312" w:cs="仿宋_GB2312"/>
          <w:color w:val="auto"/>
          <w:highlight w:val="none"/>
        </w:rPr>
      </w:pPr>
      <w:bookmarkStart w:id="135" w:name="_Toc127054596"/>
      <w:bookmarkStart w:id="136" w:name="_Toc3716"/>
      <w:bookmarkStart w:id="137" w:name="_Toc15778_WPSOffice_Level2"/>
      <w:bookmarkStart w:id="138" w:name="_Toc10585"/>
      <w:bookmarkStart w:id="139" w:name="_Toc28910"/>
      <w:bookmarkStart w:id="140" w:name="_Toc10055_WPSOffice_Level2"/>
      <w:bookmarkStart w:id="141" w:name="_Toc12847"/>
      <w:bookmarkStart w:id="142" w:name="_Toc28623"/>
      <w:bookmarkStart w:id="143" w:name="_Toc19500"/>
      <w:bookmarkStart w:id="144" w:name="_Toc13773_WPSOffice_Level2"/>
      <w:r>
        <w:rPr>
          <w:rFonts w:hint="eastAsia" w:ascii="仿宋_GB2312" w:hAnsi="仿宋_GB2312" w:cs="仿宋_GB2312"/>
          <w:color w:val="auto"/>
          <w:highlight w:val="none"/>
        </w:rPr>
        <w:t>（三）项目产出情况</w:t>
      </w:r>
      <w:bookmarkEnd w:id="135"/>
      <w:bookmarkEnd w:id="136"/>
      <w:bookmarkEnd w:id="137"/>
      <w:bookmarkEnd w:id="138"/>
      <w:bookmarkEnd w:id="139"/>
      <w:bookmarkEnd w:id="140"/>
      <w:bookmarkEnd w:id="141"/>
      <w:bookmarkEnd w:id="142"/>
      <w:bookmarkEnd w:id="143"/>
      <w:bookmarkEnd w:id="14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产出类指标包括产出数量、产出质量、产出时效</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产出成本四方</w:t>
      </w:r>
      <w:r>
        <w:rPr>
          <w:rFonts w:hint="eastAsia" w:ascii="仿宋_GB2312" w:hAnsi="仿宋_GB2312" w:cs="仿宋_GB2312"/>
          <w:color w:val="auto"/>
          <w:highlight w:val="none"/>
        </w:rPr>
        <w:t>面的内容，由</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个三级指标构成，权重分为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w:t>
      </w:r>
      <w:r>
        <w:rPr>
          <w:rFonts w:hint="eastAsia" w:ascii="仿宋_GB2312" w:hAnsi="仿宋_GB2312" w:cs="仿宋_GB2312"/>
          <w:color w:val="auto"/>
          <w:highlight w:val="none"/>
        </w:rPr>
        <w:t>实际得分</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1.产出数量</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小麦机械收割和小麦秸秆打包补助面积年度指标值为大于等于44832.38亩，实际完成值为44832.38亩，完成预期目标，根据评分标准，该指标不扣分。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正播玉米收割补助面积年度指标值为大于等于2162.80亩，实际完成值为2162.8</w:t>
      </w:r>
      <w:r>
        <w:rPr>
          <w:rFonts w:hint="eastAsia" w:ascii="仿宋_GB2312" w:hAnsi="仿宋_GB2312" w:cs="仿宋_GB2312"/>
          <w:color w:val="auto"/>
          <w:highlight w:val="none"/>
          <w:lang w:val="en-US" w:eastAsia="zh-CN"/>
        </w:rPr>
        <w:t>0</w:t>
      </w:r>
      <w:r>
        <w:rPr>
          <w:rFonts w:hint="eastAsia" w:ascii="仿宋_GB2312" w:hAnsi="仿宋_GB2312" w:cs="仿宋_GB2312"/>
          <w:color w:val="auto"/>
          <w:highlight w:val="none"/>
        </w:rPr>
        <w:t>亩，完成预期目标，根据评分标准，该指标不扣分。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产出数量三级指标共计</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个，指标从实际完成情况方面进行评价，权重分值9分，实际得分9分。</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2.产出质量</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资金支付合规性年度指标值为等于100%，实际完成值为100%，完成预期目标，根据评分标准，该指标不扣分。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产出质量三级指标共</w:t>
      </w:r>
      <w:r>
        <w:rPr>
          <w:rFonts w:hint="eastAsia" w:ascii="仿宋_GB2312" w:hAnsi="仿宋_GB2312" w:cs="仿宋_GB2312"/>
          <w:color w:val="auto"/>
          <w:highlight w:val="none"/>
          <w:lang w:val="en-US" w:eastAsia="zh-CN"/>
        </w:rPr>
        <w:t>1</w:t>
      </w:r>
      <w:r>
        <w:rPr>
          <w:rFonts w:hint="eastAsia" w:ascii="仿宋_GB2312" w:hAnsi="仿宋_GB2312" w:cs="仿宋_GB2312"/>
          <w:color w:val="auto"/>
          <w:highlight w:val="none"/>
        </w:rPr>
        <w:t>个，指标从质量达标方面进行评价，权重分值9分，实际得分9分。</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3.产出时效</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资金支付完成时间年度指标值为2023年12月25日前，实际完成值为2023年12月22日，完成预期目标，根据评分标准，该指标不扣分。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产出时效三级指标共计</w:t>
      </w:r>
      <w:r>
        <w:rPr>
          <w:rFonts w:hint="eastAsia" w:ascii="仿宋_GB2312" w:hAnsi="仿宋_GB2312" w:cs="仿宋_GB2312"/>
          <w:color w:val="auto"/>
          <w:highlight w:val="none"/>
          <w:lang w:val="en-US" w:eastAsia="zh-CN"/>
        </w:rPr>
        <w:t>1</w:t>
      </w:r>
      <w:r>
        <w:rPr>
          <w:rFonts w:hint="eastAsia" w:ascii="仿宋_GB2312" w:hAnsi="仿宋_GB2312" w:cs="仿宋_GB2312"/>
          <w:color w:val="auto"/>
          <w:highlight w:val="none"/>
        </w:rPr>
        <w:t>个，指标从完成及时性方面进行评价，权重分值8分，实际得分8分。</w:t>
      </w:r>
    </w:p>
    <w:p>
      <w:pPr>
        <w:pStyle w:val="32"/>
        <w:spacing w:line="520" w:lineRule="exact"/>
        <w:ind w:firstLine="562"/>
        <w:rPr>
          <w:rFonts w:ascii="仿宋_GB2312" w:hAnsi="仿宋_GB2312" w:cs="仿宋_GB2312"/>
          <w:b/>
          <w:bCs/>
          <w:color w:val="auto"/>
          <w:highlight w:val="none"/>
        </w:rPr>
      </w:pPr>
      <w:bookmarkStart w:id="145" w:name="_Toc1244"/>
      <w:bookmarkStart w:id="146" w:name="_Toc21869"/>
      <w:bookmarkStart w:id="147" w:name="_Toc32262_WPSOffice_Level2"/>
      <w:bookmarkStart w:id="148" w:name="_Toc26374_WPSOffice_Level2"/>
      <w:bookmarkStart w:id="149" w:name="_Toc127054597"/>
      <w:bookmarkStart w:id="150" w:name="_Toc20923_WPSOffice_Level2"/>
      <w:bookmarkStart w:id="151" w:name="_Toc25428"/>
      <w:bookmarkStart w:id="152" w:name="_Toc17557"/>
      <w:bookmarkStart w:id="153" w:name="_Toc4222"/>
      <w:bookmarkStart w:id="154" w:name="_Toc646"/>
      <w:r>
        <w:rPr>
          <w:rFonts w:hint="eastAsia" w:ascii="仿宋_GB2312" w:hAnsi="仿宋_GB2312" w:cs="仿宋_GB2312"/>
          <w:color w:val="auto"/>
          <w:highlight w:val="none"/>
          <w:lang w:val="en-US" w:eastAsia="zh-CN"/>
        </w:rPr>
        <w:t>4</w:t>
      </w:r>
      <w:r>
        <w:rPr>
          <w:rFonts w:hint="eastAsia" w:ascii="仿宋_GB2312" w:hAnsi="仿宋_GB2312" w:cs="仿宋_GB2312"/>
          <w:b/>
          <w:bCs/>
          <w:color w:val="auto"/>
          <w:highlight w:val="none"/>
        </w:rPr>
        <w:t>.产出成本</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小麦机械收割和小麦秸秆打包机械费用补助标准年度指标值为小于等于34元/亩，实际完成值为34元/亩，完成预期目标，根据评分标准，该指标不扣分。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正播玉米收割机械费用补助标准年度指标值为小于等于35元/亩，实际完成值为35元/亩，完成预期目标，根据评分标准，该指标不扣分。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产出成本三级指标共计</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个，指标从成本节约情况进行评价，权重分值9分，实际得分9分。</w:t>
      </w:r>
    </w:p>
    <w:p>
      <w:pPr>
        <w:pStyle w:val="52"/>
        <w:keepNext w:val="0"/>
        <w:keepLines w:val="0"/>
        <w:spacing w:line="520" w:lineRule="exact"/>
        <w:ind w:left="560"/>
        <w:jc w:val="both"/>
        <w:rPr>
          <w:rFonts w:ascii="仿宋_GB2312" w:hAnsi="仿宋_GB2312" w:cs="仿宋_GB2312"/>
          <w:color w:val="auto"/>
          <w:highlight w:val="none"/>
        </w:rPr>
      </w:pP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四</w:t>
      </w:r>
      <w:r>
        <w:rPr>
          <w:rFonts w:hint="eastAsia" w:ascii="仿宋_GB2312" w:hAnsi="仿宋_GB2312" w:cs="仿宋_GB2312"/>
          <w:color w:val="auto"/>
          <w:highlight w:val="none"/>
        </w:rPr>
        <w:t>）项目效益情况</w:t>
      </w:r>
      <w:bookmarkEnd w:id="145"/>
      <w:bookmarkEnd w:id="146"/>
      <w:bookmarkEnd w:id="147"/>
      <w:bookmarkEnd w:id="148"/>
      <w:bookmarkEnd w:id="149"/>
      <w:bookmarkEnd w:id="150"/>
      <w:bookmarkEnd w:id="151"/>
      <w:bookmarkEnd w:id="152"/>
      <w:bookmarkEnd w:id="153"/>
      <w:bookmarkEnd w:id="154"/>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效益类指标包括项目效益1个方面的内容，由</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个</w:t>
      </w:r>
      <w:r>
        <w:rPr>
          <w:rFonts w:hint="eastAsia" w:ascii="仿宋_GB2312" w:hAnsi="仿宋_GB2312" w:cs="仿宋_GB2312"/>
          <w:color w:val="auto"/>
          <w:highlight w:val="none"/>
        </w:rPr>
        <w:t>三级指标构成，权重分为30分，实际得分</w:t>
      </w:r>
      <w:r>
        <w:rPr>
          <w:rFonts w:hint="eastAsia" w:ascii="仿宋_GB2312" w:hAnsi="仿宋_GB2312" w:cs="仿宋_GB2312"/>
          <w:color w:val="auto"/>
          <w:highlight w:val="none"/>
        </w:rPr>
        <w:t>30分</w:t>
      </w:r>
      <w:r>
        <w:rPr>
          <w:rFonts w:hint="eastAsia" w:ascii="仿宋_GB2312" w:hAnsi="仿宋_GB2312" w:cs="仿宋_GB2312"/>
          <w:color w:val="auto"/>
          <w:highlight w:val="none"/>
        </w:rPr>
        <w:t>，得分率为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1.项目效益</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（1）实施效益指标</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实施效益指标从项目实施所产生的效益</w:t>
      </w:r>
      <w:r>
        <w:rPr>
          <w:rFonts w:hint="eastAsia" w:ascii="仿宋_GB2312" w:hAnsi="仿宋_GB2312" w:cs="仿宋_GB2312"/>
          <w:color w:val="auto"/>
          <w:highlight w:val="none"/>
          <w:lang w:val="en-US" w:eastAsia="zh-CN"/>
        </w:rPr>
        <w:t>方面</w:t>
      </w:r>
      <w:r>
        <w:rPr>
          <w:rFonts w:hint="eastAsia" w:ascii="仿宋_GB2312" w:hAnsi="仿宋_GB2312" w:cs="仿宋_GB2312"/>
          <w:color w:val="auto"/>
          <w:highlight w:val="none"/>
        </w:rPr>
        <w:t>进行评价，权重分值</w:t>
      </w:r>
      <w:r>
        <w:rPr>
          <w:rFonts w:hint="eastAsia" w:ascii="仿宋_GB2312" w:hAnsi="仿宋_GB2312" w:cs="仿宋_GB2312"/>
          <w:color w:val="auto"/>
          <w:highlight w:val="none"/>
        </w:rPr>
        <w:t>20</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rPr>
        <w:t>20</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①项目实施的经济效益分析</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本项目无此指标。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②项目实施的社会效益分析</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小麦机械收割和小麦秸秆打包机械费用补助受益户数年度指标值为大于等于3806户，实际完成值为3806户，完成预期目标，根据评分标准，该指标不扣分。实际得10分。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正播玉米收割机械费用补助受益户数年度指标值为大于等于406户，实际完成值为406户，完成预期目标，根据评分标准，该指标不扣分。实际得10分。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③项目实施的生态效益分析</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本项目无此指标。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④项目实施的可持续影响分析</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本项目无此指标。</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（2）满意度指标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满意度指标完成情况分析从关注社会公众或服务对象对项目实施效果的满意程度方面进行评价，权重分值10分，实际得分10分。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个问题，本项目总体满意度的计算公式=∑</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个问题的满意度/</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评分规则设定为：满意度大于等于98%得10分；不足98%的大于等于8</w:t>
      </w:r>
      <w:r>
        <w:rPr>
          <w:rFonts w:hint="eastAsia" w:ascii="仿宋_GB2312" w:hAnsi="仿宋_GB2312" w:cs="仿宋_GB2312"/>
          <w:color w:val="auto"/>
          <w:highlight w:val="none"/>
          <w:lang w:val="en-US" w:eastAsia="zh-CN"/>
        </w:rPr>
        <w:t>0</w:t>
      </w:r>
      <w:r>
        <w:rPr>
          <w:rFonts w:hint="eastAsia" w:ascii="仿宋_GB2312" w:hAnsi="仿宋_GB2312" w:cs="仿宋_GB2312"/>
          <w:color w:val="auto"/>
          <w:highlight w:val="none"/>
        </w:rPr>
        <w:t>%得8分；不足</w:t>
      </w:r>
      <w:r>
        <w:rPr>
          <w:rFonts w:hint="eastAsia" w:ascii="仿宋_GB2312" w:hAnsi="仿宋_GB2312" w:cs="仿宋_GB2312"/>
          <w:color w:val="auto"/>
          <w:highlight w:val="none"/>
          <w:lang w:val="en-US" w:eastAsia="zh-CN"/>
        </w:rPr>
        <w:t>80</w:t>
      </w:r>
      <w:r>
        <w:rPr>
          <w:rFonts w:hint="eastAsia" w:ascii="仿宋_GB2312" w:hAnsi="仿宋_GB2312" w:cs="仿宋_GB2312"/>
          <w:color w:val="auto"/>
          <w:highlight w:val="none"/>
        </w:rPr>
        <w:t>%的大于等于</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0%得5分；不足</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0%的不得分。该指标得分=满意度*该指标权重分值。</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综合来看，受访对象的满意度分析结果为</w:t>
      </w:r>
      <w:r>
        <w:rPr>
          <w:rFonts w:hint="eastAsia" w:ascii="仿宋_GB2312" w:hAnsi="仿宋_GB2312" w:cs="仿宋_GB2312"/>
          <w:color w:val="auto"/>
          <w:highlight w:val="none"/>
          <w:lang w:val="en-US" w:eastAsia="zh-CN"/>
        </w:rPr>
        <w:t>100</w:t>
      </w:r>
      <w:r>
        <w:rPr>
          <w:rFonts w:hint="eastAsia" w:ascii="仿宋_GB2312" w:hAnsi="仿宋_GB2312" w:cs="仿宋_GB2312"/>
          <w:color w:val="auto"/>
          <w:highlight w:val="none"/>
        </w:rPr>
        <w:t>%</w:t>
      </w:r>
      <w:r>
        <w:rPr>
          <w:rFonts w:hint="eastAsia" w:ascii="仿宋_GB2312" w:hAnsi="仿宋_GB2312" w:cs="仿宋_GB2312"/>
          <w:color w:val="auto"/>
          <w:highlight w:val="none"/>
        </w:rPr>
        <w:t>。</w:t>
      </w:r>
      <w:r>
        <w:rPr>
          <w:rFonts w:hint="eastAsia" w:ascii="仿宋_GB2312" w:hAnsi="仿宋_GB2312" w:cs="仿宋_GB2312"/>
          <w:color w:val="auto"/>
          <w:highlight w:val="none"/>
        </w:rPr>
        <w:t>因此按满意度权重计分：</w:t>
      </w:r>
      <w:r>
        <w:rPr>
          <w:rFonts w:hint="eastAsia" w:ascii="仿宋_GB2312" w:hAnsi="仿宋_GB2312" w:cs="仿宋_GB2312"/>
          <w:color w:val="auto"/>
          <w:highlight w:val="none"/>
        </w:rPr>
        <w:t>100%*10分=10</w:t>
      </w:r>
      <w:r>
        <w:rPr>
          <w:rFonts w:hint="eastAsia" w:ascii="仿宋_GB2312" w:hAnsi="仿宋_GB2312" w:cs="仿宋_GB2312"/>
          <w:color w:val="auto"/>
          <w:highlight w:val="none"/>
        </w:rPr>
        <w:t>分，满意度指标实际得分</w:t>
      </w:r>
      <w:r>
        <w:rPr>
          <w:rFonts w:hint="eastAsia" w:ascii="仿宋_GB2312" w:hAnsi="仿宋_GB2312" w:cs="仿宋_GB2312"/>
          <w:color w:val="auto"/>
          <w:highlight w:val="none"/>
        </w:rPr>
        <w:t>10</w:t>
      </w:r>
      <w:r>
        <w:rPr>
          <w:rFonts w:hint="eastAsia" w:ascii="仿宋_GB2312" w:hAnsi="仿宋_GB2312" w:cs="仿宋_GB2312"/>
          <w:color w:val="auto"/>
          <w:highlight w:val="none"/>
        </w:rPr>
        <w:t>分。</w:t>
      </w:r>
    </w:p>
    <w:p>
      <w:pPr>
        <w:pStyle w:val="31"/>
        <w:keepNext w:val="0"/>
        <w:keepLines w:val="0"/>
        <w:spacing w:line="520" w:lineRule="exact"/>
        <w:ind w:firstLine="640" w:firstLineChars="200"/>
        <w:jc w:val="both"/>
        <w:rPr>
          <w:color w:val="auto"/>
          <w:highlight w:val="none"/>
        </w:rPr>
      </w:pPr>
      <w:bookmarkStart w:id="155" w:name="_Toc10463_WPSOffice_Level1"/>
      <w:bookmarkStart w:id="156" w:name="_Toc127054598"/>
      <w:bookmarkStart w:id="157" w:name="_Toc18449"/>
      <w:bookmarkStart w:id="158" w:name="_Toc15802"/>
      <w:bookmarkStart w:id="159" w:name="_Toc10934"/>
      <w:bookmarkStart w:id="160" w:name="_Toc17211"/>
      <w:bookmarkStart w:id="161" w:name="_Toc10930_WPSOffice_Level1"/>
      <w:bookmarkStart w:id="162" w:name="_Toc24849"/>
      <w:bookmarkStart w:id="163" w:name="_Toc2006_WPSOffice_Level1"/>
      <w:bookmarkStart w:id="164" w:name="_Toc24579"/>
      <w:r>
        <w:rPr>
          <w:rFonts w:hint="eastAsia"/>
          <w:color w:val="auto"/>
          <w:highlight w:val="none"/>
        </w:rPr>
        <w:t>五、预算执行进度与绩效指标偏差</w:t>
      </w:r>
      <w:bookmarkEnd w:id="155"/>
      <w:bookmarkEnd w:id="156"/>
      <w:bookmarkEnd w:id="157"/>
      <w:bookmarkEnd w:id="158"/>
      <w:bookmarkEnd w:id="159"/>
    </w:p>
    <w:p>
      <w:pPr>
        <w:pStyle w:val="32"/>
        <w:rPr>
          <w:rFonts w:hint="eastAsia" w:ascii="仿宋_GB2312" w:hAnsi="仿宋_GB2312" w:cs="仿宋_GB2312"/>
          <w:color w:val="auto"/>
          <w:sz w:val="28"/>
          <w:szCs w:val="28"/>
          <w:highlight w:val="none"/>
          <w:lang w:val="en-US" w:eastAsia="zh-CN"/>
        </w:rPr>
      </w:pPr>
      <w:bookmarkStart w:id="165" w:name="_Toc24452"/>
      <w:bookmarkStart w:id="166" w:name="_Toc19104_WPSOffice_Level1"/>
      <w:bookmarkStart w:id="167" w:name="_Toc12278"/>
      <w:bookmarkStart w:id="168" w:name="_Toc127054599"/>
      <w:bookmarkStart w:id="169" w:name="_Toc28884"/>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lang w:val="en-US" w:eastAsia="zh-CN"/>
        </w:rPr>
        <w:t>2023年岳普湖县农业生产社会化服务项目</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lang w:val="en-US" w:eastAsia="zh-CN"/>
        </w:rPr>
        <w:t>预算执行率与绩效指标完成率存在偏差，项目预算执行率为100%，项目绩效指标总体完成率100.2%，偏差率为0.2%。满意度指标实际完成值优于预期值，指标实际完成较预期出现正偏差。</w:t>
      </w:r>
    </w:p>
    <w:p>
      <w:pPr>
        <w:pStyle w:val="32"/>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偏差原因：首先，项目初期，对受益对象需求的理解存在偏差，导致预期值设置偏低。其次，项目在实际执行过程中有效地满足了项目预期目标，造成实际完成情况超出受益对象的期望。</w:t>
      </w:r>
    </w:p>
    <w:p>
      <w:pPr>
        <w:pStyle w:val="32"/>
        <w:rPr>
          <w:rFonts w:hint="eastAsia"/>
          <w:color w:val="auto"/>
          <w:highlight w:val="none"/>
          <w:lang w:val="en-US" w:eastAsia="zh-CN"/>
        </w:rPr>
      </w:pPr>
      <w:r>
        <w:rPr>
          <w:rFonts w:hint="eastAsia" w:ascii="仿宋_GB2312" w:hAnsi="仿宋_GB2312" w:cs="仿宋_GB2312"/>
          <w:color w:val="auto"/>
          <w:sz w:val="28"/>
          <w:szCs w:val="28"/>
          <w:highlight w:val="none"/>
          <w:lang w:val="en-US" w:eastAsia="zh-CN"/>
        </w:rPr>
        <w:t>改进措施：对偏差进行深入分析，充分了解受益对象的需求变化，明确造成实际完成值高于预期的具体原因，以便在未来的项目中更好地把握和预测。</w:t>
      </w:r>
    </w:p>
    <w:p>
      <w:pPr>
        <w:pStyle w:val="31"/>
        <w:keepNext w:val="0"/>
        <w:keepLines w:val="0"/>
        <w:spacing w:line="520" w:lineRule="exact"/>
        <w:ind w:firstLine="640" w:firstLineChars="200"/>
        <w:jc w:val="both"/>
        <w:rPr>
          <w:rFonts w:hint="default" w:eastAsia="黑体"/>
          <w:color w:val="auto"/>
          <w:highlight w:val="none"/>
          <w:lang w:val="en-US" w:eastAsia="zh-CN"/>
        </w:rPr>
      </w:pPr>
      <w:r>
        <w:rPr>
          <w:rFonts w:hint="eastAsia"/>
          <w:color w:val="auto"/>
          <w:highlight w:val="none"/>
        </w:rPr>
        <w:t>六、主要经验及做法、存在的问题及原因分析</w:t>
      </w:r>
      <w:bookmarkEnd w:id="160"/>
      <w:bookmarkEnd w:id="161"/>
      <w:bookmarkEnd w:id="162"/>
      <w:bookmarkEnd w:id="163"/>
      <w:bookmarkEnd w:id="164"/>
      <w:bookmarkEnd w:id="165"/>
      <w:bookmarkEnd w:id="166"/>
      <w:bookmarkEnd w:id="167"/>
      <w:bookmarkEnd w:id="168"/>
      <w:bookmarkEnd w:id="169"/>
      <w:r>
        <w:rPr>
          <w:rFonts w:hint="eastAsia"/>
          <w:color w:val="auto"/>
          <w:highlight w:val="none"/>
          <w:lang w:eastAsia="zh-CN"/>
        </w:rPr>
        <w:t>、</w:t>
      </w:r>
      <w:r>
        <w:rPr>
          <w:rFonts w:hint="eastAsia"/>
          <w:color w:val="auto"/>
          <w:highlight w:val="none"/>
          <w:lang w:val="en-US" w:eastAsia="zh-CN"/>
        </w:rPr>
        <w:t>下一步改进措施</w:t>
      </w:r>
    </w:p>
    <w:p>
      <w:pPr>
        <w:pStyle w:val="52"/>
        <w:keepNext w:val="0"/>
        <w:keepLines w:val="0"/>
        <w:spacing w:line="520" w:lineRule="exact"/>
        <w:ind w:left="560"/>
        <w:jc w:val="both"/>
        <w:rPr>
          <w:rFonts w:hint="default" w:ascii="仿宋_GB2312" w:hAnsi="仿宋_GB2312" w:eastAsia="仿宋_GB2312" w:cs="仿宋_GB2312"/>
          <w:color w:val="auto"/>
          <w:highlight w:val="none"/>
          <w:lang w:val="en-US" w:eastAsia="zh-CN"/>
        </w:rPr>
      </w:pPr>
      <w:bookmarkStart w:id="170" w:name="_Toc19554"/>
      <w:bookmarkStart w:id="171" w:name="_Toc12587"/>
      <w:bookmarkStart w:id="172" w:name="_Toc5442_WPSOffice_Level2"/>
      <w:bookmarkStart w:id="173" w:name="_Toc16717"/>
      <w:bookmarkStart w:id="174" w:name="_Toc18033"/>
      <w:bookmarkStart w:id="175" w:name="_Toc6806_WPSOffice_Level2"/>
      <w:bookmarkStart w:id="176" w:name="_Toc14218"/>
      <w:bookmarkStart w:id="177" w:name="_Toc28921"/>
      <w:bookmarkStart w:id="178" w:name="_Toc23806_WPSOffice_Level2"/>
      <w:bookmarkStart w:id="179" w:name="_Toc127054600"/>
      <w:r>
        <w:rPr>
          <w:rFonts w:hint="eastAsia" w:ascii="仿宋_GB2312" w:hAnsi="仿宋_GB2312" w:cs="仿宋_GB2312"/>
          <w:color w:val="auto"/>
          <w:highlight w:val="none"/>
        </w:rPr>
        <w:t>（一）主要经验及做法</w:t>
      </w:r>
      <w:bookmarkEnd w:id="170"/>
      <w:bookmarkEnd w:id="171"/>
      <w:bookmarkEnd w:id="172"/>
      <w:bookmarkEnd w:id="173"/>
      <w:bookmarkEnd w:id="174"/>
      <w:bookmarkEnd w:id="175"/>
      <w:bookmarkEnd w:id="176"/>
      <w:bookmarkEnd w:id="177"/>
      <w:bookmarkEnd w:id="178"/>
      <w:bookmarkEnd w:id="179"/>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1.制定详细计划。在项目开始之前，制定详细的项目计划，明确项目的目标、任务、时间表和预算。确保了所有相关人员清楚自己的责任，避免了项目实施过程中出现的混乱。</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lang w:val="en-US" w:eastAsia="zh-CN"/>
        </w:rPr>
        <w:t>2.聚焦服务小农户。以服务小农户为根本，把引领小农户进入现代农业发展轨道作为发展农业社会化服务的主要目标，把服务小农户作为政策支持的重点，着力解决小农户生产现代化难题，促进农民增产增收。</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lang w:val="en-US" w:eastAsia="zh-CN"/>
        </w:rPr>
        <w:t>3.坚持以农民主体、政策引导、政府依法监管为基本遵循。以保障合法种植者基本收益为出发点和落脚点，结合自治区切块下达资金总量，参照自治区、喀什地区统一规定的补贴对象、标准、条件和程序，制定补贴政策实施方案。</w:t>
      </w:r>
    </w:p>
    <w:p>
      <w:pPr>
        <w:pStyle w:val="52"/>
        <w:keepNext w:val="0"/>
        <w:keepLines w:val="0"/>
        <w:spacing w:line="520" w:lineRule="exact"/>
        <w:ind w:left="560"/>
        <w:jc w:val="both"/>
        <w:rPr>
          <w:rFonts w:ascii="仿宋_GB2312" w:hAnsi="仿宋_GB2312" w:cs="仿宋_GB2312"/>
          <w:color w:val="auto"/>
          <w:sz w:val="18"/>
          <w:szCs w:val="18"/>
          <w:highlight w:val="none"/>
        </w:rPr>
      </w:pPr>
      <w:bookmarkStart w:id="180" w:name="_Toc14455"/>
      <w:bookmarkStart w:id="181" w:name="_Toc2377_WPSOffice_Level2"/>
      <w:bookmarkStart w:id="182" w:name="_Toc127054601"/>
      <w:bookmarkStart w:id="183" w:name="_Toc22477"/>
      <w:bookmarkStart w:id="184" w:name="_Toc16479"/>
      <w:bookmarkStart w:id="185" w:name="_Toc29645_WPSOffice_Level2"/>
      <w:bookmarkStart w:id="186" w:name="_Toc30239"/>
      <w:bookmarkStart w:id="187" w:name="_Toc14241"/>
      <w:bookmarkStart w:id="188" w:name="_Toc27136_WPSOffice_Level2"/>
      <w:bookmarkStart w:id="189" w:name="_Toc22757"/>
      <w:r>
        <w:rPr>
          <w:rFonts w:hint="eastAsia" w:ascii="仿宋_GB2312" w:hAnsi="仿宋_GB2312" w:cs="仿宋_GB2312"/>
          <w:color w:val="auto"/>
          <w:highlight w:val="none"/>
        </w:rPr>
        <w:t>（二）存在</w:t>
      </w:r>
      <w:r>
        <w:rPr>
          <w:rFonts w:hint="eastAsia" w:ascii="仿宋_GB2312" w:hAnsi="仿宋_GB2312" w:cs="仿宋_GB2312"/>
          <w:color w:val="auto"/>
          <w:highlight w:val="none"/>
          <w:lang w:val="en-US" w:eastAsia="zh-CN"/>
        </w:rPr>
        <w:t>的</w:t>
      </w:r>
      <w:r>
        <w:rPr>
          <w:rFonts w:hint="eastAsia" w:ascii="仿宋_GB2312" w:hAnsi="仿宋_GB2312" w:cs="仿宋_GB2312"/>
          <w:color w:val="auto"/>
          <w:highlight w:val="none"/>
        </w:rPr>
        <w:t>问题及原因分析</w:t>
      </w:r>
      <w:bookmarkEnd w:id="180"/>
      <w:bookmarkEnd w:id="181"/>
      <w:bookmarkEnd w:id="182"/>
      <w:bookmarkEnd w:id="183"/>
      <w:bookmarkEnd w:id="184"/>
      <w:bookmarkEnd w:id="185"/>
      <w:bookmarkEnd w:id="186"/>
      <w:bookmarkEnd w:id="187"/>
      <w:bookmarkEnd w:id="188"/>
      <w:bookmarkEnd w:id="189"/>
    </w:p>
    <w:p>
      <w:pPr>
        <w:pStyle w:val="32"/>
        <w:spacing w:line="520" w:lineRule="exact"/>
        <w:ind w:firstLine="560"/>
        <w:rPr>
          <w:rFonts w:hint="eastAsia" w:ascii="仿宋_GB2312" w:hAnsi="仿宋_GB2312" w:cs="仿宋_GB2312"/>
          <w:color w:val="auto"/>
          <w:highlight w:val="none"/>
          <w:lang w:val="en-US" w:eastAsia="zh-CN"/>
        </w:rPr>
      </w:pPr>
      <w:bookmarkStart w:id="190" w:name="_Toc26233_WPSOffice_Level1"/>
      <w:bookmarkStart w:id="191" w:name="_Toc31693"/>
      <w:bookmarkStart w:id="192" w:name="_Toc12413_WPSOffice_Level1"/>
      <w:bookmarkStart w:id="193" w:name="_Toc127054602"/>
      <w:bookmarkStart w:id="194" w:name="_Toc8075"/>
      <w:bookmarkStart w:id="195" w:name="_Toc20951"/>
      <w:bookmarkStart w:id="196" w:name="_Toc25046"/>
      <w:bookmarkStart w:id="197" w:name="_Toc15650_WPSOffice_Level1"/>
      <w:bookmarkStart w:id="198" w:name="_Toc16264"/>
      <w:bookmarkStart w:id="199" w:name="_Toc13442"/>
      <w:r>
        <w:rPr>
          <w:rFonts w:hint="eastAsia" w:ascii="仿宋_GB2312" w:hAnsi="仿宋_GB2312" w:cs="仿宋_GB2312"/>
          <w:color w:val="auto"/>
          <w:highlight w:val="none"/>
          <w:lang w:val="en-US" w:eastAsia="zh-CN"/>
        </w:rPr>
        <w:t>1.服务内容不够全面</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当前的服务主要集中在种植、养殖等生产环节，对于农产品加工、市场营销、品牌建设等产后服务重视不足，难以满足现代农业的多元化需求。</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2.信息不对称与沟通不畅</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农民对服务需求与服务提供者之间存在信息不对称问题，农民难以获取全面、准确的服务信息，服务提供者也难以了解农民的真实需求。</w:t>
      </w:r>
    </w:p>
    <w:p>
      <w:pPr>
        <w:pStyle w:val="52"/>
        <w:keepNext w:val="0"/>
        <w:keepLines w:val="0"/>
        <w:spacing w:line="520" w:lineRule="exact"/>
        <w:ind w:left="560"/>
        <w:jc w:val="both"/>
        <w:rPr>
          <w:rFonts w:hint="eastAsia" w:ascii="仿宋_GB2312" w:hAnsi="仿宋_GB2312" w:cs="仿宋_GB2312"/>
          <w:color w:val="auto"/>
          <w:sz w:val="21"/>
          <w:szCs w:val="21"/>
          <w:highlight w:val="none"/>
          <w:lang w:val="en-US" w:eastAsia="zh-CN"/>
        </w:rPr>
      </w:pPr>
      <w:r>
        <w:rPr>
          <w:rFonts w:hint="eastAsia" w:ascii="仿宋_GB2312" w:hAnsi="仿宋_GB2312" w:cs="仿宋_GB2312"/>
          <w:color w:val="auto"/>
          <w:highlight w:val="none"/>
          <w:lang w:val="en-US" w:eastAsia="zh-CN"/>
        </w:rPr>
        <w:t>（三）下一步改进措施</w:t>
      </w:r>
    </w:p>
    <w:p>
      <w:pPr>
        <w:pStyle w:val="32"/>
        <w:spacing w:line="520" w:lineRule="exact"/>
        <w:ind w:firstLine="560"/>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cs="仿宋_GB2312"/>
          <w:color w:val="auto"/>
          <w:highlight w:val="none"/>
        </w:rPr>
        <w:t>1.拓展服务内容</w:t>
      </w:r>
      <w:r>
        <w:rPr>
          <w:rFonts w:hint="eastAsia" w:ascii="仿宋_GB2312" w:hAnsi="仿宋_GB2312" w:cs="仿宋_GB2312"/>
          <w:color w:val="auto"/>
          <w:highlight w:val="none"/>
        </w:rPr>
        <w:t>。</w:t>
      </w:r>
      <w:r>
        <w:rPr>
          <w:rFonts w:hint="eastAsia" w:ascii="仿宋_GB2312" w:hAnsi="仿宋_GB2312" w:cs="仿宋_GB2312"/>
          <w:color w:val="auto"/>
          <w:highlight w:val="none"/>
        </w:rPr>
        <w:t>除了传统的生产环节服务外，还应加强农产品加工、市场营销、品牌建设等产后服务，形成全产业链服务模式。</w:t>
      </w:r>
    </w:p>
    <w:p>
      <w:pPr>
        <w:pStyle w:val="32"/>
        <w:spacing w:line="520" w:lineRule="exact"/>
        <w:ind w:firstLine="560"/>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cs="仿宋_GB2312"/>
          <w:color w:val="auto"/>
          <w:kern w:val="0"/>
          <w:sz w:val="28"/>
          <w:szCs w:val="28"/>
          <w:highlight w:val="none"/>
          <w:lang w:val="en-US" w:eastAsia="zh-CN" w:bidi="ar-SA"/>
        </w:rPr>
        <w:t>2.加强信息沟通与共享</w:t>
      </w:r>
      <w:r>
        <w:rPr>
          <w:rFonts w:hint="eastAsia" w:ascii="仿宋_GB2312" w:hAnsi="仿宋_GB2312" w:cs="仿宋_GB2312"/>
          <w:color w:val="auto"/>
          <w:highlight w:val="none"/>
        </w:rPr>
        <w:t>。</w:t>
      </w:r>
      <w:r>
        <w:rPr>
          <w:rFonts w:hint="eastAsia" w:ascii="仿宋_GB2312" w:hAnsi="仿宋_GB2312" w:cs="仿宋_GB2312"/>
          <w:color w:val="auto"/>
          <w:kern w:val="0"/>
          <w:sz w:val="28"/>
          <w:szCs w:val="28"/>
          <w:highlight w:val="none"/>
          <w:lang w:val="en-US" w:eastAsia="zh-CN" w:bidi="ar-SA"/>
        </w:rPr>
        <w:t>建立农业社会化服务信息平台，实现服务供需信息的实时发布和共享，降低信息不对称程度，提高服务匹配效率。</w:t>
      </w:r>
    </w:p>
    <w:p>
      <w:pPr>
        <w:pStyle w:val="31"/>
        <w:keepNext w:val="0"/>
        <w:keepLines w:val="0"/>
        <w:spacing w:line="520" w:lineRule="exact"/>
        <w:ind w:firstLine="640" w:firstLineChars="200"/>
        <w:jc w:val="both"/>
        <w:rPr>
          <w:color w:val="auto"/>
          <w:sz w:val="21"/>
          <w:szCs w:val="21"/>
          <w:highlight w:val="none"/>
        </w:rPr>
      </w:pPr>
      <w:r>
        <w:rPr>
          <w:rFonts w:hint="eastAsia"/>
          <w:color w:val="auto"/>
          <w:highlight w:val="none"/>
        </w:rPr>
        <w:t>七、有关建议</w:t>
      </w:r>
      <w:bookmarkEnd w:id="190"/>
      <w:bookmarkEnd w:id="191"/>
      <w:bookmarkEnd w:id="192"/>
      <w:bookmarkEnd w:id="193"/>
      <w:bookmarkEnd w:id="194"/>
      <w:bookmarkEnd w:id="195"/>
      <w:bookmarkEnd w:id="196"/>
      <w:bookmarkEnd w:id="197"/>
      <w:bookmarkEnd w:id="198"/>
      <w:bookmarkEnd w:id="199"/>
    </w:p>
    <w:p>
      <w:pPr>
        <w:pStyle w:val="32"/>
        <w:spacing w:line="520" w:lineRule="exact"/>
        <w:ind w:firstLine="560"/>
        <w:rPr>
          <w:rFonts w:hint="default" w:ascii="仿宋_GB2312" w:hAnsi="仿宋_GB2312" w:cs="仿宋_GB2312"/>
          <w:color w:val="auto"/>
          <w:highlight w:val="none"/>
          <w:lang w:val="en-US" w:eastAsia="zh-CN"/>
        </w:rPr>
      </w:pPr>
      <w:bookmarkStart w:id="200" w:name="_Toc23889"/>
      <w:bookmarkStart w:id="201" w:name="_Toc17796"/>
      <w:bookmarkStart w:id="202" w:name="_Toc28208_WPSOffice_Level1"/>
      <w:bookmarkStart w:id="203" w:name="_Toc29208"/>
      <w:bookmarkStart w:id="204" w:name="_Toc7041"/>
      <w:bookmarkStart w:id="205" w:name="_Toc30131"/>
      <w:bookmarkStart w:id="206" w:name="_Toc20924_WPSOffice_Level1"/>
      <w:bookmarkStart w:id="207" w:name="_Toc127054603"/>
      <w:bookmarkStart w:id="208" w:name="_Toc5941_WPSOffice_Level1"/>
      <w:bookmarkStart w:id="209" w:name="_Toc6873"/>
      <w:r>
        <w:rPr>
          <w:rFonts w:hint="eastAsia" w:ascii="仿宋_GB2312" w:hAnsi="仿宋_GB2312" w:cs="仿宋_GB2312"/>
          <w:color w:val="auto"/>
          <w:highlight w:val="none"/>
        </w:rPr>
        <w:t>1.</w:t>
      </w:r>
      <w:r>
        <w:rPr>
          <w:rFonts w:hint="eastAsia" w:ascii="仿宋_GB2312" w:hAnsi="仿宋_GB2312" w:cs="仿宋_GB2312"/>
          <w:color w:val="auto"/>
          <w:highlight w:val="none"/>
          <w:lang w:val="en-US" w:eastAsia="zh-CN"/>
        </w:rPr>
        <w:t>建议加强政策支持与引导</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政府应加大对农业社会化服务的支持力度，通过制定优惠政策、提供资金支持等方式，引导更多社会资本投入农业社会化服务领域。</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2.建议加强人才培养与引进</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加大对农业社会化服务领域人才的培养和引进力度，提高服务人员的专业素质和技能水平，为农业社会化服务提供有力的人才保障。</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3.建议推动服务创新</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鼓励农业社会化服务提供者根据市场需求和农民需求变化，不断创新服务模式和服务内容，提高服务的针对性和实效性。</w:t>
      </w:r>
    </w:p>
    <w:p>
      <w:pPr>
        <w:pStyle w:val="31"/>
        <w:keepNext w:val="0"/>
        <w:keepLines w:val="0"/>
        <w:spacing w:line="520" w:lineRule="exact"/>
        <w:ind w:firstLine="640" w:firstLineChars="200"/>
        <w:jc w:val="both"/>
        <w:rPr>
          <w:color w:val="auto"/>
          <w:highlight w:val="none"/>
        </w:rPr>
      </w:pPr>
      <w:r>
        <w:rPr>
          <w:rFonts w:hint="eastAsia"/>
          <w:color w:val="auto"/>
          <w:highlight w:val="none"/>
        </w:rPr>
        <w:t>八、其他需要说明的问题</w:t>
      </w:r>
      <w:bookmarkEnd w:id="200"/>
      <w:bookmarkEnd w:id="201"/>
      <w:bookmarkEnd w:id="202"/>
      <w:bookmarkEnd w:id="203"/>
      <w:bookmarkEnd w:id="204"/>
      <w:bookmarkEnd w:id="205"/>
      <w:bookmarkEnd w:id="206"/>
      <w:bookmarkEnd w:id="207"/>
      <w:bookmarkEnd w:id="208"/>
      <w:bookmarkEnd w:id="209"/>
    </w:p>
    <w:p>
      <w:pPr>
        <w:pStyle w:val="32"/>
        <w:spacing w:line="520" w:lineRule="exact"/>
        <w:ind w:firstLine="560"/>
        <w:rPr>
          <w:color w:val="auto"/>
          <w:highlight w:val="none"/>
        </w:rPr>
      </w:pPr>
      <w:r>
        <w:rPr>
          <w:rFonts w:hint="eastAsia"/>
          <w:color w:val="auto"/>
          <w:highlight w:val="none"/>
        </w:rPr>
        <w:t>我单位对上述项目支出绩效评价报告内反映内容的真实性、完整性负责，接受上级部门及社会公众监督。</w:t>
      </w:r>
    </w:p>
    <w:p>
      <w:pPr>
        <w:pStyle w:val="32"/>
        <w:ind w:firstLine="560"/>
        <w:rPr>
          <w:color w:val="auto"/>
          <w:highlight w:val="none"/>
        </w:rPr>
      </w:pPr>
      <w:bookmarkStart w:id="210" w:name="_Toc30582_WPSOffice_Level1"/>
      <w:bookmarkStart w:id="211" w:name="_Toc25689_WPSOffice_Level1"/>
    </w:p>
    <w:p>
      <w:pPr>
        <w:pStyle w:val="32"/>
        <w:ind w:firstLine="560"/>
        <w:rPr>
          <w:color w:val="auto"/>
          <w:highlight w:val="none"/>
        </w:rPr>
      </w:pPr>
      <w:bookmarkStart w:id="212" w:name="_Toc13636_WPSOffice_Level1"/>
      <w:r>
        <w:rPr>
          <w:rFonts w:hint="eastAsia"/>
          <w:color w:val="auto"/>
          <w:highlight w:val="none"/>
        </w:rPr>
        <w:t>附件1：综合评分表</w:t>
      </w:r>
      <w:bookmarkEnd w:id="210"/>
      <w:bookmarkEnd w:id="211"/>
      <w:bookmarkEnd w:id="212"/>
    </w:p>
    <w:p>
      <w:pPr>
        <w:pStyle w:val="32"/>
        <w:ind w:firstLine="560"/>
        <w:rPr>
          <w:color w:val="auto"/>
          <w:highlight w:val="none"/>
        </w:rPr>
        <w:sectPr>
          <w:footerReference r:id="rId5" w:type="default"/>
          <w:pgSz w:w="11906" w:h="16838"/>
          <w:pgMar w:top="1440" w:right="1800" w:bottom="1440" w:left="1800" w:header="851" w:footer="992" w:gutter="0"/>
          <w:pgNumType w:fmt="numberInDash" w:start="1"/>
          <w:cols w:space="720" w:num="1"/>
          <w:docGrid w:type="lines" w:linePitch="312" w:charSpace="0"/>
        </w:sectPr>
      </w:pPr>
    </w:p>
    <w:p>
      <w:pPr>
        <w:pStyle w:val="32"/>
        <w:ind w:firstLine="0" w:firstLineChars="0"/>
        <w:rPr>
          <w:rFonts w:ascii="仿宋_GB2312" w:hAnsi="仿宋_GB2312" w:cs="仿宋_GB2312"/>
          <w:b/>
          <w:bCs/>
          <w:color w:val="auto"/>
          <w:highlight w:val="none"/>
        </w:rPr>
      </w:pPr>
      <w:bookmarkStart w:id="213" w:name="_Toc25446_WPSOffice_Level1"/>
      <w:bookmarkStart w:id="214" w:name="_Toc13717_WPSOffice_Level1"/>
      <w:bookmarkStart w:id="215" w:name="_Toc12641_WPSOffice_Level1"/>
      <w:r>
        <w:rPr>
          <w:rFonts w:hint="eastAsia" w:ascii="仿宋_GB2312" w:hAnsi="仿宋_GB2312" w:cs="仿宋_GB2312"/>
          <w:b/>
          <w:bCs/>
          <w:color w:val="auto"/>
          <w:highlight w:val="none"/>
        </w:rPr>
        <w:t>附件1：综合评分表</w:t>
      </w:r>
      <w:bookmarkEnd w:id="213"/>
      <w:bookmarkEnd w:id="214"/>
      <w:bookmarkEnd w:id="215"/>
    </w:p>
    <w:p>
      <w:pPr>
        <w:pStyle w:val="32"/>
        <w:ind w:firstLine="562"/>
        <w:jc w:val="center"/>
        <w:rPr>
          <w:b/>
          <w:bCs/>
          <w:color w:val="auto"/>
          <w:highlight w:val="none"/>
        </w:rPr>
      </w:pPr>
      <w:bookmarkStart w:id="216" w:name="_Toc12492_WPSOffice_Level2"/>
      <w:bookmarkStart w:id="217" w:name="_Toc26499_WPSOffice_Level2"/>
      <w:bookmarkStart w:id="218" w:name="_Toc30064_WPSOffice_Level1"/>
      <w:r>
        <w:rPr>
          <w:rFonts w:hint="eastAsia"/>
          <w:b/>
          <w:bCs/>
          <w:color w:val="auto"/>
          <w:highlight w:val="none"/>
          <w:lang w:eastAsia="zh-CN"/>
        </w:rPr>
        <w:t>2023年岳普湖县农业生产社会化服务项目</w:t>
      </w:r>
      <w:r>
        <w:rPr>
          <w:rFonts w:hint="eastAsia"/>
          <w:b/>
          <w:bCs/>
          <w:color w:val="auto"/>
          <w:highlight w:val="none"/>
        </w:rPr>
        <w:t>绩效评价指标体系及综合评分表</w:t>
      </w:r>
      <w:bookmarkEnd w:id="216"/>
      <w:bookmarkEnd w:id="217"/>
      <w:bookmarkEnd w:id="218"/>
    </w:p>
    <w:tbl>
      <w:tblPr>
        <w:tblStyle w:val="26"/>
        <w:tblW w:w="141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1321"/>
        <w:gridCol w:w="1005"/>
        <w:gridCol w:w="2315"/>
        <w:gridCol w:w="751"/>
        <w:gridCol w:w="6140"/>
        <w:gridCol w:w="717"/>
        <w:gridCol w:w="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blHeader/>
        </w:trPr>
        <w:tc>
          <w:tcPr>
            <w:tcW w:w="953" w:type="dxa"/>
            <w:shd w:val="clear" w:color="auto" w:fill="FFFFFF"/>
            <w:vAlign w:val="center"/>
          </w:tcPr>
          <w:p>
            <w:pPr>
              <w:ind w:firstLine="0" w:firstLineChars="0"/>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一级指标</w:t>
            </w:r>
          </w:p>
        </w:tc>
        <w:tc>
          <w:tcPr>
            <w:tcW w:w="1321"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二级指标</w:t>
            </w:r>
          </w:p>
        </w:tc>
        <w:tc>
          <w:tcPr>
            <w:tcW w:w="1005"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三级指标</w:t>
            </w:r>
          </w:p>
        </w:tc>
        <w:tc>
          <w:tcPr>
            <w:tcW w:w="2315"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指标解释</w:t>
            </w:r>
          </w:p>
        </w:tc>
        <w:tc>
          <w:tcPr>
            <w:tcW w:w="751"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分值</w:t>
            </w:r>
          </w:p>
        </w:tc>
        <w:tc>
          <w:tcPr>
            <w:tcW w:w="6140" w:type="dxa"/>
            <w:shd w:val="clear" w:color="auto" w:fill="FFFFFF"/>
            <w:vAlign w:val="center"/>
          </w:tcPr>
          <w:p>
            <w:pPr>
              <w:ind w:firstLine="361"/>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指标说明</w:t>
            </w:r>
          </w:p>
        </w:tc>
        <w:tc>
          <w:tcPr>
            <w:tcW w:w="717" w:type="dxa"/>
            <w:noWrap/>
            <w:vAlign w:val="center"/>
          </w:tcPr>
          <w:p>
            <w:pPr>
              <w:ind w:firstLine="0" w:firstLineChars="0"/>
              <w:jc w:val="center"/>
              <w:textAlignment w:val="center"/>
              <w:rPr>
                <w:rFonts w:ascii="宋体" w:hAnsi="宋体" w:eastAsia="宋体" w:cs="宋体"/>
                <w:b/>
                <w:bCs/>
                <w:color w:val="auto"/>
                <w:sz w:val="18"/>
                <w:szCs w:val="18"/>
                <w:highlight w:val="none"/>
              </w:rPr>
            </w:pPr>
            <w:r>
              <w:rPr>
                <w:rFonts w:hint="eastAsia" w:ascii="宋体" w:hAnsi="宋体" w:eastAsia="宋体" w:cs="宋体"/>
                <w:b/>
                <w:bCs/>
                <w:color w:val="auto"/>
                <w:kern w:val="0"/>
                <w:sz w:val="18"/>
                <w:szCs w:val="18"/>
                <w:highlight w:val="none"/>
                <w:lang w:bidi="ar"/>
              </w:rPr>
              <w:t>得分</w:t>
            </w:r>
          </w:p>
        </w:tc>
        <w:tc>
          <w:tcPr>
            <w:tcW w:w="963" w:type="dxa"/>
            <w:vAlign w:val="center"/>
          </w:tcPr>
          <w:p>
            <w:pPr>
              <w:ind w:firstLine="0" w:firstLineChars="0"/>
              <w:jc w:val="center"/>
              <w:textAlignment w:val="center"/>
              <w:rPr>
                <w:rFonts w:ascii="宋体" w:hAnsi="宋体" w:eastAsia="宋体" w:cs="宋体"/>
                <w:b/>
                <w:bCs/>
                <w:color w:val="auto"/>
                <w:sz w:val="18"/>
                <w:szCs w:val="18"/>
                <w:highlight w:val="none"/>
              </w:rPr>
            </w:pPr>
            <w:r>
              <w:rPr>
                <w:rFonts w:hint="eastAsia" w:ascii="宋体" w:hAnsi="宋体" w:eastAsia="宋体" w:cs="宋体"/>
                <w:b/>
                <w:bCs/>
                <w:color w:val="auto"/>
                <w:kern w:val="0"/>
                <w:sz w:val="18"/>
                <w:szCs w:val="18"/>
                <w:highlight w:val="none"/>
                <w:lang w:bidi="ar"/>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0" w:hRule="atLeast"/>
        </w:trPr>
        <w:tc>
          <w:tcPr>
            <w:tcW w:w="953"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决策</w:t>
            </w:r>
          </w:p>
          <w:p>
            <w:pPr>
              <w:ind w:firstLine="0" w:firstLineChars="0"/>
              <w:jc w:val="center"/>
              <w:textAlignment w:val="center"/>
              <w:rPr>
                <w:rFonts w:hint="default" w:eastAsia="仿宋_GB2312"/>
                <w:color w:val="auto"/>
                <w:highlight w:val="none"/>
                <w:lang w:val="en-US" w:eastAsia="zh-CN"/>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20分）</w:t>
            </w: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决策</w:t>
            </w:r>
          </w:p>
          <w:p>
            <w:pPr>
              <w:pStyle w:val="34"/>
              <w:jc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eastAsia="仿宋_GB2312" w:cs="仿宋_GB2312"/>
                <w:color w:val="auto"/>
                <w:kern w:val="0"/>
                <w:sz w:val="18"/>
                <w:szCs w:val="18"/>
                <w:highlight w:val="none"/>
                <w:lang w:eastAsia="zh-CN" w:bidi="ar"/>
              </w:rPr>
              <w:t>（</w:t>
            </w:r>
            <w:r>
              <w:rPr>
                <w:rFonts w:hint="eastAsia" w:ascii="仿宋_GB2312" w:hAnsi="仿宋_GB2312" w:eastAsia="仿宋_GB2312" w:cs="仿宋_GB2312"/>
                <w:color w:val="auto"/>
                <w:kern w:val="0"/>
                <w:sz w:val="18"/>
                <w:szCs w:val="18"/>
                <w:highlight w:val="none"/>
                <w:lang w:val="en-US" w:eastAsia="zh-CN" w:bidi="ar"/>
              </w:rPr>
              <w:t>20分）</w:t>
            </w: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项目立项</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8分）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立项依据充分性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项目立项是否符合法律法规、相关政策、发展规划以及部门职责，用以反映和考核项目立项依据情况。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5</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①项目立项符合国家法律法规、国民经济发展规划和相关政策（1分）；否则，不得分。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②项目立项符合行业发展规划和政策要求（1分）否则，不得分；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③项目立项与部门职责范围相符，属于部门履职所需（1分）否则，不得分；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④项目属于公共财政支持范围，符合中央、地方事权支出责任划分原则（1分）否则，不得分；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⑤项目与相关部门同类项目或部门内部相关项目重复（1分）否则，不得分。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5</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立项程序规范性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项目申请、设立过程是否符合相关要求，用以反映和考核项目立项的规范情况。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3</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①项目按照规定的程序申请设立（1分）否则，不得分；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②审批文件、材料符合相关要求（1分）否则，不得分；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③事前已经过必要的可行性研究、专家论证、风险评估、绩效评估、集体决策（1分）否则，不得分。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绩效目标</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5分）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绩效目标合理性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项目所设定的绩效目标是否依据充分，是否符合客观实际，用以反映和考核项目绩效目标与项目实施的相符情况。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3</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①项目有绩效目标，（1分），否则，不得分；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②项目绩效目标与实际工作内容具有相关性，预期产出效益和效果符合正常的业绩水平，否则，不得分（1分）；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③与预算确定的项目投资额或资金量相匹配，否则，不得分（1分）。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绩效指标明确性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依据绩效目标设定的绩效指标是否清晰、细化、可衡量等，用以反映和考核项目绩效目标的明细化情况。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①项目绩效目标细化分解为具体的绩效指标，（1分）否则，不得分；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②通过清晰、可衡量的指标值予以体现，与项目目标任务数或计划数相对应，否则，不得分（1分）。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3"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资金投入</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7分）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预算编制科学性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项目预算编制是否经过科学论证、有明确标准，资金额度与年度目标是否相适应，用以反映和考核项目预算编制的科学性、合理性情况。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5</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①预算编制经过科学论证（1分）否则，不得分；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②预算内容与项目内容匹配（1.5分）否则，不得分；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③预算额度测算依据充分，按照标准编制（1.5分）否则，不得分；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④预算确定的项目投资额或资金量与工作任务相匹配（1分）否则，不得分。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5</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资金分配合理性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项目预算资金分配是否有测算依据，与补助单位或地方实际是否相适应，用以反映和考核项目预算资金分配的科学性、合理性情况。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①预算资金分配依据充分（1分）否则，不得分；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②资金分配额度合理，与项目单位或地方实际相适应（1分）否则，不得分。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过程</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15分）</w:t>
            </w: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过程</w:t>
            </w:r>
          </w:p>
          <w:p>
            <w:pPr>
              <w:pStyle w:val="34"/>
              <w:jc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eastAsia="仿宋_GB2312" w:cs="仿宋_GB2312"/>
                <w:color w:val="auto"/>
                <w:kern w:val="0"/>
                <w:sz w:val="18"/>
                <w:szCs w:val="18"/>
                <w:highlight w:val="none"/>
                <w:lang w:eastAsia="zh-CN" w:bidi="ar"/>
              </w:rPr>
              <w:t>（</w:t>
            </w:r>
            <w:r>
              <w:rPr>
                <w:rFonts w:hint="eastAsia" w:ascii="仿宋_GB2312" w:hAnsi="仿宋_GB2312" w:eastAsia="仿宋_GB2312" w:cs="仿宋_GB2312"/>
                <w:color w:val="auto"/>
                <w:kern w:val="0"/>
                <w:sz w:val="18"/>
                <w:szCs w:val="18"/>
                <w:highlight w:val="none"/>
                <w:lang w:val="en-US" w:eastAsia="zh-CN" w:bidi="ar"/>
              </w:rPr>
              <w:t>15分）</w:t>
            </w: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资金管理</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8分）</w:t>
            </w:r>
          </w:p>
        </w:tc>
        <w:tc>
          <w:tcPr>
            <w:tcW w:w="1005" w:type="dxa"/>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资金到位率</w:t>
            </w:r>
          </w:p>
        </w:tc>
        <w:tc>
          <w:tcPr>
            <w:tcW w:w="2315"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实际到位资金与预算资金的比率，用以反映和考核资金落实情况对项目实施的总体保障程度。</w:t>
            </w:r>
          </w:p>
        </w:tc>
        <w:tc>
          <w:tcPr>
            <w:tcW w:w="751" w:type="dxa"/>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val="en-US" w:eastAsia="zh-CN"/>
              </w:rPr>
              <w:t>3</w:t>
            </w:r>
          </w:p>
        </w:tc>
        <w:tc>
          <w:tcPr>
            <w:tcW w:w="6140"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①资金到位率为100%的，得满分。（</w:t>
            </w:r>
            <w:r>
              <w:rPr>
                <w:rFonts w:hint="eastAsia" w:ascii="仿宋_GB2312" w:hAnsi="仿宋_GB2312" w:cs="仿宋_GB2312"/>
                <w:color w:val="auto"/>
                <w:kern w:val="0"/>
                <w:sz w:val="18"/>
                <w:szCs w:val="18"/>
                <w:highlight w:val="none"/>
                <w:lang w:val="en-US" w:eastAsia="zh-CN" w:bidi="ar"/>
              </w:rPr>
              <w:t>3</w:t>
            </w:r>
            <w:r>
              <w:rPr>
                <w:rFonts w:hint="eastAsia" w:ascii="仿宋_GB2312" w:hAnsi="仿宋_GB2312" w:cs="仿宋_GB2312"/>
                <w:color w:val="auto"/>
                <w:kern w:val="0"/>
                <w:sz w:val="18"/>
                <w:szCs w:val="18"/>
                <w:highlight w:val="none"/>
                <w:lang w:bidi="ar"/>
              </w:rPr>
              <w:t xml:space="preserve">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②资金未全额到位的，按照满分乘以到位率计算得分。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（资金到位率=（实际到位资金/预算资金）×100% ）。</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预算执行率</w:t>
            </w:r>
          </w:p>
        </w:tc>
        <w:tc>
          <w:tcPr>
            <w:tcW w:w="2315"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项目预算资金是否按照计划执行，用以反映或考核项目预算执行情况</w:t>
            </w:r>
            <w:r>
              <w:rPr>
                <w:rFonts w:hint="eastAsia" w:ascii="仿宋_GB2312" w:hAnsi="仿宋_GB2312" w:cs="仿宋_GB2312"/>
                <w:color w:val="auto"/>
                <w:kern w:val="0"/>
                <w:sz w:val="18"/>
                <w:szCs w:val="18"/>
                <w:highlight w:val="none"/>
                <w:lang w:bidi="ar"/>
              </w:rPr>
              <w:t>。</w:t>
            </w:r>
          </w:p>
        </w:tc>
        <w:tc>
          <w:tcPr>
            <w:tcW w:w="751" w:type="dxa"/>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3</w:t>
            </w:r>
          </w:p>
        </w:tc>
        <w:tc>
          <w:tcPr>
            <w:tcW w:w="6140"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①预算执行率为100%的，得满分（</w:t>
            </w:r>
            <w:r>
              <w:rPr>
                <w:rFonts w:hint="eastAsia" w:ascii="仿宋_GB2312" w:hAnsi="仿宋_GB2312" w:cs="仿宋_GB2312"/>
                <w:color w:val="auto"/>
                <w:kern w:val="0"/>
                <w:sz w:val="18"/>
                <w:szCs w:val="18"/>
                <w:highlight w:val="none"/>
                <w:lang w:val="en-US" w:eastAsia="zh-CN" w:bidi="ar"/>
              </w:rPr>
              <w:t>3</w:t>
            </w:r>
            <w:r>
              <w:rPr>
                <w:rFonts w:hint="eastAsia" w:ascii="仿宋_GB2312" w:hAnsi="仿宋_GB2312" w:cs="仿宋_GB2312"/>
                <w:color w:val="auto"/>
                <w:kern w:val="0"/>
                <w:sz w:val="18"/>
                <w:szCs w:val="18"/>
                <w:highlight w:val="none"/>
                <w:lang w:bidi="ar"/>
              </w:rPr>
              <w:t>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eastAsia="zh-CN" w:bidi="ar"/>
              </w:rPr>
              <w:t>②资金未执行完毕的，按照满分乘以执行率计算得分。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（预算执行率=（实际支出资金/实际到位资金）×100%）。</w:t>
            </w:r>
          </w:p>
        </w:tc>
        <w:tc>
          <w:tcPr>
            <w:tcW w:w="717" w:type="dxa"/>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资金使用合规性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项目资金使用是否符合相关的财务管理制度规定，用以反映和考核项目资金的规范运行情况。</w:t>
            </w:r>
          </w:p>
        </w:tc>
        <w:tc>
          <w:tcPr>
            <w:tcW w:w="751" w:type="dxa"/>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①符合国家财经法规和财务管理制度以及有关专项资金管理办法的规定（</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②资金的拨付有完整的审批程序和手续（</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③符合项目预算批复或合同规定的用途（</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④不存在截留、挤占、挪用、虚列支出等情况（</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组织实施</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7分）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管理制度健全性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项目实施单位的财务和业务管理制度是否健全，用以反映和考核财务和业务管理制度对项目顺利实施的保障情况。</w:t>
            </w:r>
          </w:p>
        </w:tc>
        <w:tc>
          <w:tcPr>
            <w:tcW w:w="751" w:type="dxa"/>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①已制定或具有相应的财务和业务管理制度（</w:t>
            </w:r>
            <w:r>
              <w:rPr>
                <w:rFonts w:hint="eastAsia" w:ascii="仿宋_GB2312" w:hAnsi="仿宋_GB2312" w:cs="仿宋_GB2312"/>
                <w:color w:val="auto"/>
                <w:kern w:val="0"/>
                <w:sz w:val="18"/>
                <w:szCs w:val="18"/>
                <w:highlight w:val="none"/>
                <w:lang w:val="en-US" w:eastAsia="zh-CN" w:bidi="ar"/>
              </w:rPr>
              <w:t>1</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②财务和业务管理制度合法、合规、完整（</w:t>
            </w:r>
            <w:r>
              <w:rPr>
                <w:rFonts w:hint="eastAsia" w:ascii="仿宋_GB2312" w:hAnsi="仿宋_GB2312" w:cs="仿宋_GB2312"/>
                <w:color w:val="auto"/>
                <w:kern w:val="0"/>
                <w:sz w:val="18"/>
                <w:szCs w:val="18"/>
                <w:highlight w:val="none"/>
                <w:lang w:val="en-US" w:eastAsia="zh-CN" w:bidi="ar"/>
              </w:rPr>
              <w:t>1</w:t>
            </w:r>
            <w:r>
              <w:rPr>
                <w:rFonts w:hint="eastAsia" w:ascii="仿宋_GB2312" w:hAnsi="仿宋_GB2312" w:cs="仿宋_GB2312"/>
                <w:color w:val="auto"/>
                <w:kern w:val="0"/>
                <w:sz w:val="18"/>
                <w:szCs w:val="18"/>
                <w:highlight w:val="none"/>
                <w:lang w:bidi="ar"/>
              </w:rPr>
              <w:t>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bidi="ar"/>
              </w:rPr>
              <w:t>制度执行有效性</w:t>
            </w:r>
          </w:p>
        </w:tc>
        <w:tc>
          <w:tcPr>
            <w:tcW w:w="231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项目实施是否符合相关管理规定，用以反映和考核相关管理制度的有效执行情况。</w:t>
            </w:r>
          </w:p>
        </w:tc>
        <w:tc>
          <w:tcPr>
            <w:tcW w:w="751" w:type="dxa"/>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2</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①遵守相关法律法规和相关管理规定（</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②项目调整及支出调整手续完备（</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③项目合同书、验收报告、技术鉴定等资料齐全并及时归档（</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④项目实施的人员条件、场地设备、信息支撑等落实到位（</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w:t>
            </w:r>
          </w:p>
        </w:tc>
        <w:tc>
          <w:tcPr>
            <w:tcW w:w="963" w:type="dxa"/>
            <w:vAlign w:val="center"/>
          </w:tcPr>
          <w:p>
            <w:pPr>
              <w:ind w:firstLine="360" w:firstLineChars="20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9"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项目实施管理规范性</w:t>
            </w:r>
          </w:p>
        </w:tc>
        <w:tc>
          <w:tcPr>
            <w:tcW w:w="2315" w:type="dxa"/>
            <w:shd w:val="clear" w:color="auto" w:fill="FFFFFF"/>
            <w:vAlign w:val="center"/>
          </w:tcPr>
          <w:p>
            <w:pPr>
              <w:ind w:firstLine="0" w:firstLineChars="0"/>
              <w:jc w:val="left"/>
              <w:textAlignment w:val="center"/>
              <w:rPr>
                <w:rFonts w:hint="eastAsia" w:ascii="仿宋_GB2312" w:hAnsi="仿宋_GB2312" w:eastAsia="仿宋_GB2312" w:cs="仿宋_GB2312"/>
                <w:color w:val="auto"/>
                <w:kern w:val="0"/>
                <w:sz w:val="18"/>
                <w:szCs w:val="18"/>
                <w:highlight w:val="none"/>
                <w:lang w:eastAsia="zh-CN" w:bidi="ar"/>
              </w:rPr>
            </w:pPr>
            <w:r>
              <w:rPr>
                <w:rFonts w:hint="eastAsia" w:ascii="仿宋_GB2312" w:hAnsi="仿宋_GB2312" w:cs="仿宋_GB2312"/>
                <w:color w:val="auto"/>
                <w:kern w:val="0"/>
                <w:sz w:val="18"/>
                <w:szCs w:val="18"/>
                <w:highlight w:val="none"/>
                <w:lang w:bidi="ar"/>
              </w:rPr>
              <w:t>承接主体项目管理制度是否健全，项目实施是否符合相关项目管理规定；是否建立了实施领导机制并建立了完善的实施方案，是否建立了项目台账，台账记录是否全面、完整，是否能接受和配合相关部门的监督检查及绩效评价，用以反映和考核承接主体对项目规范管理的执行情况</w:t>
            </w:r>
            <w:r>
              <w:rPr>
                <w:rFonts w:hint="eastAsia" w:ascii="仿宋_GB2312" w:hAnsi="仿宋_GB2312" w:cs="仿宋_GB2312"/>
                <w:color w:val="auto"/>
                <w:kern w:val="0"/>
                <w:sz w:val="18"/>
                <w:szCs w:val="18"/>
                <w:highlight w:val="none"/>
                <w:lang w:eastAsia="zh-CN" w:bidi="ar"/>
              </w:rPr>
              <w:t>。</w:t>
            </w:r>
          </w:p>
        </w:tc>
        <w:tc>
          <w:tcPr>
            <w:tcW w:w="751" w:type="dxa"/>
            <w:shd w:val="clear" w:color="auto" w:fill="FFFFFF"/>
            <w:vAlign w:val="center"/>
          </w:tcPr>
          <w:p>
            <w:pPr>
              <w:ind w:firstLine="0" w:firstLineChars="0"/>
              <w:jc w:val="center"/>
              <w:textAlignment w:val="center"/>
              <w:rPr>
                <w:rFonts w:hint="default"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3</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①承接主体项目管理制度健全，项目实施符合相关项目管理规定</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0.5分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p>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②建立了实施领导机制并建立了完善的实施方案</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1分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p>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③建立了项目台账，台账记录全面、完整</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1分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p>
          <w:p>
            <w:pPr>
              <w:ind w:firstLine="0" w:firstLineChars="0"/>
              <w:jc w:val="left"/>
              <w:textAlignment w:val="center"/>
              <w:rPr>
                <w:rFonts w:hint="eastAsia" w:ascii="仿宋_GB2312" w:hAnsi="仿宋_GB2312" w:eastAsia="仿宋_GB2312" w:cs="仿宋_GB2312"/>
                <w:color w:val="auto"/>
                <w:kern w:val="0"/>
                <w:sz w:val="18"/>
                <w:szCs w:val="18"/>
                <w:highlight w:val="none"/>
                <w:lang w:eastAsia="zh-CN" w:bidi="ar"/>
              </w:rPr>
            </w:pPr>
            <w:r>
              <w:rPr>
                <w:rFonts w:hint="eastAsia" w:ascii="仿宋_GB2312" w:hAnsi="仿宋_GB2312" w:cs="仿宋_GB2312"/>
                <w:color w:val="auto"/>
                <w:kern w:val="0"/>
                <w:sz w:val="18"/>
                <w:szCs w:val="18"/>
                <w:highlight w:val="none"/>
                <w:lang w:bidi="ar"/>
              </w:rPr>
              <w:t>④能接受和配合相关部门的监督检查及绩效评价</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0.5分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r>
              <w:rPr>
                <w:rFonts w:hint="eastAsia" w:ascii="仿宋_GB2312" w:hAnsi="仿宋_GB2312" w:cs="仿宋_GB2312"/>
                <w:color w:val="auto"/>
                <w:kern w:val="0"/>
                <w:sz w:val="18"/>
                <w:szCs w:val="18"/>
                <w:highlight w:val="none"/>
                <w:lang w:eastAsia="zh-CN" w:bidi="ar"/>
              </w:rPr>
              <w:t>。</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53"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产出</w:t>
            </w:r>
          </w:p>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35分）</w:t>
            </w: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产出</w:t>
            </w:r>
          </w:p>
          <w:p>
            <w:pPr>
              <w:ind w:firstLine="0" w:firstLineChars="0"/>
              <w:jc w:val="center"/>
              <w:textAlignment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35分）</w:t>
            </w:r>
          </w:p>
        </w:tc>
        <w:tc>
          <w:tcPr>
            <w:tcW w:w="1321"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产出数量</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小麦机械收割和小麦秸秆打包补助面积</w:t>
            </w:r>
          </w:p>
        </w:tc>
        <w:tc>
          <w:tcPr>
            <w:tcW w:w="2315" w:type="dxa"/>
            <w:vMerge w:val="restart"/>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项目实施的实际产出数与计划产出数的比率，用以反映和考核项目产出数量目标的实现程度</w:t>
            </w:r>
            <w:r>
              <w:rPr>
                <w:rFonts w:hint="eastAsia" w:ascii="仿宋_GB2312" w:hAnsi="仿宋_GB2312" w:cs="仿宋_GB2312"/>
                <w:color w:val="auto"/>
                <w:kern w:val="0"/>
                <w:sz w:val="18"/>
                <w:szCs w:val="18"/>
                <w:highlight w:val="none"/>
                <w:lang w:bidi="ar"/>
              </w:rPr>
              <w:t>。</w:t>
            </w:r>
          </w:p>
        </w:tc>
        <w:tc>
          <w:tcPr>
            <w:tcW w:w="751" w:type="dxa"/>
            <w:vMerge w:val="restart"/>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9</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小麦机械收割和小麦秸秆打包补助面积年度指标值为大于等于44832.38亩，实际完成值为44832.38亩，完成预期目标，根据评分标准，该指标不扣分。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9</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53" w:type="dxa"/>
            <w:vMerge w:val="continue"/>
            <w:shd w:val="clear" w:color="auto" w:fill="FFFFFF"/>
            <w:vAlign w:val="center"/>
          </w:tcPr>
          <w:p>
            <w:pPr>
              <w:ind w:firstLine="0" w:firstLineChars="0"/>
              <w:jc w:val="center"/>
              <w:textAlignment w:val="center"/>
              <w:rPr>
                <w:rFonts w:hint="eastAsia" w:ascii="仿宋_GB2312" w:hAnsi="仿宋_GB2312" w:cs="仿宋_GB2312"/>
                <w:color w:val="auto"/>
                <w:sz w:val="18"/>
                <w:szCs w:val="18"/>
                <w:highlight w:val="none"/>
                <w:lang w:eastAsia="zh-CN"/>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正播玉米收割补助面积</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正播玉米收割补助面积年度指标值为大于等于2162.80亩，实际完成值为2162.8亩，完成预期目标，根据评分标准，该指标不扣分。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产出质量</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资金支付合规性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项目完成的质量达标产出数与实际产出数的比率，用以反映和考核项目产出质量目标的实现程度。</w:t>
            </w:r>
          </w:p>
        </w:tc>
        <w:tc>
          <w:tcPr>
            <w:tcW w:w="751" w:type="dxa"/>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9</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资金支付合规性年度指标值为等于100%，实际完成值为100%，完成预期目标，根据评分标准，该指标不扣分。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9</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产出时效</w:t>
            </w:r>
          </w:p>
        </w:tc>
        <w:tc>
          <w:tcPr>
            <w:tcW w:w="1005"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资金支付完成时间</w:t>
            </w:r>
          </w:p>
        </w:tc>
        <w:tc>
          <w:tcPr>
            <w:tcW w:w="2315"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项目实际完成时间与计划完成时间的比较，用以反映和考核项目产出时效目标的实现程度。</w:t>
            </w:r>
          </w:p>
        </w:tc>
        <w:tc>
          <w:tcPr>
            <w:tcW w:w="751" w:type="dxa"/>
            <w:vAlign w:val="center"/>
          </w:tcPr>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val="en-US" w:eastAsia="zh-CN"/>
              </w:rPr>
              <w:t>8</w:t>
            </w:r>
          </w:p>
        </w:tc>
        <w:tc>
          <w:tcPr>
            <w:tcW w:w="6140"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资金支付完成时间年度指标值为2023年12月25日前，实际完成值为2023年12月22日，完成预期目标，根据评分标准，该指标不扣分。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8</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产出成本</w:t>
            </w: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产出成本</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小麦机械收割和小麦秸秆打包机械费用补助标准</w:t>
            </w:r>
          </w:p>
        </w:tc>
        <w:tc>
          <w:tcPr>
            <w:tcW w:w="2315" w:type="dxa"/>
            <w:vMerge w:val="restart"/>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完成项目计划工作目标的实际节约成本与计划成本的比率，用以反映和考核项目的成本节约程度。</w:t>
            </w:r>
          </w:p>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完成项目计划工作目标的实际节约成本与计划成本的比率，用以反映和考核项目的成本节约程度。</w:t>
            </w:r>
          </w:p>
        </w:tc>
        <w:tc>
          <w:tcPr>
            <w:tcW w:w="75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9</w:t>
            </w: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9</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小麦机械收割和小麦秸秆打包机械费用补助标准年度指标值为小于等于34元/亩，实际完成值为34元/亩，完成预期目标，根据评分标准，该指标不扣分。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9</w:t>
            </w: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9</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正播玉米收割机械费用补助标准</w:t>
            </w:r>
          </w:p>
        </w:tc>
        <w:tc>
          <w:tcPr>
            <w:tcW w:w="2315" w:type="dxa"/>
            <w:vMerge w:val="continue"/>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p>
        </w:tc>
        <w:tc>
          <w:tcPr>
            <w:tcW w:w="751" w:type="dxa"/>
            <w:vMerge w:val="continue"/>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正播玉米收割机械费用补助标准年度指标值为小于等于35元/亩，实际完成值为35元/亩，完成预期目标，根据评分标准，该指标不扣分。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953"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效益</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30分）</w:t>
            </w:r>
          </w:p>
        </w:tc>
        <w:tc>
          <w:tcPr>
            <w:tcW w:w="1321"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项目效益</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小麦机械收割和小麦秸秆打包机械费用补助受益户数</w:t>
            </w:r>
          </w:p>
        </w:tc>
        <w:tc>
          <w:tcPr>
            <w:tcW w:w="2315" w:type="dxa"/>
            <w:vMerge w:val="restart"/>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项目实施所产生的</w:t>
            </w:r>
            <w:r>
              <w:rPr>
                <w:rFonts w:hint="eastAsia" w:ascii="仿宋_GB2312" w:hAnsi="仿宋_GB2312" w:cs="仿宋_GB2312"/>
                <w:color w:val="auto"/>
                <w:kern w:val="0"/>
                <w:sz w:val="18"/>
                <w:szCs w:val="18"/>
                <w:highlight w:val="none"/>
                <w:lang w:val="en-US" w:eastAsia="zh-CN" w:bidi="ar"/>
              </w:rPr>
              <w:t>社会</w:t>
            </w:r>
            <w:r>
              <w:rPr>
                <w:rFonts w:hint="eastAsia" w:ascii="仿宋_GB2312" w:hAnsi="仿宋_GB2312" w:cs="仿宋_GB2312"/>
                <w:color w:val="auto"/>
                <w:kern w:val="0"/>
                <w:sz w:val="18"/>
                <w:szCs w:val="18"/>
                <w:highlight w:val="none"/>
                <w:lang w:bidi="ar"/>
              </w:rPr>
              <w:t>效益。</w:t>
            </w:r>
          </w:p>
        </w:tc>
        <w:tc>
          <w:tcPr>
            <w:tcW w:w="751" w:type="dxa"/>
            <w:vMerge w:val="restart"/>
            <w:shd w:val="clear" w:color="auto" w:fill="FFFFFF"/>
            <w:vAlign w:val="center"/>
          </w:tcPr>
          <w:p>
            <w:pPr>
              <w:ind w:firstLine="180" w:firstLineChars="10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20</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小麦机械收割和小麦秸秆打包机械费用补助受益户数年度指标值为大于等于3806户，实际完成值为3806户，完成预期目标，根据评分标准，该指标不扣分。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953"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eastAsia="zh-CN" w:bidi="ar"/>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正播玉米收割机械费用补助受益户数</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180" w:firstLineChars="100"/>
              <w:jc w:val="center"/>
              <w:textAlignment w:val="center"/>
              <w:rPr>
                <w:rFonts w:hint="eastAsia" w:ascii="仿宋_GB2312" w:hAnsi="仿宋_GB2312" w:cs="仿宋_GB2312"/>
                <w:color w:val="auto"/>
                <w:kern w:val="0"/>
                <w:sz w:val="18"/>
                <w:szCs w:val="18"/>
                <w:highlight w:val="none"/>
                <w:lang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正播玉米收割机械费用补助受益户数年度指标值为大于等于406户，实际完成值为406户，完成预期目标，根据评分标准，该指标不扣分。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满意度</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社会公众或服务对象对项目实施效果的满意程度。</w:t>
            </w:r>
          </w:p>
        </w:tc>
        <w:tc>
          <w:tcPr>
            <w:tcW w:w="751" w:type="dxa"/>
            <w:shd w:val="clear" w:color="auto" w:fill="FFFFFF"/>
            <w:vAlign w:val="center"/>
          </w:tcPr>
          <w:p>
            <w:pPr>
              <w:ind w:firstLine="180" w:firstLineChars="10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10</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根据问卷调查，受益群众满意度达到满意的人数：                                      ①人数大于等于98%，得</w:t>
            </w:r>
            <w:r>
              <w:rPr>
                <w:rFonts w:hint="eastAsia" w:ascii="仿宋_GB2312" w:hAnsi="仿宋_GB2312" w:cs="仿宋_GB2312"/>
                <w:color w:val="auto"/>
                <w:kern w:val="0"/>
                <w:sz w:val="18"/>
                <w:szCs w:val="18"/>
                <w:highlight w:val="none"/>
                <w:lang w:bidi="ar"/>
              </w:rPr>
              <w:t>10分</w:t>
            </w:r>
            <w:r>
              <w:rPr>
                <w:rFonts w:hint="eastAsia" w:ascii="仿宋_GB2312" w:hAnsi="仿宋_GB2312" w:cs="仿宋_GB2312"/>
                <w:color w:val="auto"/>
                <w:kern w:val="0"/>
                <w:sz w:val="18"/>
                <w:szCs w:val="18"/>
                <w:highlight w:val="none"/>
                <w:lang w:bidi="ar"/>
              </w:rPr>
              <w:t>；</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②人数小于98%大于等于8</w:t>
            </w:r>
            <w:r>
              <w:rPr>
                <w:rFonts w:hint="eastAsia" w:ascii="仿宋_GB2312" w:hAnsi="仿宋_GB2312" w:cs="仿宋_GB2312"/>
                <w:color w:val="auto"/>
                <w:kern w:val="0"/>
                <w:sz w:val="18"/>
                <w:szCs w:val="18"/>
                <w:highlight w:val="none"/>
                <w:lang w:val="en-US" w:eastAsia="zh-CN" w:bidi="ar"/>
              </w:rPr>
              <w:t>0</w:t>
            </w:r>
            <w:r>
              <w:rPr>
                <w:rFonts w:hint="eastAsia" w:ascii="仿宋_GB2312" w:hAnsi="仿宋_GB2312" w:cs="仿宋_GB2312"/>
                <w:color w:val="auto"/>
                <w:kern w:val="0"/>
                <w:sz w:val="18"/>
                <w:szCs w:val="18"/>
                <w:highlight w:val="none"/>
                <w:lang w:bidi="ar"/>
              </w:rPr>
              <w:t>%，得8分；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③人数小于8</w:t>
            </w:r>
            <w:r>
              <w:rPr>
                <w:rFonts w:hint="eastAsia" w:ascii="仿宋_GB2312" w:hAnsi="仿宋_GB2312" w:cs="仿宋_GB2312"/>
                <w:color w:val="auto"/>
                <w:kern w:val="0"/>
                <w:sz w:val="18"/>
                <w:szCs w:val="18"/>
                <w:highlight w:val="none"/>
                <w:lang w:val="en-US" w:eastAsia="zh-CN" w:bidi="ar"/>
              </w:rPr>
              <w:t>0</w:t>
            </w:r>
            <w:r>
              <w:rPr>
                <w:rFonts w:hint="eastAsia" w:ascii="仿宋_GB2312" w:hAnsi="仿宋_GB2312" w:cs="仿宋_GB2312"/>
                <w:color w:val="auto"/>
                <w:kern w:val="0"/>
                <w:sz w:val="18"/>
                <w:szCs w:val="18"/>
                <w:highlight w:val="none"/>
                <w:lang w:bidi="ar"/>
              </w:rPr>
              <w:t>%大于等于</w:t>
            </w:r>
            <w:r>
              <w:rPr>
                <w:rFonts w:hint="eastAsia" w:ascii="仿宋_GB2312" w:hAnsi="仿宋_GB2312" w:cs="仿宋_GB2312"/>
                <w:color w:val="auto"/>
                <w:kern w:val="0"/>
                <w:sz w:val="18"/>
                <w:szCs w:val="18"/>
                <w:highlight w:val="none"/>
                <w:lang w:val="en-US" w:eastAsia="zh-CN" w:bidi="ar"/>
              </w:rPr>
              <w:t>6</w:t>
            </w:r>
            <w:r>
              <w:rPr>
                <w:rFonts w:hint="eastAsia" w:ascii="仿宋_GB2312" w:hAnsi="仿宋_GB2312" w:cs="仿宋_GB2312"/>
                <w:color w:val="auto"/>
                <w:kern w:val="0"/>
                <w:sz w:val="18"/>
                <w:szCs w:val="18"/>
                <w:highlight w:val="none"/>
                <w:lang w:bidi="ar"/>
              </w:rPr>
              <w:t>0%，得5分；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④人数小于</w:t>
            </w:r>
            <w:r>
              <w:rPr>
                <w:rFonts w:hint="eastAsia" w:ascii="仿宋_GB2312" w:hAnsi="仿宋_GB2312" w:cs="仿宋_GB2312"/>
                <w:color w:val="auto"/>
                <w:kern w:val="0"/>
                <w:sz w:val="18"/>
                <w:szCs w:val="18"/>
                <w:highlight w:val="none"/>
                <w:lang w:val="en-US" w:eastAsia="zh-CN" w:bidi="ar"/>
              </w:rPr>
              <w:t>6</w:t>
            </w:r>
            <w:r>
              <w:rPr>
                <w:rFonts w:hint="eastAsia" w:ascii="仿宋_GB2312" w:hAnsi="仿宋_GB2312" w:cs="仿宋_GB2312"/>
                <w:color w:val="auto"/>
                <w:kern w:val="0"/>
                <w:sz w:val="18"/>
                <w:szCs w:val="18"/>
                <w:highlight w:val="none"/>
                <w:lang w:bidi="ar"/>
              </w:rPr>
              <w:t>0%，不得分。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10</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79" w:type="dxa"/>
            <w:gridSpan w:val="3"/>
            <w:noWrap/>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合计</w:t>
            </w:r>
          </w:p>
        </w:tc>
        <w:tc>
          <w:tcPr>
            <w:tcW w:w="2315" w:type="dxa"/>
            <w:noWrap/>
            <w:vAlign w:val="center"/>
          </w:tcPr>
          <w:p>
            <w:pPr>
              <w:ind w:firstLine="360"/>
              <w:jc w:val="left"/>
              <w:rPr>
                <w:rFonts w:ascii="仿宋_GB2312" w:hAnsi="仿宋_GB2312" w:cs="仿宋_GB2312"/>
                <w:color w:val="auto"/>
                <w:sz w:val="18"/>
                <w:szCs w:val="18"/>
                <w:highlight w:val="none"/>
              </w:rPr>
            </w:pPr>
          </w:p>
        </w:tc>
        <w:tc>
          <w:tcPr>
            <w:tcW w:w="751" w:type="dxa"/>
            <w:noWrap/>
            <w:vAlign w:val="center"/>
          </w:tcPr>
          <w:p>
            <w:pPr>
              <w:ind w:firstLine="180" w:firstLineChars="10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100</w:t>
            </w:r>
          </w:p>
        </w:tc>
        <w:tc>
          <w:tcPr>
            <w:tcW w:w="6140" w:type="dxa"/>
            <w:vAlign w:val="center"/>
          </w:tcPr>
          <w:p>
            <w:pPr>
              <w:ind w:firstLine="360"/>
              <w:jc w:val="left"/>
              <w:rPr>
                <w:rFonts w:ascii="仿宋_GB2312" w:hAnsi="仿宋_GB2312" w:cs="仿宋_GB2312"/>
                <w:color w:val="auto"/>
                <w:sz w:val="18"/>
                <w:szCs w:val="18"/>
                <w:highlight w:val="none"/>
              </w:rPr>
            </w:pP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100</w:t>
            </w:r>
          </w:p>
        </w:tc>
        <w:tc>
          <w:tcPr>
            <w:tcW w:w="963" w:type="dxa"/>
            <w:vAlign w:val="center"/>
          </w:tcPr>
          <w:p>
            <w:pPr>
              <w:ind w:firstLine="360"/>
              <w:jc w:val="left"/>
              <w:rPr>
                <w:rFonts w:ascii="宋体" w:hAnsi="宋体" w:eastAsia="宋体" w:cs="宋体"/>
                <w:color w:val="auto"/>
                <w:sz w:val="18"/>
                <w:szCs w:val="18"/>
                <w:highlight w:val="none"/>
              </w:rPr>
            </w:pPr>
          </w:p>
        </w:tc>
      </w:tr>
    </w:tbl>
    <w:p>
      <w:pPr>
        <w:pStyle w:val="24"/>
        <w:ind w:firstLine="0" w:firstLineChars="0"/>
        <w:jc w:val="both"/>
        <w:rPr>
          <w:color w:val="auto"/>
          <w:highlight w:val="none"/>
        </w:rPr>
      </w:pPr>
    </w:p>
    <w:bookmarkEnd w:id="219"/>
    <w:sectPr>
      <w:headerReference r:id="rId8" w:type="first"/>
      <w:footerReference r:id="rId11" w:type="first"/>
      <w:headerReference r:id="rId6" w:type="default"/>
      <w:footerReference r:id="rId9" w:type="default"/>
      <w:headerReference r:id="rId7" w:type="even"/>
      <w:footerReference r:id="rId10" w:type="even"/>
      <w:pgSz w:w="16838" w:h="11906" w:orient="landscape"/>
      <w:pgMar w:top="1800" w:right="1440" w:bottom="1800" w:left="144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480"/>
      <w:jc w:val="center"/>
      <w:rPr>
        <w:rFonts w:asciiTheme="minorEastAsia" w:hAnsiTheme="minorEastAsia" w:eastAsiaTheme="minorEastAsia" w:cstheme="minorEastAsia"/>
        <w:sz w:val="24"/>
        <w:szCs w:val="24"/>
      </w:rPr>
    </w:pPr>
  </w:p>
  <w:p>
    <w:pPr>
      <w:pStyle w:val="1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480"/>
      <w:jc w:val="center"/>
      <w:rPr>
        <w:rFonts w:asciiTheme="minorEastAsia" w:hAnsiTheme="minorEastAsia" w:eastAsiaTheme="minorEastAsia" w:cstheme="minorEastAsia"/>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posOffset>2270125</wp:posOffset>
              </wp:positionH>
              <wp:positionV relativeFrom="paragraph">
                <wp:posOffset>85090</wp:posOffset>
              </wp:positionV>
              <wp:extent cx="76708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6708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ind w:firstLine="480"/>
                            <w:jc w:val="cente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14</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78.75pt;margin-top:6.7pt;height:144pt;width:60.4pt;mso-position-horizontal-relative:margin;z-index:251660288;mso-width-relative:page;mso-height-relative:page;" filled="f" stroked="f" coordsize="21600,21600" o:gfxdata="UEsDBAoAAAAAAIdO4kAAAAAAAAAAAAAAAAAEAAAAZHJzL1BLAwQUAAAACACHTuJA8r6tVNgAAAAK&#10;AQAADwAAAGRycy9kb3ducmV2LnhtbE2PwU7DMAyG70i8Q2Qkbiwp7dhUmu6AYAc40SHE0WvdptAk&#10;VZN1g6fHnMbR+j///lxsTnYQM02h905DslAgyNW+6V2n4W33dLMGESK6BgfvSMM3BdiUlxcF5o0/&#10;uleaq9gJLnEhRw0mxjGXMtSGLIaFH8lx1vrJYuRx6mQz4ZHL7SBvlbqTFnvHFwyO9GCo/qoOljXe&#10;X5Td/rTmwz5jGyqzm7ePn1pfXyXqHkSkUzzD8KfPO1Cy094fXBPEoCFdrpaMcpBmIBjIVusUxJ4T&#10;lWQgy0L+f6H8BVBLAwQUAAAACACHTuJAPIgkyxQCAAAIBAAADgAAAGRycy9lMm9Eb2MueG1srVPL&#10;jtMwFN0j8Q+W9zRpKzpV1XRUZlSEVDEjFcTadZwmkl/YbpPyAfAHrNiw57v6HRy7TQcBK8TGubnv&#10;e+6589tOSXIQzjdGF3Q4yCkRmpuy0buCvn+3ejGlxAemSyaNFgU9Ck9vF8+fzVs7EyNTG1kKR5BE&#10;+1lrC1qHYGdZ5nktFPMDY4WGsTJOsYBft8tKx1pkVzIb5fkka40rrTNceA/t/dlIFyl/VQkeHqrK&#10;i0BkQdFbSK9L7za+2WLOZjvHbN3wSxvsH7pQrNEoek11zwIje9f8kUo13BlvqjDgRmWmqhou0gyY&#10;Zpj/Ns2mZlakWQCOt1eY/P9Ly98eHh1pyoKOKdFMYUWnr19O336cvn8m4whPa/0MXhsLv9C9Mh3W&#10;3Os9lHHqrnIqfjEPgR1AH6/gii4QDuXN5CafwsJhGk5H02me0M+eoq3z4bUwikShoA7LS5iyw9oH&#10;dALX3iUW02bVSJkWKDVpCzoZv8xTwNWCCKkRGGc49xql0G27y2BbUx4xlzNnYnjLVw2Kr5kPj8yB&#10;CWgY7A4PeCppUMRcJEpq4z79TR/9sSBYKWnBrIL6j3vmBCXyjcbqIg17wfXCthf0Xt0ZkHWIu7E8&#10;iQhwQfZi5Yz6ANIvYxWYmOaoVdDQi3fhzG8cDRfLZXIC2SwLa72xPKaO8Hm73AdAmJCNsJyxuKAF&#10;uiXAL6cR+fzrf/J6OuDF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K+rVTYAAAACgEAAA8AAAAA&#10;AAAAAQAgAAAAIgAAAGRycy9kb3ducmV2LnhtbFBLAQIUABQAAAAIAIdO4kA8iCTLFAIAAAgEAAAO&#10;AAAAAAAAAAEAIAAAACcBAABkcnMvZTJvRG9jLnhtbFBLBQYAAAAABgAGAFkBAACtBQAAAAA=&#10;">
              <v:fill on="f" focussize="0,0"/>
              <v:stroke on="f" weight="0.5pt"/>
              <v:imagedata o:title=""/>
              <o:lock v:ext="edit" aspectratio="f"/>
              <v:textbox inset="0mm,0mm,0mm,0mm" style="mso-fit-shape-to-text:t;">
                <w:txbxContent>
                  <w:p>
                    <w:pPr>
                      <w:pStyle w:val="17"/>
                      <w:ind w:firstLine="480"/>
                      <w:jc w:val="cente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14</w:t>
                    </w:r>
                    <w:r>
                      <w:rPr>
                        <w:rFonts w:hint="eastAsia" w:asciiTheme="minorEastAsia" w:hAnsiTheme="minorEastAsia" w:eastAsiaTheme="minorEastAsia" w:cstheme="minorEastAsia"/>
                        <w:sz w:val="24"/>
                        <w:szCs w:val="24"/>
                      </w:rPr>
                      <w:fldChar w:fldCharType="end"/>
                    </w:r>
                  </w:p>
                </w:txbxContent>
              </v:textbox>
            </v:shape>
          </w:pict>
        </mc:Fallback>
      </mc:AlternateContent>
    </w:r>
  </w:p>
  <w:p>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jc w:val="center"/>
    </w:pPr>
    <w:r>
      <mc:AlternateContent>
        <mc:Choice Requires="wps">
          <w:drawing>
            <wp:anchor distT="0" distB="0" distL="114300" distR="114300" simplePos="0" relativeHeight="251659264" behindDoc="0" locked="0" layoutInCell="1" allowOverlap="1">
              <wp:simplePos x="0" y="0"/>
              <wp:positionH relativeFrom="margin">
                <wp:posOffset>4195445</wp:posOffset>
              </wp:positionH>
              <wp:positionV relativeFrom="paragraph">
                <wp:posOffset>0</wp:posOffset>
              </wp:positionV>
              <wp:extent cx="1148715" cy="19685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48715" cy="196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ind w:firstLine="480"/>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16</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330.35pt;margin-top:0pt;height:15.5pt;width:90.45pt;mso-position-horizontal-relative:margin;z-index:251659264;mso-width-relative:page;mso-height-relative:page;" filled="f" stroked="f" coordsize="21600,21600" o:gfxdata="UEsDBAoAAAAAAIdO4kAAAAAAAAAAAAAAAAAEAAAAZHJzL1BLAwQUAAAACACHTuJA8TsImdUAAAAH&#10;AQAADwAAAGRycy9kb3ducmV2LnhtbE2PO0/EMBCEeyT+g7VIdJwdQOEUsrmCR8fzAAk6JzZJhL2O&#10;bCd3/HuWCsrRjGa+qTd778RiYxoDIRQrBcJSF8xIPcLry+3JGkTKmox2gSzCt02waQ4Pal2ZsKNn&#10;u2xzL7iEUqURhpynSsrUDdbrtAqTJfY+Q/Q6s4y9NFHvuNw7eapUKb0eiRcGPdmrwXZf29kjuPcU&#10;71qVP5br/j4/Pcr57aZ4QDw+KtQliGz3+S8Mv/iMDg0ztWEmk4RDKEt1wVEEfsT2+rwoQbQIZ4UC&#10;2dTyP3/zA1BLAwQUAAAACACHTuJA96GhwRMCAAAIBAAADgAAAGRycy9lMm9Eb2MueG1srVPLjtMw&#10;FN0j8Q+W9zRNYUqJmo7KjIqQKmakgli7jt1Esn2N7TYpHwB/wIoNe76r38G103R4rRAb58b3ec49&#10;nl93WpGDcL4BU9J8NKZEGA5VY3Ylffd29WRGiQ/MVEyBESU9Ck+vF48fzVtbiAnUoCrhCBYxvmht&#10;SesQbJFlntdCMz8CKww6JTjNAv66XVY51mJ1rbLJeDzNWnCVdcCF93h72zvpItWXUvBwJ6UXgaiS&#10;4mwhnS6d23hmizkrdo7ZuuHnMdg/TKFZY7DppdQtC4zsXfNHKd1wBx5kGHHQGUjZcJEwIJp8/Bua&#10;Tc2sSFiQHG8vNPn/V5a/Odw70lQlnVBimMYVnb58Pn39fvr2iUwiPa31BUZtLMaF7iV0uObh3uNl&#10;RN1Jp+MX8RD0I9HHC7miC4THpPzZ7Hl+RQlHX/5iOrtK7GcP2db58EqAJtEoqcPlJU7ZYe0DToKh&#10;Q0hsZmDVKJUWqAxpSzp9iiV/8WCGMpgYMfSzRit02+4MbAvVEXE56IXhLV812HzNfLhnDpWAUFDd&#10;4Q4PqQCbwNmipAb38W/3MR4XhF5KWlRWSf2HPXOCEvXa4OqiDAfDDcZ2MMxe3wCKNcd3Y3kyMcEF&#10;NZjSgX6Pol/GLuhihmOvkobBvAm9vvHRcLFcpiAUm2VhbTaWx9I9Sct9ANkkZiMtPRdntlBuifDz&#10;04h6/vk/RT084MU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TsImdUAAAAHAQAADwAAAAAAAAAB&#10;ACAAAAAiAAAAZHJzL2Rvd25yZXYueG1sUEsBAhQAFAAAAAgAh07iQPehocETAgAACAQAAA4AAAAA&#10;AAAAAQAgAAAAJAEAAGRycy9lMm9Eb2MueG1sUEsFBgAAAAAGAAYAWQEAAKkFAAAAAA==&#10;">
              <v:fill on="f" focussize="0,0"/>
              <v:stroke on="f" weight="0.5pt"/>
              <v:imagedata o:title=""/>
              <o:lock v:ext="edit" aspectratio="f"/>
              <v:textbox inset="0mm,0mm,0mm,0mm">
                <w:txbxContent>
                  <w:p>
                    <w:pPr>
                      <w:pStyle w:val="17"/>
                      <w:ind w:firstLine="480"/>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16</w:t>
                    </w:r>
                    <w:r>
                      <w:rPr>
                        <w:rFonts w:hint="eastAsia" w:asciiTheme="minorEastAsia" w:hAnsiTheme="minorEastAsia" w:eastAsiaTheme="minorEastAsia" w:cstheme="minorEastAsia"/>
                        <w:sz w:val="24"/>
                        <w:szCs w:val="24"/>
                      </w:rPr>
                      <w:fldChar w:fldCharType="end"/>
                    </w:r>
                  </w:p>
                </w:txbxContent>
              </v:textbox>
            </v:shape>
          </w:pict>
        </mc:Fallback>
      </mc:AlternateContent>
    </w:r>
  </w:p>
  <w:p>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2B0"/>
    <w:rsid w:val="00005CFE"/>
    <w:rsid w:val="00017324"/>
    <w:rsid w:val="00025C7B"/>
    <w:rsid w:val="00026D68"/>
    <w:rsid w:val="000507E5"/>
    <w:rsid w:val="000B0A47"/>
    <w:rsid w:val="000B4C90"/>
    <w:rsid w:val="000B7456"/>
    <w:rsid w:val="000F19ED"/>
    <w:rsid w:val="00116F13"/>
    <w:rsid w:val="00133529"/>
    <w:rsid w:val="001342B0"/>
    <w:rsid w:val="0013699F"/>
    <w:rsid w:val="00154AB1"/>
    <w:rsid w:val="00162D03"/>
    <w:rsid w:val="001938C8"/>
    <w:rsid w:val="001A713D"/>
    <w:rsid w:val="001B62E9"/>
    <w:rsid w:val="001D0828"/>
    <w:rsid w:val="00237098"/>
    <w:rsid w:val="00265B5F"/>
    <w:rsid w:val="002810A8"/>
    <w:rsid w:val="00287087"/>
    <w:rsid w:val="002A6447"/>
    <w:rsid w:val="002C0FA1"/>
    <w:rsid w:val="0030133E"/>
    <w:rsid w:val="003421D6"/>
    <w:rsid w:val="00355C5B"/>
    <w:rsid w:val="003801D3"/>
    <w:rsid w:val="003B13F4"/>
    <w:rsid w:val="003B55A8"/>
    <w:rsid w:val="003B6D9E"/>
    <w:rsid w:val="003C2470"/>
    <w:rsid w:val="003D0E11"/>
    <w:rsid w:val="003D17D0"/>
    <w:rsid w:val="00417BA8"/>
    <w:rsid w:val="00417E0C"/>
    <w:rsid w:val="00450017"/>
    <w:rsid w:val="004550E0"/>
    <w:rsid w:val="00455EC9"/>
    <w:rsid w:val="0046425B"/>
    <w:rsid w:val="004B1048"/>
    <w:rsid w:val="004D029C"/>
    <w:rsid w:val="004D6CA3"/>
    <w:rsid w:val="004E66D0"/>
    <w:rsid w:val="0051444F"/>
    <w:rsid w:val="005351B2"/>
    <w:rsid w:val="00537022"/>
    <w:rsid w:val="005604A7"/>
    <w:rsid w:val="005B7ABC"/>
    <w:rsid w:val="006156C6"/>
    <w:rsid w:val="00621D64"/>
    <w:rsid w:val="00670E7D"/>
    <w:rsid w:val="00686622"/>
    <w:rsid w:val="00686998"/>
    <w:rsid w:val="006C4138"/>
    <w:rsid w:val="006F5848"/>
    <w:rsid w:val="00741A55"/>
    <w:rsid w:val="00756F99"/>
    <w:rsid w:val="0075701C"/>
    <w:rsid w:val="00761699"/>
    <w:rsid w:val="00785978"/>
    <w:rsid w:val="007A458B"/>
    <w:rsid w:val="007B592C"/>
    <w:rsid w:val="007C5576"/>
    <w:rsid w:val="007E3373"/>
    <w:rsid w:val="007E6959"/>
    <w:rsid w:val="007F4E7A"/>
    <w:rsid w:val="00837D40"/>
    <w:rsid w:val="00847863"/>
    <w:rsid w:val="008667CD"/>
    <w:rsid w:val="008715CB"/>
    <w:rsid w:val="00872BF6"/>
    <w:rsid w:val="008743A9"/>
    <w:rsid w:val="00892C60"/>
    <w:rsid w:val="00897964"/>
    <w:rsid w:val="008A2CCB"/>
    <w:rsid w:val="008B1EB6"/>
    <w:rsid w:val="008D4040"/>
    <w:rsid w:val="008D5B06"/>
    <w:rsid w:val="008E4324"/>
    <w:rsid w:val="008E5407"/>
    <w:rsid w:val="008E5601"/>
    <w:rsid w:val="008F2A3D"/>
    <w:rsid w:val="008F4A33"/>
    <w:rsid w:val="009238D0"/>
    <w:rsid w:val="00936189"/>
    <w:rsid w:val="009D07FD"/>
    <w:rsid w:val="009D623D"/>
    <w:rsid w:val="009E7F93"/>
    <w:rsid w:val="009F6671"/>
    <w:rsid w:val="00A16AD6"/>
    <w:rsid w:val="00A51218"/>
    <w:rsid w:val="00A87773"/>
    <w:rsid w:val="00A87988"/>
    <w:rsid w:val="00AD265F"/>
    <w:rsid w:val="00AF1303"/>
    <w:rsid w:val="00AF2068"/>
    <w:rsid w:val="00B0358A"/>
    <w:rsid w:val="00B11C14"/>
    <w:rsid w:val="00B16647"/>
    <w:rsid w:val="00B45788"/>
    <w:rsid w:val="00B567F7"/>
    <w:rsid w:val="00B856EE"/>
    <w:rsid w:val="00B91B13"/>
    <w:rsid w:val="00BA7121"/>
    <w:rsid w:val="00BE1476"/>
    <w:rsid w:val="00C160DE"/>
    <w:rsid w:val="00C300F1"/>
    <w:rsid w:val="00C4247B"/>
    <w:rsid w:val="00C47700"/>
    <w:rsid w:val="00C477E9"/>
    <w:rsid w:val="00C52F11"/>
    <w:rsid w:val="00C64E44"/>
    <w:rsid w:val="00C6680C"/>
    <w:rsid w:val="00C72D08"/>
    <w:rsid w:val="00CB538F"/>
    <w:rsid w:val="00CC15C5"/>
    <w:rsid w:val="00D148F8"/>
    <w:rsid w:val="00D24B1A"/>
    <w:rsid w:val="00D3450F"/>
    <w:rsid w:val="00D35E67"/>
    <w:rsid w:val="00D52221"/>
    <w:rsid w:val="00D524CD"/>
    <w:rsid w:val="00D92BBE"/>
    <w:rsid w:val="00DA32AB"/>
    <w:rsid w:val="00DD56B6"/>
    <w:rsid w:val="00DE4B68"/>
    <w:rsid w:val="00E339F5"/>
    <w:rsid w:val="00E4696F"/>
    <w:rsid w:val="00E846CC"/>
    <w:rsid w:val="00F03527"/>
    <w:rsid w:val="00F07EB6"/>
    <w:rsid w:val="00F46472"/>
    <w:rsid w:val="00F62E86"/>
    <w:rsid w:val="00F67CD3"/>
    <w:rsid w:val="00F76D7A"/>
    <w:rsid w:val="00FB4F0E"/>
    <w:rsid w:val="00FC1400"/>
    <w:rsid w:val="00FC57E4"/>
    <w:rsid w:val="00FF1809"/>
    <w:rsid w:val="00FF386B"/>
    <w:rsid w:val="01815D5E"/>
    <w:rsid w:val="026A2F69"/>
    <w:rsid w:val="030B1AB8"/>
    <w:rsid w:val="034D6604"/>
    <w:rsid w:val="036209C0"/>
    <w:rsid w:val="037312A7"/>
    <w:rsid w:val="03782F41"/>
    <w:rsid w:val="037D47EA"/>
    <w:rsid w:val="03986262"/>
    <w:rsid w:val="03A70114"/>
    <w:rsid w:val="04253A19"/>
    <w:rsid w:val="04BB38C6"/>
    <w:rsid w:val="04BC3B3D"/>
    <w:rsid w:val="052414AB"/>
    <w:rsid w:val="0525476D"/>
    <w:rsid w:val="05CE3E3D"/>
    <w:rsid w:val="05E90F90"/>
    <w:rsid w:val="06865D48"/>
    <w:rsid w:val="06B83EB3"/>
    <w:rsid w:val="07262D78"/>
    <w:rsid w:val="075F25AF"/>
    <w:rsid w:val="078B51EA"/>
    <w:rsid w:val="07E826EC"/>
    <w:rsid w:val="08707776"/>
    <w:rsid w:val="089A5E49"/>
    <w:rsid w:val="08A600F6"/>
    <w:rsid w:val="08ED117F"/>
    <w:rsid w:val="08F35599"/>
    <w:rsid w:val="09573B92"/>
    <w:rsid w:val="0ADC3B93"/>
    <w:rsid w:val="0B0172C5"/>
    <w:rsid w:val="0B1E67E7"/>
    <w:rsid w:val="0B2A1D37"/>
    <w:rsid w:val="0BB1581B"/>
    <w:rsid w:val="0C3F5E8D"/>
    <w:rsid w:val="0C4A7742"/>
    <w:rsid w:val="0C7A4A86"/>
    <w:rsid w:val="0D801AB7"/>
    <w:rsid w:val="0DAC1116"/>
    <w:rsid w:val="0DE20A34"/>
    <w:rsid w:val="0E1C337A"/>
    <w:rsid w:val="0E3007B9"/>
    <w:rsid w:val="0E56363C"/>
    <w:rsid w:val="0E6517F4"/>
    <w:rsid w:val="0E78758A"/>
    <w:rsid w:val="0E8D7DD7"/>
    <w:rsid w:val="0E9A44F7"/>
    <w:rsid w:val="10034C86"/>
    <w:rsid w:val="103E1EFA"/>
    <w:rsid w:val="10682E2F"/>
    <w:rsid w:val="119F75D8"/>
    <w:rsid w:val="11BB2DC7"/>
    <w:rsid w:val="11F25929"/>
    <w:rsid w:val="12875D39"/>
    <w:rsid w:val="12A8713D"/>
    <w:rsid w:val="12C51B93"/>
    <w:rsid w:val="12C741DF"/>
    <w:rsid w:val="12CD50A0"/>
    <w:rsid w:val="12D969C7"/>
    <w:rsid w:val="13662317"/>
    <w:rsid w:val="13DE719D"/>
    <w:rsid w:val="13F95FF0"/>
    <w:rsid w:val="140E2CEA"/>
    <w:rsid w:val="14321435"/>
    <w:rsid w:val="14660571"/>
    <w:rsid w:val="14871C95"/>
    <w:rsid w:val="14C60177"/>
    <w:rsid w:val="14DA4EE2"/>
    <w:rsid w:val="153C10C2"/>
    <w:rsid w:val="16D01E15"/>
    <w:rsid w:val="173172B7"/>
    <w:rsid w:val="181B3589"/>
    <w:rsid w:val="181E3BC4"/>
    <w:rsid w:val="18CD18BA"/>
    <w:rsid w:val="18D1673A"/>
    <w:rsid w:val="18F93760"/>
    <w:rsid w:val="19295C24"/>
    <w:rsid w:val="192C294F"/>
    <w:rsid w:val="199C6668"/>
    <w:rsid w:val="19BA10CA"/>
    <w:rsid w:val="1A4F2C08"/>
    <w:rsid w:val="1AFF4AC2"/>
    <w:rsid w:val="1B360920"/>
    <w:rsid w:val="1BC25682"/>
    <w:rsid w:val="1BCA74A1"/>
    <w:rsid w:val="1BD272B4"/>
    <w:rsid w:val="1D1A32A6"/>
    <w:rsid w:val="1DC72C65"/>
    <w:rsid w:val="1DFB36BD"/>
    <w:rsid w:val="1E4A43F1"/>
    <w:rsid w:val="1EB64BE4"/>
    <w:rsid w:val="1ED34B0D"/>
    <w:rsid w:val="1EF10375"/>
    <w:rsid w:val="2084503B"/>
    <w:rsid w:val="21382C5B"/>
    <w:rsid w:val="215C7CD8"/>
    <w:rsid w:val="21CF4E39"/>
    <w:rsid w:val="21E617A3"/>
    <w:rsid w:val="225B2CEC"/>
    <w:rsid w:val="23361BDA"/>
    <w:rsid w:val="233D00DC"/>
    <w:rsid w:val="23CF57A2"/>
    <w:rsid w:val="23ED4D27"/>
    <w:rsid w:val="24306342"/>
    <w:rsid w:val="243C5236"/>
    <w:rsid w:val="24676B71"/>
    <w:rsid w:val="25005BCA"/>
    <w:rsid w:val="255432B0"/>
    <w:rsid w:val="255D0C02"/>
    <w:rsid w:val="25846970"/>
    <w:rsid w:val="26C624DB"/>
    <w:rsid w:val="26F223CB"/>
    <w:rsid w:val="27313E46"/>
    <w:rsid w:val="27542688"/>
    <w:rsid w:val="27644139"/>
    <w:rsid w:val="27B72D34"/>
    <w:rsid w:val="27C301A8"/>
    <w:rsid w:val="28476855"/>
    <w:rsid w:val="28774F9F"/>
    <w:rsid w:val="288C3648"/>
    <w:rsid w:val="28DC038E"/>
    <w:rsid w:val="291B5757"/>
    <w:rsid w:val="294316F0"/>
    <w:rsid w:val="299F0137"/>
    <w:rsid w:val="29B569A1"/>
    <w:rsid w:val="2A2F1D74"/>
    <w:rsid w:val="2A854665"/>
    <w:rsid w:val="2AE37295"/>
    <w:rsid w:val="2AF44640"/>
    <w:rsid w:val="2B6C4490"/>
    <w:rsid w:val="2B900752"/>
    <w:rsid w:val="2C80637A"/>
    <w:rsid w:val="2CCB7E6F"/>
    <w:rsid w:val="2D2931D0"/>
    <w:rsid w:val="2D3D66BF"/>
    <w:rsid w:val="2D3F2AFD"/>
    <w:rsid w:val="2DD47EDE"/>
    <w:rsid w:val="2DD64A48"/>
    <w:rsid w:val="2DE15631"/>
    <w:rsid w:val="2DF41696"/>
    <w:rsid w:val="2E2133DC"/>
    <w:rsid w:val="30D47661"/>
    <w:rsid w:val="30E407FF"/>
    <w:rsid w:val="30EA3D2D"/>
    <w:rsid w:val="314C01A2"/>
    <w:rsid w:val="31860484"/>
    <w:rsid w:val="31FA693D"/>
    <w:rsid w:val="33740FF7"/>
    <w:rsid w:val="342406A4"/>
    <w:rsid w:val="344A4AD6"/>
    <w:rsid w:val="34A73850"/>
    <w:rsid w:val="34B025B3"/>
    <w:rsid w:val="34F756BE"/>
    <w:rsid w:val="35305CED"/>
    <w:rsid w:val="35892A39"/>
    <w:rsid w:val="368A557D"/>
    <w:rsid w:val="36A01808"/>
    <w:rsid w:val="389C2924"/>
    <w:rsid w:val="38D12D10"/>
    <w:rsid w:val="39EA684A"/>
    <w:rsid w:val="39F21286"/>
    <w:rsid w:val="3A4A3800"/>
    <w:rsid w:val="3A6E5D76"/>
    <w:rsid w:val="3B153A51"/>
    <w:rsid w:val="3B1D71FC"/>
    <w:rsid w:val="3BDA7521"/>
    <w:rsid w:val="3C0D491A"/>
    <w:rsid w:val="3C0E4831"/>
    <w:rsid w:val="3C3A5021"/>
    <w:rsid w:val="3C8D4949"/>
    <w:rsid w:val="3DA13A8D"/>
    <w:rsid w:val="3E700B1D"/>
    <w:rsid w:val="3EA34F7D"/>
    <w:rsid w:val="3EB51EFF"/>
    <w:rsid w:val="3EEE2141"/>
    <w:rsid w:val="3EEE6C7A"/>
    <w:rsid w:val="3F882048"/>
    <w:rsid w:val="40117628"/>
    <w:rsid w:val="40623EE5"/>
    <w:rsid w:val="40D44C2B"/>
    <w:rsid w:val="40D57049"/>
    <w:rsid w:val="40F01F9B"/>
    <w:rsid w:val="40F059CE"/>
    <w:rsid w:val="412D32C3"/>
    <w:rsid w:val="41760F4B"/>
    <w:rsid w:val="425526D1"/>
    <w:rsid w:val="42A15600"/>
    <w:rsid w:val="42A47E22"/>
    <w:rsid w:val="442527BE"/>
    <w:rsid w:val="447B6718"/>
    <w:rsid w:val="44B3058D"/>
    <w:rsid w:val="45703D49"/>
    <w:rsid w:val="45A01611"/>
    <w:rsid w:val="45FC2E42"/>
    <w:rsid w:val="46305EEF"/>
    <w:rsid w:val="4712413C"/>
    <w:rsid w:val="475A53B1"/>
    <w:rsid w:val="47627A8B"/>
    <w:rsid w:val="47FB7B22"/>
    <w:rsid w:val="480F2C59"/>
    <w:rsid w:val="48866984"/>
    <w:rsid w:val="48BE4875"/>
    <w:rsid w:val="49367249"/>
    <w:rsid w:val="496205D7"/>
    <w:rsid w:val="49684A6B"/>
    <w:rsid w:val="4A49536A"/>
    <w:rsid w:val="4A734A00"/>
    <w:rsid w:val="4AF27D97"/>
    <w:rsid w:val="4B4B29E7"/>
    <w:rsid w:val="4BA546BC"/>
    <w:rsid w:val="4C1F4C1C"/>
    <w:rsid w:val="4C5B3031"/>
    <w:rsid w:val="4C8A6D5F"/>
    <w:rsid w:val="4CDF72E7"/>
    <w:rsid w:val="4D7771C5"/>
    <w:rsid w:val="4D967117"/>
    <w:rsid w:val="4DA35035"/>
    <w:rsid w:val="4E175B2C"/>
    <w:rsid w:val="4EBE28E6"/>
    <w:rsid w:val="4F251034"/>
    <w:rsid w:val="4F941A96"/>
    <w:rsid w:val="4FD86355"/>
    <w:rsid w:val="506D36BD"/>
    <w:rsid w:val="515C74AA"/>
    <w:rsid w:val="51CF5CA2"/>
    <w:rsid w:val="52564BB1"/>
    <w:rsid w:val="52F365D4"/>
    <w:rsid w:val="53351ABA"/>
    <w:rsid w:val="53710365"/>
    <w:rsid w:val="537601D2"/>
    <w:rsid w:val="537F1959"/>
    <w:rsid w:val="540F0DC9"/>
    <w:rsid w:val="5432344B"/>
    <w:rsid w:val="547B0F25"/>
    <w:rsid w:val="555C721A"/>
    <w:rsid w:val="55BC2DF8"/>
    <w:rsid w:val="565F6ADC"/>
    <w:rsid w:val="566072EF"/>
    <w:rsid w:val="56731585"/>
    <w:rsid w:val="56763536"/>
    <w:rsid w:val="56945FAA"/>
    <w:rsid w:val="56A83F23"/>
    <w:rsid w:val="56D354B1"/>
    <w:rsid w:val="57091A8F"/>
    <w:rsid w:val="57ED177C"/>
    <w:rsid w:val="582F079F"/>
    <w:rsid w:val="586D7CFE"/>
    <w:rsid w:val="58D04078"/>
    <w:rsid w:val="590D0351"/>
    <w:rsid w:val="59AA626B"/>
    <w:rsid w:val="5A933D1A"/>
    <w:rsid w:val="5B035412"/>
    <w:rsid w:val="5B3B092B"/>
    <w:rsid w:val="5B8F71CA"/>
    <w:rsid w:val="5B953CF9"/>
    <w:rsid w:val="5BA22700"/>
    <w:rsid w:val="5BE21C5E"/>
    <w:rsid w:val="5C000295"/>
    <w:rsid w:val="5CB42434"/>
    <w:rsid w:val="5E325339"/>
    <w:rsid w:val="5EDE2286"/>
    <w:rsid w:val="5F180766"/>
    <w:rsid w:val="5F3B1337"/>
    <w:rsid w:val="5F484798"/>
    <w:rsid w:val="5F8C10DD"/>
    <w:rsid w:val="5F8E19CC"/>
    <w:rsid w:val="605A6CFF"/>
    <w:rsid w:val="607148A4"/>
    <w:rsid w:val="60CA47EE"/>
    <w:rsid w:val="615023E1"/>
    <w:rsid w:val="6171471A"/>
    <w:rsid w:val="61891CD9"/>
    <w:rsid w:val="61E03B18"/>
    <w:rsid w:val="61E20949"/>
    <w:rsid w:val="61FF39CE"/>
    <w:rsid w:val="624D0B19"/>
    <w:rsid w:val="6264349F"/>
    <w:rsid w:val="628F3915"/>
    <w:rsid w:val="62B5389A"/>
    <w:rsid w:val="638D4E26"/>
    <w:rsid w:val="63F03131"/>
    <w:rsid w:val="647B71F4"/>
    <w:rsid w:val="64E55908"/>
    <w:rsid w:val="64ED2B67"/>
    <w:rsid w:val="657468FE"/>
    <w:rsid w:val="65CC3419"/>
    <w:rsid w:val="6632657B"/>
    <w:rsid w:val="66B65FAB"/>
    <w:rsid w:val="674715B5"/>
    <w:rsid w:val="680B1872"/>
    <w:rsid w:val="684B59F0"/>
    <w:rsid w:val="68523522"/>
    <w:rsid w:val="69562AA3"/>
    <w:rsid w:val="696B6384"/>
    <w:rsid w:val="6A1A7E11"/>
    <w:rsid w:val="6A8244F2"/>
    <w:rsid w:val="6AB75A50"/>
    <w:rsid w:val="6AE17242"/>
    <w:rsid w:val="6B390B19"/>
    <w:rsid w:val="6C0D7820"/>
    <w:rsid w:val="6C413F96"/>
    <w:rsid w:val="6C4A591D"/>
    <w:rsid w:val="6D040273"/>
    <w:rsid w:val="6D803915"/>
    <w:rsid w:val="6E454B16"/>
    <w:rsid w:val="6E791155"/>
    <w:rsid w:val="6ED64600"/>
    <w:rsid w:val="6FB3099B"/>
    <w:rsid w:val="7006249D"/>
    <w:rsid w:val="71621F05"/>
    <w:rsid w:val="71FB2C72"/>
    <w:rsid w:val="72A76BA4"/>
    <w:rsid w:val="73AB5FD2"/>
    <w:rsid w:val="745B2D85"/>
    <w:rsid w:val="74737187"/>
    <w:rsid w:val="74DF127F"/>
    <w:rsid w:val="752C576D"/>
    <w:rsid w:val="75CE25D8"/>
    <w:rsid w:val="75F8227C"/>
    <w:rsid w:val="76666A44"/>
    <w:rsid w:val="76C8710A"/>
    <w:rsid w:val="76E104BD"/>
    <w:rsid w:val="776960E4"/>
    <w:rsid w:val="777F0E7A"/>
    <w:rsid w:val="77EE1CF2"/>
    <w:rsid w:val="78310583"/>
    <w:rsid w:val="78AB1922"/>
    <w:rsid w:val="78C1024B"/>
    <w:rsid w:val="790D3DD7"/>
    <w:rsid w:val="79385EE5"/>
    <w:rsid w:val="793C1E75"/>
    <w:rsid w:val="7940056C"/>
    <w:rsid w:val="798346DE"/>
    <w:rsid w:val="79AF458E"/>
    <w:rsid w:val="79E42561"/>
    <w:rsid w:val="7A5B019D"/>
    <w:rsid w:val="7A983BE6"/>
    <w:rsid w:val="7AE604A8"/>
    <w:rsid w:val="7AEE220D"/>
    <w:rsid w:val="7B7C6845"/>
    <w:rsid w:val="7B9D4CAE"/>
    <w:rsid w:val="7BE75B65"/>
    <w:rsid w:val="7BF6241B"/>
    <w:rsid w:val="7C063663"/>
    <w:rsid w:val="7C1B054B"/>
    <w:rsid w:val="7CE1111E"/>
    <w:rsid w:val="7D0E6EA8"/>
    <w:rsid w:val="7DA074C1"/>
    <w:rsid w:val="7DAA2194"/>
    <w:rsid w:val="7E3B1E33"/>
    <w:rsid w:val="7E3D798C"/>
    <w:rsid w:val="7EAD4426"/>
    <w:rsid w:val="7EE46575"/>
    <w:rsid w:val="7F631714"/>
    <w:rsid w:val="7FC90C53"/>
    <w:rsid w:val="7FEB6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3">
    <w:name w:val="heading 1"/>
    <w:basedOn w:val="1"/>
    <w:next w:val="4"/>
    <w:link w:val="4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7"/>
    <w:link w:val="39"/>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49"/>
    <w:qFormat/>
    <w:uiPriority w:val="9"/>
    <w:pPr>
      <w:keepNext/>
      <w:keepLines/>
      <w:spacing w:before="260" w:after="260" w:line="416" w:lineRule="auto"/>
      <w:jc w:val="left"/>
      <w:outlineLvl w:val="2"/>
    </w:pPr>
    <w:rPr>
      <w:bCs/>
      <w:szCs w:val="32"/>
    </w:rPr>
  </w:style>
  <w:style w:type="paragraph" w:styleId="8">
    <w:name w:val="heading 4"/>
    <w:basedOn w:val="1"/>
    <w:next w:val="1"/>
    <w:link w:val="50"/>
    <w:qFormat/>
    <w:uiPriority w:val="9"/>
    <w:pPr>
      <w:keepNext/>
      <w:keepLines/>
      <w:spacing w:before="280" w:after="290" w:line="376" w:lineRule="auto"/>
      <w:outlineLvl w:val="3"/>
    </w:pPr>
    <w:rPr>
      <w:rFonts w:ascii="Cambria" w:hAnsi="Cambria" w:eastAsia="宋体" w:cs="Times New Roman"/>
      <w:b/>
      <w:bCs/>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First Indent 2"/>
    <w:basedOn w:val="5"/>
    <w:link w:val="38"/>
    <w:unhideWhenUsed/>
    <w:qFormat/>
    <w:uiPriority w:val="0"/>
    <w:pPr>
      <w:ind w:firstLine="420"/>
    </w:pPr>
  </w:style>
  <w:style w:type="paragraph" w:styleId="5">
    <w:name w:val="Body Text Indent"/>
    <w:basedOn w:val="1"/>
    <w:link w:val="44"/>
    <w:unhideWhenUsed/>
    <w:qFormat/>
    <w:uiPriority w:val="99"/>
    <w:pPr>
      <w:spacing w:after="120"/>
      <w:ind w:left="420" w:leftChars="200"/>
    </w:pPr>
  </w:style>
  <w:style w:type="paragraph" w:styleId="7">
    <w:name w:val="No Spacing"/>
    <w:link w:val="35"/>
    <w:qFormat/>
    <w:uiPriority w:val="1"/>
    <w:pPr>
      <w:widowControl w:val="0"/>
      <w:ind w:firstLine="600" w:firstLineChars="200"/>
      <w:jc w:val="both"/>
    </w:pPr>
    <w:rPr>
      <w:rFonts w:ascii="Calibri" w:hAnsi="Calibri" w:eastAsia="仿宋_GB2312" w:cs="黑体"/>
      <w:kern w:val="2"/>
      <w:sz w:val="28"/>
      <w:szCs w:val="22"/>
      <w:lang w:val="en-US" w:eastAsia="zh-CN" w:bidi="ar-SA"/>
    </w:rPr>
  </w:style>
  <w:style w:type="paragraph" w:styleId="9">
    <w:name w:val="toc 7"/>
    <w:basedOn w:val="1"/>
    <w:next w:val="1"/>
    <w:unhideWhenUsed/>
    <w:qFormat/>
    <w:uiPriority w:val="39"/>
    <w:pPr>
      <w:ind w:left="1680"/>
      <w:jc w:val="left"/>
    </w:pPr>
    <w:rPr>
      <w:rFonts w:cs="Calibri"/>
      <w:sz w:val="18"/>
      <w:szCs w:val="18"/>
    </w:rPr>
  </w:style>
  <w:style w:type="paragraph" w:styleId="10">
    <w:name w:val="Document Map"/>
    <w:basedOn w:val="1"/>
    <w:link w:val="55"/>
    <w:unhideWhenUsed/>
    <w:qFormat/>
    <w:uiPriority w:val="99"/>
    <w:rPr>
      <w:rFonts w:ascii="宋体" w:eastAsia="宋体"/>
      <w:sz w:val="18"/>
      <w:szCs w:val="18"/>
    </w:rPr>
  </w:style>
  <w:style w:type="paragraph" w:styleId="11">
    <w:name w:val="annotation text"/>
    <w:basedOn w:val="1"/>
    <w:link w:val="43"/>
    <w:unhideWhenUsed/>
    <w:qFormat/>
    <w:uiPriority w:val="99"/>
    <w:rPr>
      <w:sz w:val="20"/>
      <w:szCs w:val="20"/>
    </w:rPr>
  </w:style>
  <w:style w:type="paragraph" w:styleId="12">
    <w:name w:val="toc 5"/>
    <w:basedOn w:val="1"/>
    <w:next w:val="1"/>
    <w:unhideWhenUsed/>
    <w:qFormat/>
    <w:uiPriority w:val="39"/>
    <w:pPr>
      <w:ind w:left="1120"/>
      <w:jc w:val="left"/>
    </w:pPr>
    <w:rPr>
      <w:rFonts w:cs="Calibri"/>
      <w:sz w:val="18"/>
      <w:szCs w:val="18"/>
    </w:rPr>
  </w:style>
  <w:style w:type="paragraph" w:styleId="13">
    <w:name w:val="toc 3"/>
    <w:basedOn w:val="1"/>
    <w:next w:val="1"/>
    <w:unhideWhenUsed/>
    <w:qFormat/>
    <w:uiPriority w:val="39"/>
    <w:pPr>
      <w:ind w:left="560"/>
      <w:jc w:val="left"/>
    </w:pPr>
    <w:rPr>
      <w:rFonts w:cs="Calibri"/>
      <w:i/>
      <w:iCs/>
      <w:sz w:val="20"/>
      <w:szCs w:val="20"/>
    </w:rPr>
  </w:style>
  <w:style w:type="paragraph" w:styleId="14">
    <w:name w:val="Plain Text"/>
    <w:basedOn w:val="1"/>
    <w:qFormat/>
    <w:uiPriority w:val="0"/>
    <w:rPr>
      <w:rFonts w:hint="eastAsia" w:ascii="宋体" w:hAnsi="Courier New"/>
      <w:szCs w:val="20"/>
    </w:rPr>
  </w:style>
  <w:style w:type="paragraph" w:styleId="15">
    <w:name w:val="toc 8"/>
    <w:basedOn w:val="1"/>
    <w:next w:val="1"/>
    <w:unhideWhenUsed/>
    <w:qFormat/>
    <w:uiPriority w:val="39"/>
    <w:pPr>
      <w:ind w:left="1960"/>
      <w:jc w:val="left"/>
    </w:pPr>
    <w:rPr>
      <w:rFonts w:cs="Calibri"/>
      <w:sz w:val="18"/>
      <w:szCs w:val="18"/>
    </w:rPr>
  </w:style>
  <w:style w:type="paragraph" w:styleId="16">
    <w:name w:val="Balloon Text"/>
    <w:basedOn w:val="1"/>
    <w:link w:val="40"/>
    <w:unhideWhenUsed/>
    <w:qFormat/>
    <w:uiPriority w:val="99"/>
    <w:rPr>
      <w:sz w:val="18"/>
      <w:szCs w:val="18"/>
    </w:rPr>
  </w:style>
  <w:style w:type="paragraph" w:styleId="17">
    <w:name w:val="footer"/>
    <w:basedOn w:val="1"/>
    <w:link w:val="42"/>
    <w:unhideWhenUsed/>
    <w:qFormat/>
    <w:uiPriority w:val="99"/>
    <w:pPr>
      <w:tabs>
        <w:tab w:val="center" w:pos="4153"/>
        <w:tab w:val="right" w:pos="8306"/>
      </w:tabs>
      <w:snapToGrid w:val="0"/>
      <w:jc w:val="left"/>
    </w:pPr>
    <w:rPr>
      <w:sz w:val="18"/>
      <w:szCs w:val="18"/>
    </w:rPr>
  </w:style>
  <w:style w:type="paragraph" w:styleId="18">
    <w:name w:val="header"/>
    <w:basedOn w:val="1"/>
    <w:link w:val="54"/>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pPr>
      <w:spacing w:before="120" w:after="120"/>
      <w:jc w:val="left"/>
    </w:pPr>
    <w:rPr>
      <w:rFonts w:cs="Calibri"/>
      <w:b/>
      <w:bCs/>
      <w:caps/>
      <w:sz w:val="20"/>
      <w:szCs w:val="20"/>
    </w:rPr>
  </w:style>
  <w:style w:type="paragraph" w:styleId="20">
    <w:name w:val="toc 4"/>
    <w:basedOn w:val="1"/>
    <w:next w:val="1"/>
    <w:unhideWhenUsed/>
    <w:qFormat/>
    <w:uiPriority w:val="39"/>
    <w:pPr>
      <w:ind w:left="840"/>
      <w:jc w:val="left"/>
    </w:pPr>
    <w:rPr>
      <w:rFonts w:cs="Calibri"/>
      <w:sz w:val="18"/>
      <w:szCs w:val="18"/>
    </w:rPr>
  </w:style>
  <w:style w:type="paragraph" w:styleId="21">
    <w:name w:val="toc 6"/>
    <w:basedOn w:val="1"/>
    <w:next w:val="1"/>
    <w:unhideWhenUsed/>
    <w:qFormat/>
    <w:uiPriority w:val="39"/>
    <w:pPr>
      <w:ind w:left="1400"/>
      <w:jc w:val="left"/>
    </w:pPr>
    <w:rPr>
      <w:rFonts w:cs="Calibri"/>
      <w:sz w:val="18"/>
      <w:szCs w:val="18"/>
    </w:rPr>
  </w:style>
  <w:style w:type="paragraph" w:styleId="22">
    <w:name w:val="toc 2"/>
    <w:basedOn w:val="1"/>
    <w:next w:val="1"/>
    <w:unhideWhenUsed/>
    <w:qFormat/>
    <w:uiPriority w:val="39"/>
    <w:pPr>
      <w:ind w:left="280"/>
      <w:jc w:val="left"/>
    </w:pPr>
    <w:rPr>
      <w:rFonts w:cs="Calibri"/>
      <w:smallCaps/>
      <w:sz w:val="20"/>
      <w:szCs w:val="20"/>
    </w:rPr>
  </w:style>
  <w:style w:type="paragraph" w:styleId="23">
    <w:name w:val="toc 9"/>
    <w:basedOn w:val="1"/>
    <w:next w:val="1"/>
    <w:unhideWhenUsed/>
    <w:qFormat/>
    <w:uiPriority w:val="39"/>
    <w:pPr>
      <w:ind w:left="2240"/>
      <w:jc w:val="left"/>
    </w:pPr>
    <w:rPr>
      <w:rFonts w:cs="Calibri"/>
      <w:sz w:val="18"/>
      <w:szCs w:val="18"/>
    </w:rPr>
  </w:style>
  <w:style w:type="paragraph" w:styleId="24">
    <w:name w:val="Title"/>
    <w:basedOn w:val="1"/>
    <w:qFormat/>
    <w:uiPriority w:val="10"/>
    <w:pPr>
      <w:spacing w:before="240" w:after="60"/>
      <w:jc w:val="center"/>
      <w:outlineLvl w:val="0"/>
    </w:pPr>
    <w:rPr>
      <w:rFonts w:ascii="Arial" w:hAnsi="Arial"/>
      <w:b/>
      <w:sz w:val="32"/>
    </w:rPr>
  </w:style>
  <w:style w:type="paragraph" w:styleId="25">
    <w:name w:val="annotation subject"/>
    <w:basedOn w:val="11"/>
    <w:next w:val="11"/>
    <w:link w:val="37"/>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paragraph" w:customStyle="1" w:styleId="31">
    <w:name w:val="闻政-正文一级标题"/>
    <w:basedOn w:val="2"/>
    <w:next w:val="32"/>
    <w:link w:val="33"/>
    <w:qFormat/>
    <w:uiPriority w:val="3"/>
    <w:pPr>
      <w:spacing w:before="120" w:after="60" w:line="500" w:lineRule="exact"/>
      <w:ind w:firstLine="0" w:firstLineChars="0"/>
      <w:outlineLvl w:val="0"/>
    </w:pPr>
    <w:rPr>
      <w:rFonts w:ascii="黑体" w:hAnsi="黑体" w:eastAsia="黑体" w:cs="Times New Roman"/>
      <w:kern w:val="0"/>
      <w:sz w:val="32"/>
    </w:rPr>
  </w:style>
  <w:style w:type="paragraph" w:customStyle="1" w:styleId="32">
    <w:name w:val="闻政-正文段落文字"/>
    <w:basedOn w:val="1"/>
    <w:link w:val="53"/>
    <w:qFormat/>
    <w:uiPriority w:val="3"/>
    <w:pPr>
      <w:spacing w:line="500" w:lineRule="exact"/>
      <w:ind w:firstLine="200"/>
    </w:pPr>
    <w:rPr>
      <w:rFonts w:ascii="Times New Roman" w:hAnsi="Times New Roman" w:cs="Times New Roman"/>
      <w:kern w:val="0"/>
      <w:szCs w:val="28"/>
    </w:rPr>
  </w:style>
  <w:style w:type="character" w:customStyle="1" w:styleId="33">
    <w:name w:val="闻政-正文一级标题 Char"/>
    <w:link w:val="31"/>
    <w:qFormat/>
    <w:uiPriority w:val="3"/>
    <w:rPr>
      <w:rFonts w:ascii="黑体" w:hAnsi="黑体" w:eastAsia="黑体" w:cs="Times New Roman"/>
      <w:bCs/>
      <w:sz w:val="32"/>
      <w:szCs w:val="32"/>
    </w:rPr>
  </w:style>
  <w:style w:type="paragraph" w:customStyle="1" w:styleId="34">
    <w:name w:val="_Style 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5">
    <w:name w:val="无间隔 字符"/>
    <w:link w:val="7"/>
    <w:qFormat/>
    <w:uiPriority w:val="1"/>
    <w:rPr>
      <w:rFonts w:eastAsia="仿宋_GB2312" w:cs="黑体"/>
      <w:kern w:val="2"/>
      <w:sz w:val="28"/>
      <w:szCs w:val="22"/>
      <w:lang w:val="en-US" w:eastAsia="zh-CN" w:bidi="ar-SA"/>
    </w:rPr>
  </w:style>
  <w:style w:type="character" w:customStyle="1" w:styleId="36">
    <w:name w:val="明显参考1"/>
    <w:qFormat/>
    <w:uiPriority w:val="0"/>
    <w:rPr>
      <w:b/>
      <w:bCs/>
      <w:smallCaps/>
      <w:color w:val="C0504D"/>
      <w:spacing w:val="5"/>
      <w:u w:val="single"/>
    </w:rPr>
  </w:style>
  <w:style w:type="character" w:customStyle="1" w:styleId="37">
    <w:name w:val="批注主题 字符"/>
    <w:link w:val="25"/>
    <w:semiHidden/>
    <w:qFormat/>
    <w:uiPriority w:val="99"/>
    <w:rPr>
      <w:rFonts w:ascii="Calibri" w:hAnsi="Calibri" w:eastAsia="仿宋_GB2312" w:cs="黑体"/>
      <w:b/>
      <w:bCs/>
      <w:sz w:val="20"/>
      <w:szCs w:val="20"/>
    </w:rPr>
  </w:style>
  <w:style w:type="character" w:customStyle="1" w:styleId="38">
    <w:name w:val="正文文本首行缩进 2 字符"/>
    <w:link w:val="4"/>
    <w:qFormat/>
    <w:uiPriority w:val="0"/>
    <w:rPr>
      <w:rFonts w:ascii="Calibri" w:hAnsi="Calibri" w:eastAsia="仿宋_GB2312" w:cs="黑体"/>
      <w:sz w:val="28"/>
    </w:rPr>
  </w:style>
  <w:style w:type="character" w:customStyle="1" w:styleId="39">
    <w:name w:val="标题 2 字符"/>
    <w:link w:val="6"/>
    <w:qFormat/>
    <w:uiPriority w:val="0"/>
    <w:rPr>
      <w:rFonts w:ascii="Cambria" w:hAnsi="Cambria" w:eastAsia="仿宋_GB2312" w:cs="Times New Roman"/>
      <w:b/>
      <w:bCs/>
      <w:kern w:val="0"/>
      <w:sz w:val="30"/>
      <w:szCs w:val="32"/>
    </w:rPr>
  </w:style>
  <w:style w:type="character" w:customStyle="1" w:styleId="40">
    <w:name w:val="批注框文本 字符"/>
    <w:link w:val="16"/>
    <w:semiHidden/>
    <w:qFormat/>
    <w:uiPriority w:val="99"/>
    <w:rPr>
      <w:rFonts w:ascii="Calibri" w:hAnsi="Calibri" w:eastAsia="仿宋_GB2312" w:cs="黑体"/>
      <w:sz w:val="18"/>
      <w:szCs w:val="18"/>
    </w:rPr>
  </w:style>
  <w:style w:type="character" w:customStyle="1" w:styleId="41">
    <w:name w:val="标题 1 字符"/>
    <w:link w:val="3"/>
    <w:qFormat/>
    <w:uiPriority w:val="9"/>
    <w:rPr>
      <w:rFonts w:ascii="Times New Roman" w:hAnsi="Times New Roman" w:eastAsia="仿宋_GB2312" w:cs="Times New Roman"/>
      <w:b/>
      <w:bCs/>
      <w:kern w:val="44"/>
      <w:sz w:val="32"/>
      <w:szCs w:val="44"/>
    </w:rPr>
  </w:style>
  <w:style w:type="character" w:customStyle="1" w:styleId="42">
    <w:name w:val="页脚 字符"/>
    <w:link w:val="17"/>
    <w:qFormat/>
    <w:uiPriority w:val="99"/>
    <w:rPr>
      <w:rFonts w:ascii="Calibri" w:hAnsi="Calibri" w:eastAsia="仿宋_GB2312" w:cs="黑体"/>
      <w:sz w:val="18"/>
      <w:szCs w:val="18"/>
    </w:rPr>
  </w:style>
  <w:style w:type="character" w:customStyle="1" w:styleId="43">
    <w:name w:val="批注文字 字符"/>
    <w:link w:val="11"/>
    <w:semiHidden/>
    <w:qFormat/>
    <w:uiPriority w:val="99"/>
    <w:rPr>
      <w:rFonts w:ascii="Calibri" w:hAnsi="Calibri" w:eastAsia="仿宋_GB2312" w:cs="黑体"/>
      <w:sz w:val="20"/>
      <w:szCs w:val="20"/>
    </w:rPr>
  </w:style>
  <w:style w:type="character" w:customStyle="1" w:styleId="44">
    <w:name w:val="正文文本缩进 字符"/>
    <w:link w:val="5"/>
    <w:semiHidden/>
    <w:qFormat/>
    <w:uiPriority w:val="99"/>
    <w:rPr>
      <w:rFonts w:ascii="Calibri" w:hAnsi="Calibri" w:eastAsia="仿宋_GB2312" w:cs="黑体"/>
      <w:sz w:val="28"/>
    </w:rPr>
  </w:style>
  <w:style w:type="character" w:customStyle="1" w:styleId="45">
    <w:name w:val="闻政-正文三级标题 Char"/>
    <w:link w:val="46"/>
    <w:qFormat/>
    <w:uiPriority w:val="3"/>
    <w:rPr>
      <w:rFonts w:ascii="Times New Roman" w:hAnsi="Times New Roman" w:eastAsia="仿宋_GB2312" w:cs="Times New Roman"/>
      <w:b/>
      <w:snapToGrid/>
      <w:sz w:val="28"/>
      <w:szCs w:val="28"/>
    </w:rPr>
  </w:style>
  <w:style w:type="paragraph" w:customStyle="1" w:styleId="46">
    <w:name w:val="闻政-正文三级标题"/>
    <w:basedOn w:val="1"/>
    <w:next w:val="32"/>
    <w:link w:val="45"/>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47">
    <w:name w:val="闻政-正文四级标题 Char"/>
    <w:link w:val="48"/>
    <w:qFormat/>
    <w:uiPriority w:val="3"/>
    <w:rPr>
      <w:rFonts w:ascii="Times New Roman" w:hAnsi="Times New Roman" w:eastAsia="仿宋_GB2312" w:cs="Times New Roman"/>
      <w:snapToGrid/>
      <w:sz w:val="28"/>
      <w:szCs w:val="28"/>
    </w:rPr>
  </w:style>
  <w:style w:type="paragraph" w:customStyle="1" w:styleId="48">
    <w:name w:val="闻政-正文四级标题"/>
    <w:basedOn w:val="46"/>
    <w:next w:val="32"/>
    <w:link w:val="47"/>
    <w:qFormat/>
    <w:uiPriority w:val="3"/>
    <w:rPr>
      <w:b w:val="0"/>
    </w:rPr>
  </w:style>
  <w:style w:type="character" w:customStyle="1" w:styleId="49">
    <w:name w:val="标题 3 字符"/>
    <w:link w:val="2"/>
    <w:qFormat/>
    <w:uiPriority w:val="9"/>
    <w:rPr>
      <w:rFonts w:ascii="Calibri" w:hAnsi="Calibri" w:eastAsia="仿宋_GB2312" w:cs="黑体"/>
      <w:bCs/>
      <w:sz w:val="28"/>
      <w:szCs w:val="32"/>
    </w:rPr>
  </w:style>
  <w:style w:type="character" w:customStyle="1" w:styleId="50">
    <w:name w:val="标题 4 字符"/>
    <w:link w:val="8"/>
    <w:semiHidden/>
    <w:qFormat/>
    <w:uiPriority w:val="9"/>
    <w:rPr>
      <w:rFonts w:ascii="Cambria" w:hAnsi="Cambria" w:eastAsia="宋体" w:cs="Times New Roman"/>
      <w:b/>
      <w:bCs/>
      <w:sz w:val="28"/>
      <w:szCs w:val="28"/>
    </w:rPr>
  </w:style>
  <w:style w:type="character" w:customStyle="1" w:styleId="51">
    <w:name w:val="闻政-正文二级标题 Char"/>
    <w:link w:val="52"/>
    <w:qFormat/>
    <w:uiPriority w:val="3"/>
    <w:rPr>
      <w:rFonts w:ascii="Times New Roman" w:hAnsi="Times New Roman" w:eastAsia="仿宋_GB2312" w:cs="Times New Roman"/>
      <w:b/>
      <w:bCs/>
      <w:sz w:val="28"/>
      <w:szCs w:val="32"/>
    </w:rPr>
  </w:style>
  <w:style w:type="paragraph" w:customStyle="1" w:styleId="52">
    <w:name w:val="闻政-正文二级标题"/>
    <w:basedOn w:val="6"/>
    <w:next w:val="32"/>
    <w:link w:val="51"/>
    <w:qFormat/>
    <w:uiPriority w:val="3"/>
    <w:pPr>
      <w:spacing w:before="120" w:after="60" w:line="500" w:lineRule="exact"/>
      <w:ind w:left="200" w:leftChars="200" w:firstLine="0" w:firstLineChars="0"/>
    </w:pPr>
    <w:rPr>
      <w:rFonts w:ascii="Times New Roman" w:hAnsi="Times New Roman"/>
      <w:sz w:val="28"/>
    </w:rPr>
  </w:style>
  <w:style w:type="character" w:customStyle="1" w:styleId="53">
    <w:name w:val="闻政-正文段落文字 Char"/>
    <w:link w:val="32"/>
    <w:qFormat/>
    <w:uiPriority w:val="3"/>
    <w:rPr>
      <w:rFonts w:ascii="Times New Roman" w:hAnsi="Times New Roman" w:eastAsia="仿宋_GB2312" w:cs="Times New Roman"/>
      <w:sz w:val="28"/>
      <w:szCs w:val="28"/>
    </w:rPr>
  </w:style>
  <w:style w:type="character" w:customStyle="1" w:styleId="54">
    <w:name w:val="页眉 字符"/>
    <w:link w:val="18"/>
    <w:qFormat/>
    <w:uiPriority w:val="99"/>
    <w:rPr>
      <w:rFonts w:ascii="Calibri" w:hAnsi="Calibri" w:eastAsia="仿宋_GB2312" w:cs="黑体"/>
      <w:sz w:val="18"/>
      <w:szCs w:val="18"/>
    </w:rPr>
  </w:style>
  <w:style w:type="character" w:customStyle="1" w:styleId="55">
    <w:name w:val="文档结构图 字符"/>
    <w:link w:val="10"/>
    <w:semiHidden/>
    <w:qFormat/>
    <w:uiPriority w:val="99"/>
    <w:rPr>
      <w:rFonts w:ascii="宋体" w:hAnsi="Calibri" w:eastAsia="宋体" w:cs="黑体"/>
      <w:sz w:val="18"/>
      <w:szCs w:val="18"/>
    </w:rPr>
  </w:style>
  <w:style w:type="paragraph" w:styleId="56">
    <w:name w:val="List Paragraph"/>
    <w:basedOn w:val="1"/>
    <w:qFormat/>
    <w:uiPriority w:val="34"/>
    <w:pPr>
      <w:ind w:firstLine="420"/>
    </w:pPr>
  </w:style>
  <w:style w:type="paragraph" w:customStyle="1" w:styleId="57">
    <w:name w:val="闻政表"/>
    <w:basedOn w:val="1"/>
    <w:qFormat/>
    <w:uiPriority w:val="99"/>
    <w:pPr>
      <w:spacing w:before="60" w:after="60"/>
      <w:jc w:val="center"/>
    </w:pPr>
    <w:rPr>
      <w:rFonts w:ascii="Times New Roman" w:hAnsi="Times New Roman"/>
      <w:b/>
      <w:sz w:val="24"/>
      <w:szCs w:val="28"/>
    </w:rPr>
  </w:style>
  <w:style w:type="paragraph" w:customStyle="1" w:styleId="58">
    <w:name w:val="WPSOffice手动目录 1"/>
    <w:qFormat/>
    <w:uiPriority w:val="0"/>
    <w:rPr>
      <w:rFonts w:ascii="Times New Roman" w:hAnsi="Times New Roman" w:eastAsia="宋体" w:cs="Times New Roman"/>
      <w:lang w:val="en-US" w:eastAsia="zh-CN" w:bidi="ar-SA"/>
    </w:rPr>
  </w:style>
  <w:style w:type="paragraph" w:customStyle="1" w:styleId="5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60">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6BA5C9-CD2E-4421-891E-71FCDB8FE82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2326</Words>
  <Characters>13262</Characters>
  <Lines>110</Lines>
  <Paragraphs>31</Paragraphs>
  <TotalTime>15</TotalTime>
  <ScaleCrop>false</ScaleCrop>
  <LinksUpToDate>false</LinksUpToDate>
  <CharactersWithSpaces>15557</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2022-01-30T02:31:00Z</dcterms:created>
  <dc:creator>User</dc:creator>
  <cp:lastModifiedBy>Lenovo</cp:lastModifiedBy>
  <cp:lastPrinted>2022-01-30T02:30:00Z</cp:lastPrinted>
  <dcterms:modified xsi:type="dcterms:W3CDTF">2024-06-27T03:23:29Z</dcterms:modified>
  <dc:title>项目支出绩效评价报告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