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ind w:left="0" w:leftChars="0" w:firstLine="0" w:firstLineChars="0"/>
        <w:jc w:val="center"/>
        <w:rPr>
          <w:rFonts w:ascii="仿宋_GB2312" w:hAnsi="Arial"/>
          <w:b/>
          <w:color w:val="auto"/>
          <w:szCs w:val="44"/>
          <w:highlight w:val="none"/>
        </w:rPr>
      </w:pPr>
      <w:bookmarkStart w:id="0" w:name="_Toc4267"/>
      <w:bookmarkStart w:id="1" w:name="_Toc10470"/>
      <w:bookmarkStart w:id="219" w:name="_GoBack"/>
      <w:r>
        <w:rPr>
          <w:rFonts w:hint="eastAsia"/>
          <w:b/>
          <w:bCs/>
          <w:color w:val="auto"/>
          <w:sz w:val="44"/>
          <w:szCs w:val="44"/>
          <w:highlight w:val="none"/>
          <w:lang w:val="en-US" w:eastAsia="zh-CN"/>
        </w:rPr>
        <w:t>部门单位</w:t>
      </w:r>
      <w:r>
        <w:rPr>
          <w:rFonts w:hint="eastAsia"/>
          <w:b/>
          <w:bCs/>
          <w:color w:val="auto"/>
          <w:sz w:val="44"/>
          <w:szCs w:val="44"/>
          <w:highlight w:val="none"/>
        </w:rPr>
        <w:t>项目支出绩效评价报告</w:t>
      </w:r>
      <w:bookmarkEnd w:id="0"/>
      <w:bookmarkEnd w:id="1"/>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hint="eastAsia" w:ascii="仿宋" w:hAnsi="仿宋" w:eastAsia="仿宋" w:cs="仿宋"/>
          <w:b/>
          <w:color w:val="auto"/>
          <w:kern w:val="0"/>
          <w:sz w:val="28"/>
          <w:szCs w:val="28"/>
          <w:highlight w:val="none"/>
          <w:lang w:val="en-US" w:eastAsia="zh-CN" w:bidi="en-US"/>
        </w:rPr>
      </w:pPr>
      <w:r>
        <w:rPr>
          <w:rFonts w:hint="eastAsia" w:ascii="仿宋" w:hAnsi="仿宋" w:eastAsia="仿宋" w:cs="仿宋"/>
          <w:b/>
          <w:color w:val="auto"/>
          <w:kern w:val="0"/>
          <w:sz w:val="28"/>
          <w:szCs w:val="28"/>
          <w:highlight w:val="none"/>
          <w:lang w:eastAsia="zh-CN" w:bidi="en-US"/>
        </w:rPr>
        <w:t>（</w:t>
      </w:r>
      <w:r>
        <w:rPr>
          <w:rFonts w:hint="eastAsia" w:ascii="仿宋" w:hAnsi="仿宋" w:eastAsia="仿宋" w:cs="仿宋"/>
          <w:b/>
          <w:color w:val="auto"/>
          <w:kern w:val="0"/>
          <w:sz w:val="28"/>
          <w:szCs w:val="28"/>
          <w:highlight w:val="none"/>
          <w:lang w:val="en-US" w:eastAsia="zh-CN" w:bidi="en-US"/>
        </w:rPr>
        <w:t>2023年度）</w:t>
      </w: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left="2532" w:leftChars="300" w:hanging="1692" w:hangingChars="529"/>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项目名称：</w:t>
      </w:r>
      <w:r>
        <w:rPr>
          <w:rFonts w:hint="eastAsia" w:ascii="仿宋_GB2312" w:hAnsi="Times New Roman" w:cs="Times New Roman"/>
          <w:color w:val="auto"/>
          <w:kern w:val="0"/>
          <w:sz w:val="32"/>
          <w:szCs w:val="32"/>
          <w:highlight w:val="none"/>
          <w:lang w:eastAsia="zh-CN" w:bidi="en-US"/>
        </w:rPr>
        <w:t>2023年岳普湖县小麦一喷三防补助项目</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项目单位：</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主管部门：</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项目负责人：</w:t>
      </w:r>
      <w:r>
        <w:rPr>
          <w:rFonts w:hint="eastAsia" w:ascii="仿宋_GB2312" w:hAnsi="Times New Roman" w:cs="Times New Roman"/>
          <w:color w:val="auto"/>
          <w:kern w:val="0"/>
          <w:sz w:val="32"/>
          <w:szCs w:val="32"/>
          <w:highlight w:val="none"/>
          <w:lang w:eastAsia="zh-CN" w:bidi="en-US"/>
        </w:rPr>
        <w:t>艾合麦提·萨迪尔</w:t>
      </w:r>
    </w:p>
    <w:p>
      <w:pPr>
        <w:spacing w:line="480" w:lineRule="auto"/>
        <w:ind w:left="2875" w:leftChars="300" w:hanging="2035" w:hangingChars="636"/>
        <w:jc w:val="left"/>
        <w:rPr>
          <w:rFonts w:ascii="仿宋_GB2312" w:hAnsi="Times New Roman" w:cs="Times New Roman"/>
          <w:color w:val="auto"/>
          <w:kern w:val="0"/>
          <w:sz w:val="32"/>
          <w:szCs w:val="32"/>
          <w:highlight w:val="none"/>
          <w:lang w:bidi="en-US"/>
        </w:rPr>
      </w:pPr>
      <w:r>
        <w:rPr>
          <w:rFonts w:hint="eastAsia" w:ascii="仿宋_GB2312" w:hAnsi="Times New Roman" w:cs="Times New Roman"/>
          <w:color w:val="auto"/>
          <w:kern w:val="0"/>
          <w:sz w:val="32"/>
          <w:szCs w:val="32"/>
          <w:highlight w:val="none"/>
          <w:lang w:bidi="en-US"/>
        </w:rPr>
        <w:t>填报时间：202</w:t>
      </w:r>
      <w:r>
        <w:rPr>
          <w:rFonts w:hint="eastAsia" w:ascii="仿宋_GB2312" w:hAnsi="Times New Roman" w:cs="Times New Roman"/>
          <w:color w:val="auto"/>
          <w:kern w:val="0"/>
          <w:sz w:val="32"/>
          <w:szCs w:val="32"/>
          <w:highlight w:val="none"/>
          <w:lang w:val="en-US" w:eastAsia="zh-CN" w:bidi="en-US"/>
        </w:rPr>
        <w:t>3</w:t>
      </w:r>
      <w:r>
        <w:rPr>
          <w:rFonts w:hint="eastAsia" w:ascii="仿宋_GB2312" w:hAnsi="Times New Roman" w:cs="Times New Roman"/>
          <w:color w:val="auto"/>
          <w:kern w:val="0"/>
          <w:sz w:val="32"/>
          <w:szCs w:val="32"/>
          <w:highlight w:val="none"/>
          <w:lang w:bidi="en-US"/>
        </w:rPr>
        <w:t>年12月31日</w:t>
      </w:r>
    </w:p>
    <w:p>
      <w:pPr>
        <w:ind w:firstLine="0" w:firstLineChars="0"/>
        <w:rPr>
          <w:color w:val="auto"/>
          <w:szCs w:val="44"/>
          <w:highlight w:val="none"/>
        </w:rPr>
      </w:pPr>
      <w:r>
        <w:rPr>
          <w:rFonts w:hint="eastAsia" w:ascii="仿宋_GB2312" w:hAnsi="Times New Roman" w:cs="Times New Roman"/>
          <w:color w:val="auto"/>
          <w:kern w:val="0"/>
          <w:sz w:val="32"/>
          <w:szCs w:val="32"/>
          <w:highlight w:val="none"/>
          <w:lang w:bidi="en-US"/>
        </w:rPr>
        <w:br w:type="page"/>
      </w:r>
    </w:p>
    <w:p>
      <w:pPr>
        <w:pStyle w:val="19"/>
        <w:tabs>
          <w:tab w:val="right" w:leader="dot" w:pos="8296"/>
        </w:tabs>
        <w:ind w:firstLine="723"/>
        <w:jc w:val="center"/>
        <w:rPr>
          <w:rFonts w:ascii="黑体" w:hAnsi="黑体" w:eastAsia="黑体" w:cs="黑体"/>
          <w:color w:val="auto"/>
          <w:sz w:val="36"/>
          <w:szCs w:val="36"/>
          <w:highlight w:val="none"/>
        </w:rPr>
      </w:pPr>
      <w:bookmarkStart w:id="2" w:name="_Toc22132_WPSOffice_Level1"/>
      <w:bookmarkStart w:id="3" w:name="_Toc17858_WPSOffice_Level1"/>
      <w:r>
        <w:rPr>
          <w:rFonts w:hint="eastAsia" w:ascii="黑体" w:hAnsi="黑体" w:eastAsia="黑体" w:cs="黑体"/>
          <w:color w:val="auto"/>
          <w:sz w:val="36"/>
          <w:szCs w:val="36"/>
          <w:highlight w:val="none"/>
        </w:rPr>
        <w:t>目   录</w:t>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TOC \o "1-2" \h \z \u </w:instrText>
      </w:r>
      <w:r>
        <w:rPr>
          <w:color w:val="auto"/>
          <w:highlight w:val="none"/>
        </w:rPr>
        <w:fldChar w:fldCharType="separate"/>
      </w:r>
      <w:r>
        <w:rPr>
          <w:color w:val="auto"/>
          <w:highlight w:val="none"/>
        </w:rPr>
        <w:fldChar w:fldCharType="begin"/>
      </w:r>
      <w:r>
        <w:rPr>
          <w:color w:val="auto"/>
          <w:highlight w:val="none"/>
        </w:rPr>
        <w:instrText xml:space="preserve"> HYPERLINK \l "_Toc127054583" </w:instrText>
      </w:r>
      <w:r>
        <w:rPr>
          <w:color w:val="auto"/>
          <w:highlight w:val="none"/>
        </w:rPr>
        <w:fldChar w:fldCharType="separate"/>
      </w:r>
      <w:r>
        <w:rPr>
          <w:rStyle w:val="29"/>
          <w:color w:val="auto"/>
          <w:sz w:val="30"/>
          <w:szCs w:val="30"/>
          <w:highlight w:val="none"/>
        </w:rPr>
        <w:t>一、基本情况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_Toc127054583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"_Toc127054584" </w:instrText>
      </w:r>
      <w:r>
        <w:rPr>
          <w:color w:val="auto"/>
          <w:highlight w:val="none"/>
        </w:rPr>
        <w:fldChar w:fldCharType="separate"/>
      </w:r>
      <w:r>
        <w:rPr>
          <w:rStyle w:val="29"/>
          <w:color w:val="auto"/>
          <w:sz w:val="30"/>
          <w:szCs w:val="30"/>
          <w:highlight w:val="none"/>
        </w:rPr>
        <w:t>（一）项目概况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_Toc127054584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jc w:val="both"/>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"_Toc127054585" </w:instrText>
      </w:r>
      <w:r>
        <w:rPr>
          <w:color w:val="auto"/>
          <w:highlight w:val="none"/>
        </w:rPr>
        <w:fldChar w:fldCharType="separate"/>
      </w:r>
      <w:r>
        <w:rPr>
          <w:rStyle w:val="29"/>
          <w:color w:val="auto"/>
          <w:sz w:val="30"/>
          <w:szCs w:val="30"/>
          <w:highlight w:val="none"/>
        </w:rPr>
        <w:t>（二）项目绩效目标</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_Toc127054585 \h </w:instrText>
      </w:r>
      <w:r>
        <w:rPr>
          <w:color w:val="auto"/>
          <w:sz w:val="30"/>
          <w:szCs w:val="30"/>
          <w:highlight w:val="none"/>
        </w:rPr>
        <w:fldChar w:fldCharType="separate"/>
      </w:r>
      <w:r>
        <w:rPr>
          <w:color w:val="auto"/>
          <w:sz w:val="30"/>
          <w:szCs w:val="30"/>
          <w:highlight w:val="none"/>
        </w:rPr>
        <w:t>- 4 -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"_Toc127054586" </w:instrText>
      </w:r>
      <w:r>
        <w:rPr>
          <w:color w:val="auto"/>
          <w:highlight w:val="none"/>
        </w:rPr>
        <w:fldChar w:fldCharType="separate"/>
      </w:r>
      <w:r>
        <w:rPr>
          <w:rStyle w:val="29"/>
          <w:color w:val="auto"/>
          <w:sz w:val="30"/>
          <w:szCs w:val="30"/>
          <w:highlight w:val="none"/>
        </w:rPr>
        <w:t>二、绩效评价工作开展情况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_Toc127054586 \h </w:instrText>
      </w:r>
      <w:r>
        <w:rPr>
          <w:color w:val="auto"/>
          <w:sz w:val="30"/>
          <w:szCs w:val="30"/>
          <w:highlight w:val="none"/>
        </w:rPr>
        <w:fldChar w:fldCharType="separate"/>
      </w:r>
      <w:r>
        <w:rPr>
          <w:color w:val="auto"/>
          <w:sz w:val="30"/>
          <w:szCs w:val="30"/>
          <w:highlight w:val="none"/>
        </w:rPr>
        <w:t>- 5 -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"_Toc127054587" </w:instrText>
      </w:r>
      <w:r>
        <w:rPr>
          <w:color w:val="auto"/>
          <w:highlight w:val="none"/>
        </w:rPr>
        <w:fldChar w:fldCharType="separate"/>
      </w:r>
      <w:r>
        <w:rPr>
          <w:rStyle w:val="29"/>
          <w:rFonts w:ascii="仿宋_GB2312" w:hAnsi="仿宋_GB2312" w:cs="仿宋_GB2312"/>
          <w:color w:val="auto"/>
          <w:sz w:val="30"/>
          <w:szCs w:val="30"/>
          <w:highlight w:val="none"/>
        </w:rPr>
        <w:t>（一）绩效评价目的、对象和范围</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_Toc127054587 \h </w:instrText>
      </w:r>
      <w:r>
        <w:rPr>
          <w:color w:val="auto"/>
          <w:sz w:val="30"/>
          <w:szCs w:val="30"/>
          <w:highlight w:val="none"/>
        </w:rPr>
        <w:fldChar w:fldCharType="separate"/>
      </w:r>
      <w:r>
        <w:rPr>
          <w:color w:val="auto"/>
          <w:sz w:val="30"/>
          <w:szCs w:val="30"/>
          <w:highlight w:val="none"/>
        </w:rPr>
        <w:t>- 5 -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"_Toc127054588" </w:instrText>
      </w:r>
      <w:r>
        <w:rPr>
          <w:color w:val="auto"/>
          <w:highlight w:val="none"/>
        </w:rPr>
        <w:fldChar w:fldCharType="separate"/>
      </w:r>
      <w:r>
        <w:rPr>
          <w:rStyle w:val="29"/>
          <w:rFonts w:ascii="仿宋_GB2312" w:hAnsi="仿宋_GB2312" w:cs="仿宋_GB2312"/>
          <w:color w:val="auto"/>
          <w:sz w:val="30"/>
          <w:szCs w:val="30"/>
          <w:highlight w:val="none"/>
        </w:rPr>
        <w:t>（二）绩效评价原则、评价指标体系、评价方法评价标准</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_Toc127054588 \h </w:instrText>
      </w:r>
      <w:r>
        <w:rPr>
          <w:color w:val="auto"/>
          <w:sz w:val="30"/>
          <w:szCs w:val="30"/>
          <w:highlight w:val="none"/>
        </w:rPr>
        <w:fldChar w:fldCharType="separate"/>
      </w:r>
      <w:r>
        <w:rPr>
          <w:color w:val="auto"/>
          <w:sz w:val="30"/>
          <w:szCs w:val="30"/>
          <w:highlight w:val="none"/>
        </w:rPr>
        <w:t>- 7 -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"_Toc127054589" </w:instrText>
      </w:r>
      <w:r>
        <w:rPr>
          <w:color w:val="auto"/>
          <w:highlight w:val="none"/>
        </w:rPr>
        <w:fldChar w:fldCharType="separate"/>
      </w:r>
      <w:r>
        <w:rPr>
          <w:rStyle w:val="29"/>
          <w:rFonts w:ascii="仿宋_GB2312" w:hAnsi="仿宋_GB2312" w:cs="仿宋_GB2312"/>
          <w:color w:val="auto"/>
          <w:sz w:val="30"/>
          <w:szCs w:val="30"/>
          <w:highlight w:val="none"/>
        </w:rPr>
        <w:t>（三）绩效评价工作过程</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_Toc127054589 \h </w:instrText>
      </w:r>
      <w:r>
        <w:rPr>
          <w:color w:val="auto"/>
          <w:sz w:val="30"/>
          <w:szCs w:val="30"/>
          <w:highlight w:val="none"/>
        </w:rPr>
        <w:fldChar w:fldCharType="separate"/>
      </w:r>
      <w:r>
        <w:rPr>
          <w:color w:val="auto"/>
          <w:sz w:val="30"/>
          <w:szCs w:val="30"/>
          <w:highlight w:val="none"/>
        </w:rPr>
        <w:t>- 11 -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"_Toc127054590" </w:instrText>
      </w:r>
      <w:r>
        <w:rPr>
          <w:color w:val="auto"/>
          <w:highlight w:val="none"/>
        </w:rPr>
        <w:fldChar w:fldCharType="separate"/>
      </w:r>
      <w:r>
        <w:rPr>
          <w:rStyle w:val="29"/>
          <w:color w:val="auto"/>
          <w:sz w:val="30"/>
          <w:szCs w:val="30"/>
          <w:highlight w:val="none"/>
        </w:rPr>
        <w:t>三、综合评价情况及评价结论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_Toc127054590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"_Toc127054591" </w:instrText>
      </w:r>
      <w:r>
        <w:rPr>
          <w:color w:val="auto"/>
          <w:highlight w:val="none"/>
        </w:rPr>
        <w:fldChar w:fldCharType="separate"/>
      </w:r>
      <w:r>
        <w:rPr>
          <w:rStyle w:val="29"/>
          <w:color w:val="auto"/>
          <w:sz w:val="30"/>
          <w:szCs w:val="30"/>
          <w:highlight w:val="none"/>
        </w:rPr>
        <w:t>（一）综合评价情况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_Toc127054591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"_Toc127054592" </w:instrText>
      </w:r>
      <w:r>
        <w:rPr>
          <w:color w:val="auto"/>
          <w:highlight w:val="none"/>
        </w:rPr>
        <w:fldChar w:fldCharType="separate"/>
      </w:r>
      <w:r>
        <w:rPr>
          <w:rStyle w:val="29"/>
          <w:color w:val="auto"/>
          <w:sz w:val="30"/>
          <w:szCs w:val="30"/>
          <w:highlight w:val="none"/>
        </w:rPr>
        <w:t>（二）综合评价结论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_Toc127054592 \h </w:instrText>
      </w:r>
      <w:r>
        <w:rPr>
          <w:color w:val="auto"/>
          <w:sz w:val="30"/>
          <w:szCs w:val="30"/>
          <w:highlight w:val="none"/>
        </w:rPr>
        <w:fldChar w:fldCharType="separate"/>
      </w:r>
      <w:r>
        <w:rPr>
          <w:color w:val="auto"/>
          <w:sz w:val="30"/>
          <w:szCs w:val="30"/>
          <w:highlight w:val="none"/>
        </w:rPr>
        <w:t>- 13 -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"_Toc127054593" </w:instrText>
      </w:r>
      <w:r>
        <w:rPr>
          <w:color w:val="auto"/>
          <w:highlight w:val="none"/>
        </w:rPr>
        <w:fldChar w:fldCharType="separate"/>
      </w:r>
      <w:r>
        <w:rPr>
          <w:rStyle w:val="29"/>
          <w:color w:val="auto"/>
          <w:sz w:val="30"/>
          <w:szCs w:val="30"/>
          <w:highlight w:val="none"/>
        </w:rPr>
        <w:t>四、绩效评价指标分析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_Toc127054593 \h </w:instrText>
      </w:r>
      <w:r>
        <w:rPr>
          <w:color w:val="auto"/>
          <w:sz w:val="30"/>
          <w:szCs w:val="30"/>
          <w:highlight w:val="none"/>
        </w:rPr>
        <w:fldChar w:fldCharType="separate"/>
      </w:r>
      <w:r>
        <w:rPr>
          <w:color w:val="auto"/>
          <w:sz w:val="30"/>
          <w:szCs w:val="30"/>
          <w:highlight w:val="none"/>
        </w:rPr>
        <w:t>- 14 -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"_Toc127054594" </w:instrText>
      </w:r>
      <w:r>
        <w:rPr>
          <w:color w:val="auto"/>
          <w:highlight w:val="none"/>
        </w:rPr>
        <w:fldChar w:fldCharType="separate"/>
      </w:r>
      <w:r>
        <w:rPr>
          <w:rStyle w:val="29"/>
          <w:rFonts w:ascii="仿宋_GB2312" w:hAnsi="仿宋_GB2312" w:cs="仿宋_GB2312"/>
          <w:color w:val="auto"/>
          <w:sz w:val="30"/>
          <w:szCs w:val="30"/>
          <w:highlight w:val="none"/>
        </w:rPr>
        <w:t>（一）项目决策情况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_Toc127054594 \h </w:instrText>
      </w:r>
      <w:r>
        <w:rPr>
          <w:color w:val="auto"/>
          <w:sz w:val="30"/>
          <w:szCs w:val="30"/>
          <w:highlight w:val="none"/>
        </w:rPr>
        <w:fldChar w:fldCharType="separate"/>
      </w:r>
      <w:r>
        <w:rPr>
          <w:color w:val="auto"/>
          <w:sz w:val="30"/>
          <w:szCs w:val="30"/>
          <w:highlight w:val="none"/>
        </w:rPr>
        <w:t>- 14 -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"_Toc127054595" </w:instrText>
      </w:r>
      <w:r>
        <w:rPr>
          <w:color w:val="auto"/>
          <w:highlight w:val="none"/>
        </w:rPr>
        <w:fldChar w:fldCharType="separate"/>
      </w:r>
      <w:r>
        <w:rPr>
          <w:rStyle w:val="29"/>
          <w:rFonts w:ascii="仿宋_GB2312" w:hAnsi="仿宋_GB2312" w:cs="仿宋_GB2312"/>
          <w:color w:val="auto"/>
          <w:sz w:val="30"/>
          <w:szCs w:val="30"/>
          <w:highlight w:val="none"/>
        </w:rPr>
        <w:t>（二）项目过程情况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_Toc127054595 \h </w:instrText>
      </w:r>
      <w:r>
        <w:rPr>
          <w:color w:val="auto"/>
          <w:sz w:val="30"/>
          <w:szCs w:val="30"/>
          <w:highlight w:val="none"/>
        </w:rPr>
        <w:fldChar w:fldCharType="separate"/>
      </w:r>
      <w:r>
        <w:rPr>
          <w:color w:val="auto"/>
          <w:sz w:val="30"/>
          <w:szCs w:val="30"/>
          <w:highlight w:val="none"/>
        </w:rPr>
        <w:t>- 16 -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"_Toc127054596" </w:instrText>
      </w:r>
      <w:r>
        <w:rPr>
          <w:color w:val="auto"/>
          <w:highlight w:val="none"/>
        </w:rPr>
        <w:fldChar w:fldCharType="separate"/>
      </w:r>
      <w:r>
        <w:rPr>
          <w:rStyle w:val="29"/>
          <w:rFonts w:ascii="仿宋_GB2312" w:hAnsi="仿宋_GB2312" w:cs="仿宋_GB2312"/>
          <w:color w:val="auto"/>
          <w:sz w:val="30"/>
          <w:szCs w:val="30"/>
          <w:highlight w:val="none"/>
        </w:rPr>
        <w:t>（三）项目产出情况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_Toc127054596 \h </w:instrText>
      </w:r>
      <w:r>
        <w:rPr>
          <w:color w:val="auto"/>
          <w:sz w:val="30"/>
          <w:szCs w:val="30"/>
          <w:highlight w:val="none"/>
        </w:rPr>
        <w:fldChar w:fldCharType="separate"/>
      </w:r>
      <w:r>
        <w:rPr>
          <w:color w:val="auto"/>
          <w:sz w:val="30"/>
          <w:szCs w:val="30"/>
          <w:highlight w:val="none"/>
        </w:rPr>
        <w:t>- 18 -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"_Toc127054597" </w:instrText>
      </w:r>
      <w:r>
        <w:rPr>
          <w:color w:val="auto"/>
          <w:highlight w:val="none"/>
        </w:rPr>
        <w:fldChar w:fldCharType="separate"/>
      </w:r>
      <w:r>
        <w:rPr>
          <w:rStyle w:val="29"/>
          <w:rFonts w:ascii="仿宋_GB2312" w:hAnsi="仿宋_GB2312" w:cs="仿宋_GB2312"/>
          <w:color w:val="auto"/>
          <w:sz w:val="30"/>
          <w:szCs w:val="30"/>
          <w:highlight w:val="none"/>
        </w:rPr>
        <w:t>（四）项目效益情况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_Toc127054597 \h </w:instrText>
      </w:r>
      <w:r>
        <w:rPr>
          <w:color w:val="auto"/>
          <w:sz w:val="30"/>
          <w:szCs w:val="30"/>
          <w:highlight w:val="none"/>
        </w:rPr>
        <w:fldChar w:fldCharType="separate"/>
      </w:r>
      <w:r>
        <w:rPr>
          <w:color w:val="auto"/>
          <w:sz w:val="30"/>
          <w:szCs w:val="30"/>
          <w:highlight w:val="none"/>
        </w:rPr>
        <w:t>- 19 -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"_Toc127054598" </w:instrText>
      </w:r>
      <w:r>
        <w:rPr>
          <w:color w:val="auto"/>
          <w:highlight w:val="none"/>
        </w:rPr>
        <w:fldChar w:fldCharType="separate"/>
      </w:r>
      <w:r>
        <w:rPr>
          <w:rStyle w:val="29"/>
          <w:color w:val="auto"/>
          <w:sz w:val="30"/>
          <w:szCs w:val="30"/>
          <w:highlight w:val="none"/>
        </w:rPr>
        <w:t>五、预算执行进度与绩效指标偏差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_Toc127054598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"_Toc127054599" </w:instrText>
      </w:r>
      <w:r>
        <w:rPr>
          <w:color w:val="auto"/>
          <w:highlight w:val="none"/>
        </w:rPr>
        <w:fldChar w:fldCharType="separate"/>
      </w:r>
      <w:r>
        <w:rPr>
          <w:rStyle w:val="29"/>
          <w:color w:val="auto"/>
          <w:sz w:val="30"/>
          <w:szCs w:val="30"/>
          <w:highlight w:val="none"/>
        </w:rPr>
        <w:t>六、主要经验及做法、存在的问题及原因分析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_Toc127054599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"_Toc127054600" </w:instrText>
      </w:r>
      <w:r>
        <w:rPr>
          <w:color w:val="auto"/>
          <w:highlight w:val="none"/>
        </w:rPr>
        <w:fldChar w:fldCharType="separate"/>
      </w:r>
      <w:r>
        <w:rPr>
          <w:rStyle w:val="29"/>
          <w:rFonts w:ascii="仿宋_GB2312" w:hAnsi="仿宋_GB2312" w:cs="仿宋_GB2312"/>
          <w:color w:val="auto"/>
          <w:sz w:val="30"/>
          <w:szCs w:val="30"/>
          <w:highlight w:val="none"/>
        </w:rPr>
        <w:t>（一）主要经验及做法</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_Toc127054600 \h </w:instrText>
      </w:r>
      <w:r>
        <w:rPr>
          <w:color w:val="auto"/>
          <w:sz w:val="30"/>
          <w:szCs w:val="30"/>
          <w:highlight w:val="none"/>
        </w:rPr>
        <w:fldChar w:fldCharType="separate"/>
      </w:r>
      <w:r>
        <w:rPr>
          <w:color w:val="auto"/>
          <w:sz w:val="30"/>
          <w:szCs w:val="30"/>
          <w:highlight w:val="none"/>
        </w:rPr>
        <w:t>- 22 -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"_Toc127054601" </w:instrText>
      </w:r>
      <w:r>
        <w:rPr>
          <w:color w:val="auto"/>
          <w:highlight w:val="none"/>
        </w:rPr>
        <w:fldChar w:fldCharType="separate"/>
      </w:r>
      <w:r>
        <w:rPr>
          <w:rStyle w:val="29"/>
          <w:rFonts w:ascii="仿宋_GB2312" w:hAnsi="仿宋_GB2312" w:cs="仿宋_GB2312"/>
          <w:color w:val="auto"/>
          <w:sz w:val="30"/>
          <w:szCs w:val="30"/>
          <w:highlight w:val="none"/>
        </w:rPr>
        <w:t>（二）存在问题及原因分析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_Toc127054601 \h </w:instrText>
      </w:r>
      <w:r>
        <w:rPr>
          <w:color w:val="auto"/>
          <w:sz w:val="30"/>
          <w:szCs w:val="30"/>
          <w:highlight w:val="none"/>
        </w:rPr>
        <w:fldChar w:fldCharType="separate"/>
      </w:r>
      <w:r>
        <w:rPr>
          <w:color w:val="auto"/>
          <w:sz w:val="30"/>
          <w:szCs w:val="30"/>
          <w:highlight w:val="none"/>
        </w:rPr>
        <w:t>- 22 -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"_Toc127054602" </w:instrText>
      </w:r>
      <w:r>
        <w:rPr>
          <w:color w:val="auto"/>
          <w:highlight w:val="none"/>
        </w:rPr>
        <w:fldChar w:fldCharType="separate"/>
      </w:r>
      <w:r>
        <w:rPr>
          <w:rStyle w:val="29"/>
          <w:color w:val="auto"/>
          <w:sz w:val="30"/>
          <w:szCs w:val="30"/>
          <w:highlight w:val="none"/>
        </w:rPr>
        <w:t>七、有关建议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_Toc127054602 \h </w:instrText>
      </w:r>
      <w:r>
        <w:rPr>
          <w:color w:val="auto"/>
          <w:sz w:val="30"/>
          <w:szCs w:val="30"/>
          <w:highlight w:val="none"/>
        </w:rPr>
        <w:fldChar w:fldCharType="separate"/>
      </w:r>
      <w:r>
        <w:rPr>
          <w:color w:val="auto"/>
          <w:sz w:val="30"/>
          <w:szCs w:val="30"/>
          <w:highlight w:val="none"/>
        </w:rPr>
        <w:t>- 22 -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"_Toc127054603" </w:instrText>
      </w:r>
      <w:r>
        <w:rPr>
          <w:color w:val="auto"/>
          <w:highlight w:val="none"/>
        </w:rPr>
        <w:fldChar w:fldCharType="separate"/>
      </w:r>
      <w:r>
        <w:rPr>
          <w:rStyle w:val="29"/>
          <w:color w:val="auto"/>
          <w:sz w:val="30"/>
          <w:szCs w:val="30"/>
          <w:highlight w:val="none"/>
        </w:rPr>
        <w:t>八、其他需要说明的问题</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_Toc127054603 \h </w:instrText>
      </w:r>
      <w:r>
        <w:rPr>
          <w:color w:val="auto"/>
          <w:sz w:val="30"/>
          <w:szCs w:val="30"/>
          <w:highlight w:val="none"/>
        </w:rPr>
        <w:fldChar w:fldCharType="separate"/>
      </w:r>
      <w:r>
        <w:rPr>
          <w:color w:val="auto"/>
          <w:sz w:val="30"/>
          <w:szCs w:val="30"/>
          <w:highlight w:val="none"/>
        </w:rPr>
        <w:t>- 23 -</w:t>
      </w:r>
      <w:r>
        <w:rPr>
          <w:color w:val="auto"/>
          <w:sz w:val="30"/>
          <w:szCs w:val="30"/>
          <w:highlight w:val="none"/>
        </w:rPr>
        <w:fldChar w:fldCharType="end"/>
      </w:r>
      <w:r>
        <w:rPr>
          <w:color w:val="auto"/>
          <w:sz w:val="30"/>
          <w:szCs w:val="30"/>
          <w:highlight w:val="none"/>
        </w:rPr>
        <w:fldChar w:fldCharType="end"/>
      </w:r>
    </w:p>
    <w:p>
      <w:pPr>
        <w:pStyle w:val="31"/>
        <w:keepNext w:val="0"/>
        <w:keepLines w:val="0"/>
        <w:spacing w:line="520" w:lineRule="exact"/>
        <w:ind w:firstLine="640" w:firstLineChars="200"/>
        <w:jc w:val="both"/>
        <w:rPr>
          <w:color w:val="auto"/>
          <w:highlight w:val="none"/>
        </w:rPr>
        <w:sectPr>
          <w:headerReference r:id="rId3" w:type="default"/>
          <w:footerReference r:id="rId4" w:type="default"/>
          <w:pgSz w:w="11906" w:h="16838"/>
          <w:pgMar w:top="1440" w:right="1800" w:bottom="1440" w:left="1800" w:header="851" w:footer="992" w:gutter="0"/>
          <w:pgNumType w:fmt="numberInDash" w:start="1"/>
          <w:cols w:space="720" w:num="1"/>
          <w:docGrid w:type="lines" w:linePitch="312" w:charSpace="0"/>
        </w:sectPr>
      </w:pPr>
      <w:r>
        <w:rPr>
          <w:color w:val="auto"/>
          <w:highlight w:val="none"/>
        </w:rPr>
        <w:fldChar w:fldCharType="end"/>
      </w:r>
      <w:bookmarkStart w:id="4" w:name="_Toc127054583"/>
      <w:bookmarkStart w:id="5" w:name="_Toc32254_WPSOffice_Level1"/>
      <w:bookmarkStart w:id="6" w:name="_Toc11547"/>
      <w:bookmarkStart w:id="7" w:name="_Toc17118"/>
      <w:bookmarkStart w:id="8" w:name="_Toc14304"/>
    </w:p>
    <w:p>
      <w:pPr>
        <w:pStyle w:val="31"/>
        <w:keepNext w:val="0"/>
        <w:keepLines w:val="0"/>
        <w:spacing w:line="520" w:lineRule="exact"/>
        <w:ind w:firstLine="640" w:firstLineChars="200"/>
        <w:jc w:val="both"/>
        <w:rPr>
          <w:color w:val="auto"/>
          <w:highlight w:val="none"/>
        </w:rPr>
      </w:pPr>
      <w:r>
        <w:rPr>
          <w:rFonts w:hint="eastAsia"/>
          <w:color w:val="auto"/>
          <w:highlight w:val="none"/>
        </w:rPr>
        <w:t>一、基本情况</w:t>
      </w:r>
      <w:bookmarkEnd w:id="2"/>
      <w:bookmarkEnd w:id="3"/>
      <w:bookmarkEnd w:id="4"/>
      <w:bookmarkEnd w:id="5"/>
      <w:bookmarkEnd w:id="6"/>
      <w:bookmarkEnd w:id="7"/>
      <w:bookmarkEnd w:id="8"/>
    </w:p>
    <w:p>
      <w:pPr>
        <w:pStyle w:val="52"/>
        <w:keepNext w:val="0"/>
        <w:keepLines w:val="0"/>
        <w:spacing w:line="520" w:lineRule="exact"/>
        <w:ind w:left="560"/>
        <w:jc w:val="both"/>
        <w:rPr>
          <w:color w:val="auto"/>
          <w:highlight w:val="none"/>
        </w:rPr>
      </w:pPr>
      <w:bookmarkStart w:id="9" w:name="_Toc1545_WPSOffice_Level2"/>
      <w:bookmarkStart w:id="10" w:name="_Toc127054584"/>
      <w:bookmarkStart w:id="11" w:name="_Toc6398"/>
      <w:bookmarkStart w:id="12" w:name="_Toc24286"/>
      <w:bookmarkStart w:id="13" w:name="_Toc31410"/>
      <w:bookmarkStart w:id="14" w:name="_Toc5769"/>
      <w:bookmarkStart w:id="15" w:name="_Toc17504"/>
      <w:bookmarkStart w:id="16" w:name="_Toc32174_WPSOffice_Level2"/>
      <w:bookmarkStart w:id="17" w:name="_Toc17283"/>
      <w:bookmarkStart w:id="18" w:name="_Toc12560_WPSOffice_Level2"/>
      <w:r>
        <w:rPr>
          <w:rFonts w:hint="eastAsia"/>
          <w:color w:val="auto"/>
          <w:highlight w:val="none"/>
        </w:rPr>
        <w:t>（一）项目概况</w:t>
      </w:r>
      <w:bookmarkEnd w:id="9"/>
      <w:bookmarkEnd w:id="10"/>
      <w:bookmarkEnd w:id="11"/>
      <w:bookmarkEnd w:id="12"/>
      <w:bookmarkEnd w:id="13"/>
      <w:bookmarkEnd w:id="14"/>
      <w:bookmarkEnd w:id="15"/>
      <w:bookmarkEnd w:id="16"/>
      <w:bookmarkEnd w:id="17"/>
      <w:bookmarkEnd w:id="1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1.项目背景</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治区财政支出绩效评价管理暂行办法》（新财预〔2018〕189号）等相关政策文件与规定，旨在评价</w:t>
      </w:r>
      <w:r>
        <w:rPr>
          <w:rFonts w:hint="eastAsia" w:ascii="仿宋_GB2312" w:hAnsi="仿宋_GB2312" w:cs="仿宋_GB2312"/>
          <w:color w:val="auto"/>
          <w:highlight w:val="none"/>
          <w:lang w:eastAsia="zh-CN"/>
        </w:rPr>
        <w:t>2023年岳普湖县小麦一喷三防补助项目</w:t>
      </w:r>
      <w:r>
        <w:rPr>
          <w:rFonts w:hint="eastAsia" w:ascii="仿宋_GB2312" w:hAnsi="仿宋_GB2312" w:cs="仿宋_GB2312"/>
          <w:color w:val="auto"/>
          <w:highlight w:val="none"/>
        </w:rPr>
        <w:t>实施前期、过程及效果，评价财政预算资金</w:t>
      </w:r>
      <w:r>
        <w:rPr>
          <w:rFonts w:hint="eastAsia" w:ascii="仿宋_GB2312" w:hAnsi="仿宋_GB2312" w:cs="仿宋_GB2312"/>
          <w:color w:val="auto"/>
          <w:highlight w:val="none"/>
        </w:rPr>
        <w:t>使用的效率及效益。</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小麦作为我国的主要粮食作物，其种植面积广泛，产量巨大，对于保障国家的粮食安全具有不可替代的作用。然而，在小麦种植过程中，病虫害问题一直是制约其产量和品质提升的关键因素。长期以来，农民们为了防治病虫害，不得不大量使用农药，这不仅增加了种植成本，还可能导致环境污染和农产品质量安全问题。</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随着农业科技的不断进步，新型农业技术不断涌现，为小麦种植提供了新的解决方案。“一喷三防”技术作为一种集成了叶面施肥、防病治虫、抗逆减灾等多种功能的农业技术，具有操作简便、效果显著的优点。它通过一次喷施作业，可以同时实现防治病虫害、促进小麦生长和提高抗逆能力等多重效果，从而有效解决了传统防治方法中存在的问题。政府为了推动“一喷三防”技术的广泛应用，提高小麦的产量和质量，保障国家的粮食安全，通过提供物化补助，鼓励农民积极采用“一喷三防”技术，降低种植成本，提高小麦的产量和品质，促进农业生产的可持续发展。</w:t>
      </w:r>
    </w:p>
    <w:p>
      <w:pPr>
        <w:pStyle w:val="32"/>
        <w:spacing w:line="520" w:lineRule="exact"/>
        <w:rPr>
          <w:rFonts w:ascii="仿宋_GB2312" w:hAnsi="仿宋_GB2312" w:cs="仿宋_GB2312"/>
          <w:b/>
          <w:bCs/>
          <w:color w:val="auto"/>
          <w:highlight w:val="none"/>
        </w:rPr>
      </w:pPr>
      <w:r>
        <w:rPr>
          <w:rFonts w:hint="eastAsia" w:ascii="仿宋_GB2312" w:hAnsi="仿宋_GB2312" w:cs="仿宋_GB2312"/>
          <w:b/>
          <w:bCs/>
          <w:color w:val="auto"/>
          <w:highlight w:val="none"/>
        </w:rPr>
        <w:t>2.主要内容及实施情况</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1）主要内容</w:t>
      </w:r>
    </w:p>
    <w:p>
      <w:pPr>
        <w:pStyle w:val="32"/>
        <w:spacing w:line="520" w:lineRule="exact"/>
        <w:ind w:firstLine="560"/>
        <w:rPr>
          <w:rFonts w:hint="eastAsia"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为减轻岳普湖县小麦锈病、白粉病、干热风等病虫害灾害危害，增强小麦抗逆性，提升小麦产量，开展“一喷三防”，防病虫、防干热风、防早衰。实施小麦“一喷三防”合计面积21.88万亩，其中：冬小麦实施面积21.58万亩，春小麦实施面积0.3万亩。</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2）实施情况</w:t>
      </w:r>
    </w:p>
    <w:p>
      <w:pPr>
        <w:pStyle w:val="32"/>
        <w:spacing w:line="520" w:lineRule="exact"/>
        <w:ind w:firstLine="560"/>
        <w:rPr>
          <w:rFonts w:ascii="仿宋_GB2312" w:hAnsi="仿宋_GB2312" w:cs="仿宋_GB2312"/>
          <w:color w:val="auto"/>
          <w:highlight w:val="none"/>
        </w:rPr>
      </w:pPr>
      <w:r>
        <w:rPr>
          <w:rFonts w:ascii="仿宋_GB2312" w:hAnsi="仿宋_GB2312" w:cs="仿宋_GB2312"/>
          <w:color w:val="auto"/>
          <w:highlight w:val="none"/>
        </w:rPr>
        <w:t>项目实施前由项目负责人</w:t>
      </w:r>
      <w:r>
        <w:rPr>
          <w:rFonts w:hint="eastAsia" w:ascii="仿宋_GB2312" w:hAnsi="仿宋_GB2312" w:cs="仿宋_GB2312"/>
          <w:color w:val="auto"/>
          <w:highlight w:val="none"/>
          <w:lang w:eastAsia="zh-CN"/>
        </w:rPr>
        <w:t>艾合麦提·萨迪尔</w:t>
      </w:r>
      <w:r>
        <w:rPr>
          <w:rFonts w:ascii="仿宋_GB2312" w:hAnsi="仿宋_GB2312" w:cs="仿宋_GB2312"/>
          <w:color w:val="auto"/>
          <w:highlight w:val="none"/>
        </w:rPr>
        <w:t>进行牵头，首先进行项目的前期调研。评估项目实施的相关性、预期绩效的可实现性、实施方案的有</w:t>
      </w:r>
      <w:r>
        <w:rPr>
          <w:rFonts w:ascii="仿宋_GB2312" w:hAnsi="仿宋_GB2312" w:cs="仿宋_GB2312"/>
          <w:color w:val="auto"/>
          <w:highlight w:val="none"/>
        </w:rPr>
        <w:t>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3.项目实施主体</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项目实施主体:</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项目实施时间：</w:t>
      </w:r>
      <w:r>
        <w:rPr>
          <w:rFonts w:hint="eastAsia" w:ascii="仿宋_GB2312" w:hAnsi="仿宋_GB2312" w:cs="仿宋_GB2312"/>
          <w:color w:val="auto"/>
          <w:highlight w:val="none"/>
          <w:lang w:val="en-US" w:eastAsia="zh-CN"/>
        </w:rPr>
        <w:t>2023年1月-10月。</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实施主体基本情况：</w:t>
      </w:r>
      <w:r>
        <w:rPr>
          <w:rFonts w:hint="eastAsia" w:ascii="仿宋_GB2312" w:hAnsi="仿宋_GB2312" w:cs="仿宋_GB2312"/>
          <w:color w:val="auto"/>
          <w:highlight w:val="none"/>
        </w:rPr>
        <w:t>该项目实施单位为</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2019年根据地委、行署批准的《岳普湖县机构改革方案》（喀党办字〔2019〕6号）和《关于印发&lt;岳普湖县机构改革方案实施意见&gt;的通知》（岳党办发〔2019〕15号）文件精神，岳普湖县将县委农村工作领导小组办公室、县农业局、县畜牧兽医局、县农牧机械局4个正科级单位及相关部门整合组建成立了岳普湖县农业农村局，并于2019年3月3日宣布成立。将县农业综合开发办公室、农牧机械管理局、农机安全监理站、农村经济经营管理局、种子管理站、农业技术推广中心、农产品检验检测中心、动物卫生监督所、畜牧兽医站承担的行政职能划归县农业农村局，县委农村工作领导小组办公室设在县农业农村局，接受县委农村工作领导小组的直接领导，承担县委农村工作领导小组具体工作。县农业农村局设有农业综合行政执法大队，农业综合服务中心、种业发展中心、农村合作经济发展中心、农业农村机械化发展中心、动物卫生服务站等6个参公机构，畜牧兽医站、良繁中心、农业产业发展中心、农业技术推广中心、农产品质量安全检测中心、人工影响天气服务站、瓜（菜）果产业发展中心、种苗培育服务中心、农牧机械推广站等9个事业机构。</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单位主要职能是：</w:t>
      </w:r>
      <w:r>
        <w:rPr>
          <w:rFonts w:hint="eastAsia" w:ascii="仿宋_GB2312" w:hAnsi="仿宋_GB2312" w:cs="仿宋_GB2312"/>
          <w:color w:val="auto"/>
          <w:highlight w:val="none"/>
          <w:lang w:eastAsia="zh-CN"/>
        </w:rPr>
        <w:t>（1）组织实施全县“三农”工作及畜牧兽医工作的发展战略、中长期规划、重大政策。（2）统筹推动发展农村社会事业、农村公共服务、农村文化、农村基础设施和乡村治理。（3）贯彻深化农村经济体制改革和巩固完善农村基本经营制度的政策。（4）指导乡村特色产业、农产品加工业、休闲农业和乡镇企业发展工作。（5）负责种植业、县国有农场、农业机械化等农业各产业的监督管理。（6）负责农产品质量安全监督管理，组织农业资源区划工作。（7）负责全县有关农业生产资料和农业投入品的监督管理。（8）负责农业防灾减灾、农作物重大病虫害防治工作。（9）负责农业投资管理。提出农业投融资体制机制改革建议。（10）承担农业科技体制改革和农业科技创新体系建设。（11）指导农业农村人才工作，牵头开展农业对外合作工作，负责组织实施畜牧兽医工作。（12）负责和监督动物疫病防治和疫情管理工作。（13）完成县委、县人民政府和县委农村工作领导小组交办的其他任务。</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实施主体编制情况：岳普湖县农业农村局编制内实有在职人员人数103人。其中：行政编制人员56人，行政工勤编制人员2人，事业编制人员45人。</w:t>
      </w:r>
    </w:p>
    <w:p>
      <w:pPr>
        <w:pStyle w:val="32"/>
        <w:spacing w:line="520" w:lineRule="exact"/>
        <w:ind w:firstLine="562"/>
        <w:rPr>
          <w:rFonts w:hint="eastAsia" w:ascii="仿宋_GB2312" w:hAnsi="仿宋_GB2312" w:eastAsia="仿宋_GB2312" w:cs="仿宋_GB2312"/>
          <w:b/>
          <w:bCs/>
          <w:color w:val="auto"/>
          <w:highlight w:val="none"/>
          <w:lang w:eastAsia="zh-CN"/>
        </w:rPr>
      </w:pPr>
      <w:r>
        <w:rPr>
          <w:rFonts w:hint="eastAsia" w:ascii="仿宋_GB2312" w:hAnsi="仿宋_GB2312" w:cs="仿宋_GB2312"/>
          <w:b/>
          <w:bCs/>
          <w:color w:val="auto"/>
          <w:highlight w:val="none"/>
          <w:lang w:eastAsia="zh-CN"/>
        </w:rPr>
        <w:t>4.资金投入情况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（1）项目资金安排落实、总投入等情况分析</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根据</w:t>
      </w:r>
      <w:r>
        <w:rPr>
          <w:rFonts w:hint="eastAsia" w:ascii="仿宋_GB2312" w:hAnsi="仿宋_GB2312" w:cs="仿宋_GB2312"/>
          <w:color w:val="auto"/>
          <w:highlight w:val="none"/>
        </w:rPr>
        <w:t>《关于下达2023年中央粮油生产保障资金预算的通知》（喀地财农〔2023〕8号）</w:t>
      </w:r>
      <w:r>
        <w:rPr>
          <w:rFonts w:hint="eastAsia" w:ascii="仿宋_GB2312" w:hAnsi="仿宋_GB2312" w:cs="仿宋_GB2312"/>
          <w:color w:val="auto"/>
          <w:highlight w:val="none"/>
        </w:rPr>
        <w:t>等文件，年初批复部门预算数</w:t>
      </w:r>
      <w:r>
        <w:rPr>
          <w:rFonts w:hint="eastAsia" w:ascii="仿宋_GB2312" w:hAnsi="仿宋_GB2312" w:cs="仿宋_GB2312"/>
          <w:color w:val="auto"/>
          <w:highlight w:val="none"/>
          <w:lang w:val="en-US" w:eastAsia="zh-CN"/>
        </w:rPr>
        <w:t>101.74</w:t>
      </w:r>
      <w:r>
        <w:rPr>
          <w:rFonts w:hint="eastAsia" w:ascii="仿宋_GB2312" w:hAnsi="仿宋_GB2312" w:cs="仿宋_GB2312"/>
          <w:color w:val="auto"/>
          <w:highlight w:val="none"/>
        </w:rPr>
        <w:t>万元，全年预算数为</w:t>
      </w:r>
      <w:r>
        <w:rPr>
          <w:rFonts w:hint="eastAsia" w:ascii="仿宋_GB2312" w:hAnsi="仿宋_GB2312" w:cs="仿宋_GB2312"/>
          <w:color w:val="auto"/>
          <w:highlight w:val="none"/>
          <w:lang w:val="en-US" w:eastAsia="zh-CN"/>
        </w:rPr>
        <w:t>101.74</w:t>
      </w:r>
      <w:r>
        <w:rPr>
          <w:rFonts w:hint="eastAsia" w:ascii="仿宋_GB2312" w:hAnsi="仿宋_GB2312" w:cs="仿宋_GB2312"/>
          <w:color w:val="auto"/>
          <w:highlight w:val="none"/>
        </w:rPr>
        <w:t>万元，其中：财政资金</w:t>
      </w:r>
      <w:r>
        <w:rPr>
          <w:rFonts w:hint="eastAsia" w:ascii="仿宋_GB2312" w:hAnsi="仿宋_GB2312" w:cs="仿宋_GB2312"/>
          <w:color w:val="auto"/>
          <w:highlight w:val="none"/>
          <w:lang w:val="en-US" w:eastAsia="zh-CN"/>
        </w:rPr>
        <w:t>101.74</w:t>
      </w:r>
      <w:r>
        <w:rPr>
          <w:rFonts w:hint="eastAsia" w:ascii="仿宋_GB2312" w:hAnsi="仿宋_GB2312" w:cs="仿宋_GB2312"/>
          <w:color w:val="auto"/>
          <w:highlight w:val="none"/>
        </w:rPr>
        <w:t>万元，其他资金</w:t>
      </w:r>
      <w:r>
        <w:rPr>
          <w:rFonts w:hint="eastAsia" w:ascii="仿宋_GB2312" w:hAnsi="仿宋_GB2312" w:cs="仿宋_GB2312"/>
          <w:color w:val="auto"/>
          <w:highlight w:val="none"/>
        </w:rPr>
        <w:t>0.00</w:t>
      </w:r>
      <w:r>
        <w:rPr>
          <w:rFonts w:hint="eastAsia" w:ascii="仿宋_GB2312" w:hAnsi="仿宋_GB2312" w:cs="仿宋_GB2312"/>
          <w:color w:val="auto"/>
          <w:highlight w:val="none"/>
        </w:rPr>
        <w:t>万元</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截止</w:t>
      </w:r>
      <w:r>
        <w:rPr>
          <w:rFonts w:hint="eastAsia" w:ascii="仿宋_GB2312" w:hAnsi="仿宋_GB2312" w:cs="仿宋_GB2312"/>
          <w:color w:val="auto"/>
          <w:highlight w:val="none"/>
        </w:rPr>
        <w:t>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w:t>
      </w:r>
      <w:r>
        <w:rPr>
          <w:rFonts w:hint="eastAsia" w:ascii="仿宋_GB2312" w:hAnsi="仿宋_GB2312" w:cs="仿宋_GB2312"/>
          <w:color w:val="auto"/>
          <w:highlight w:val="none"/>
          <w:lang w:val="en-US" w:eastAsia="zh-CN"/>
        </w:rPr>
        <w:t>实际到位项目资金</w:t>
      </w:r>
      <w:r>
        <w:rPr>
          <w:rFonts w:hint="eastAsia" w:ascii="仿宋_GB2312" w:hAnsi="仿宋_GB2312" w:cs="仿宋_GB2312"/>
          <w:color w:val="auto"/>
          <w:highlight w:val="none"/>
          <w:lang w:val="en-US" w:eastAsia="zh-CN"/>
        </w:rPr>
        <w:t>101.74</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rPr>
        <w:t>预算资金到位率为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b/>
          <w:bCs/>
          <w:color w:val="auto"/>
          <w:highlight w:val="none"/>
          <w:lang w:val="en-US" w:eastAsia="zh-CN"/>
        </w:rPr>
        <w:t>5.资金使用情况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截止202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年12月31日，本项目实际支付资金</w:t>
      </w:r>
      <w:r>
        <w:rPr>
          <w:rFonts w:hint="eastAsia" w:ascii="仿宋_GB2312" w:hAnsi="仿宋_GB2312" w:cs="仿宋_GB2312"/>
          <w:color w:val="auto"/>
          <w:highlight w:val="none"/>
          <w:lang w:val="en-US" w:eastAsia="zh-CN"/>
        </w:rPr>
        <w:t>101.74</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。项目资金主要用于</w:t>
      </w:r>
      <w:r>
        <w:rPr>
          <w:rFonts w:hint="eastAsia" w:ascii="仿宋_GB2312" w:hAnsi="仿宋_GB2312" w:cs="仿宋_GB2312"/>
          <w:color w:val="auto"/>
          <w:highlight w:val="none"/>
          <w:lang w:val="en-US" w:eastAsia="zh-CN"/>
        </w:rPr>
        <w:t>购置小麦“一喷三防”药剂</w:t>
      </w:r>
      <w:r>
        <w:rPr>
          <w:rFonts w:hint="eastAsia" w:ascii="仿宋_GB2312" w:hAnsi="仿宋_GB2312" w:cs="仿宋_GB2312"/>
          <w:color w:val="auto"/>
          <w:highlight w:val="none"/>
        </w:rPr>
        <w:t>。</w:t>
      </w:r>
    </w:p>
    <w:p>
      <w:pPr>
        <w:pStyle w:val="52"/>
        <w:keepNext w:val="0"/>
        <w:keepLines w:val="0"/>
        <w:spacing w:line="520" w:lineRule="exact"/>
        <w:ind w:left="560"/>
        <w:jc w:val="both"/>
        <w:rPr>
          <w:color w:val="auto"/>
          <w:highlight w:val="none"/>
        </w:rPr>
      </w:pPr>
      <w:bookmarkStart w:id="19" w:name="_Toc18974"/>
      <w:bookmarkStart w:id="20" w:name="_Toc13569"/>
      <w:bookmarkStart w:id="21" w:name="_Toc20532"/>
      <w:bookmarkStart w:id="22" w:name="_Toc32607_WPSOffice_Level2"/>
      <w:bookmarkStart w:id="23" w:name="_Toc18631"/>
      <w:bookmarkStart w:id="24" w:name="_Toc1686_WPSOffice_Level2"/>
      <w:bookmarkStart w:id="25" w:name="_Toc19378"/>
      <w:bookmarkStart w:id="26" w:name="_Toc127054585"/>
      <w:bookmarkStart w:id="27" w:name="_Toc23928_WPSOffice_Level2"/>
      <w:bookmarkStart w:id="28" w:name="_Toc23149"/>
      <w:r>
        <w:rPr>
          <w:rFonts w:hint="eastAsia"/>
          <w:color w:val="auto"/>
          <w:highlight w:val="none"/>
        </w:rPr>
        <w:t>（二）项目绩效目标</w:t>
      </w:r>
      <w:bookmarkEnd w:id="19"/>
      <w:bookmarkEnd w:id="20"/>
      <w:bookmarkEnd w:id="21"/>
      <w:bookmarkEnd w:id="22"/>
      <w:bookmarkEnd w:id="23"/>
      <w:bookmarkEnd w:id="24"/>
      <w:bookmarkEnd w:id="25"/>
      <w:bookmarkEnd w:id="26"/>
      <w:bookmarkEnd w:id="27"/>
      <w:bookmarkEnd w:id="2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1.项目总体目标</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为减轻岳普湖县小麦锈病、白粉病、干热风等病虫害灾害危害，增强小麦抗逆性，提升小麦产量，开展“一喷三防”，防病虫、防干热风、防早衰。实施小麦“一喷三防”合计面积21.88万亩，其中：冬小麦实施面积21.58万亩，春小麦实施面积0.3万亩。资金全部用于购置61081.58公斤“一喷三防”药剂，主要采购杀菌剂三唑酮、叶面肥磷酸二氢钾、植物生长调节剂芸苔素及杀虫剂吡虫啉等。确保统防统治覆盖率达到43%以上。通过项目的实施确保受灾地区主要农作物单产减幅得到有效控制，促进受灾地区生产能力恢复，稳定农民种粮积极性，提升农作物抗病虫和增产能力，确保“一喷三防”取得效果，保证全年农业生产稳定。</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2.项目阶段性目标</w:t>
      </w:r>
      <w:bookmarkStart w:id="29" w:name="_Toc24349"/>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前期准备：通过制定项目实施方案，经项目负责人审核通过后，有序开展后续工作。</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组织实施：资金一到位，立即根据项目要求实施项目。项目责任人按照项目实施方案要求逐一进行项目部署安排，提高项目质量及效率性。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项目投入：本项目预算安排总额为</w:t>
      </w:r>
      <w:r>
        <w:rPr>
          <w:rFonts w:hint="eastAsia" w:ascii="仿宋_GB2312" w:hAnsi="仿宋_GB2312" w:cs="仿宋_GB2312"/>
          <w:color w:val="auto"/>
          <w:highlight w:val="none"/>
          <w:lang w:val="en-US" w:eastAsia="zh-CN"/>
        </w:rPr>
        <w:t>101.74</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lang w:val="en-US" w:eastAsia="zh-CN"/>
        </w:rPr>
        <w:t>中央资金：101.74万元。</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项目产出：</w:t>
      </w:r>
      <w:r>
        <w:rPr>
          <w:rFonts w:hint="eastAsia" w:ascii="仿宋_GB2312" w:hAnsi="仿宋_GB2312" w:cs="仿宋_GB2312"/>
          <w:color w:val="auto"/>
          <w:highlight w:val="none"/>
          <w:lang w:val="en-US" w:eastAsia="zh-CN"/>
        </w:rPr>
        <w:t>为减轻岳普湖县小麦锈病、白粉病、干热风等病虫害灾害危害，增强小麦抗逆性，提升小麦产量，开展“一喷三防”，防病虫、防干热风、防早衰。实施小麦“一喷三防”合计面积21.88万亩，其中：冬小麦实施面积21.58万亩，春小麦实施面积0.3万亩。资金全部用于购置61081.58公斤“一喷三防”药剂，主要采购杀菌剂三唑酮、叶面肥磷酸二氢钾、植物生长调节剂芸苔素及杀虫剂吡虫啉等。确保统防统治覆盖率达到43%以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项目效果：</w:t>
      </w:r>
      <w:r>
        <w:rPr>
          <w:rFonts w:hint="eastAsia" w:ascii="仿宋_GB2312" w:hAnsi="仿宋_GB2312" w:cs="仿宋_GB2312"/>
          <w:color w:val="auto"/>
          <w:highlight w:val="none"/>
          <w:lang w:val="en-US" w:eastAsia="zh-CN"/>
        </w:rPr>
        <w:t>本项目实施确保受灾地区主要农作物单产减幅得到有效控制，促进受灾地区生产能力恢复，稳定农民种粮积极性，提升农作物抗病虫和增产能力，确保“一喷三防”取得效果，保证全年农业生产稳定。</w:t>
      </w:r>
    </w:p>
    <w:p>
      <w:pPr>
        <w:pStyle w:val="31"/>
        <w:keepNext w:val="0"/>
        <w:keepLines w:val="0"/>
        <w:spacing w:line="520" w:lineRule="exact"/>
        <w:ind w:firstLine="640" w:firstLineChars="200"/>
        <w:jc w:val="both"/>
        <w:rPr>
          <w:color w:val="auto"/>
          <w:highlight w:val="none"/>
        </w:rPr>
      </w:pPr>
      <w:bookmarkStart w:id="30" w:name="_Toc32174_WPSOffice_Level1"/>
      <w:bookmarkStart w:id="31" w:name="_Toc9278"/>
      <w:bookmarkStart w:id="32" w:name="_Toc8160"/>
      <w:bookmarkStart w:id="33" w:name="_Toc17863"/>
      <w:bookmarkStart w:id="34" w:name="_Toc10478"/>
      <w:bookmarkStart w:id="35" w:name="_Toc1545_WPSOffice_Level1"/>
      <w:bookmarkStart w:id="36" w:name="_Toc3608"/>
      <w:bookmarkStart w:id="37" w:name="_Toc12560_WPSOffice_Level1"/>
      <w:bookmarkStart w:id="38" w:name="_Toc127054586"/>
      <w:r>
        <w:rPr>
          <w:rFonts w:hint="eastAsia"/>
          <w:color w:val="auto"/>
          <w:highlight w:val="none"/>
        </w:rPr>
        <w:t>二、绩效评价工作开展情况</w:t>
      </w:r>
      <w:bookmarkEnd w:id="29"/>
      <w:bookmarkEnd w:id="30"/>
      <w:bookmarkEnd w:id="31"/>
      <w:bookmarkEnd w:id="32"/>
      <w:bookmarkEnd w:id="33"/>
      <w:bookmarkEnd w:id="34"/>
      <w:bookmarkEnd w:id="35"/>
      <w:bookmarkEnd w:id="36"/>
      <w:bookmarkEnd w:id="37"/>
      <w:bookmarkEnd w:id="38"/>
    </w:p>
    <w:p>
      <w:pPr>
        <w:pStyle w:val="52"/>
        <w:keepNext w:val="0"/>
        <w:keepLines w:val="0"/>
        <w:spacing w:line="520" w:lineRule="exact"/>
        <w:ind w:left="560"/>
        <w:jc w:val="both"/>
        <w:rPr>
          <w:rFonts w:ascii="仿宋_GB2312" w:hAnsi="仿宋_GB2312" w:cs="仿宋_GB2312"/>
          <w:color w:val="auto"/>
          <w:highlight w:val="none"/>
        </w:rPr>
      </w:pPr>
      <w:bookmarkStart w:id="39" w:name="_Toc20761"/>
      <w:bookmarkStart w:id="40" w:name="_Toc25691"/>
      <w:bookmarkStart w:id="41" w:name="_Toc27953"/>
      <w:bookmarkStart w:id="42" w:name="_Toc15466"/>
      <w:bookmarkStart w:id="43" w:name="_Toc14202_WPSOffice_Level2"/>
      <w:bookmarkStart w:id="44" w:name="_Toc127054587"/>
      <w:bookmarkStart w:id="45" w:name="_Toc1092"/>
      <w:bookmarkStart w:id="46" w:name="_Toc1997"/>
      <w:bookmarkStart w:id="47" w:name="_Toc17696_WPSOffice_Level2"/>
      <w:bookmarkStart w:id="48" w:name="_Toc10259_WPSOffice_Level2"/>
      <w:r>
        <w:rPr>
          <w:rFonts w:hint="eastAsia" w:ascii="仿宋_GB2312" w:hAnsi="仿宋_GB2312" w:cs="仿宋_GB2312"/>
          <w:color w:val="auto"/>
          <w:highlight w:val="none"/>
        </w:rPr>
        <w:t>（一）绩效评价目的、对象</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时间</w:t>
      </w:r>
      <w:r>
        <w:rPr>
          <w:rFonts w:hint="eastAsia" w:ascii="仿宋_GB2312" w:hAnsi="仿宋_GB2312" w:cs="仿宋_GB2312"/>
          <w:color w:val="auto"/>
          <w:highlight w:val="none"/>
        </w:rPr>
        <w:t>和范围</w:t>
      </w:r>
      <w:bookmarkEnd w:id="39"/>
      <w:bookmarkEnd w:id="40"/>
      <w:bookmarkEnd w:id="41"/>
      <w:bookmarkEnd w:id="42"/>
      <w:bookmarkEnd w:id="43"/>
      <w:bookmarkEnd w:id="44"/>
      <w:bookmarkEnd w:id="45"/>
      <w:bookmarkEnd w:id="46"/>
      <w:bookmarkEnd w:id="47"/>
      <w:bookmarkEnd w:id="48"/>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lang w:val="en-US" w:eastAsia="zh-CN"/>
        </w:rPr>
        <w:t>1.绩效评价完整性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lang w:val="en-US" w:eastAsia="zh-CN"/>
        </w:rPr>
        <w:t>完整性主要体现在绩效</w:t>
      </w:r>
      <w:r>
        <w:rPr>
          <w:rFonts w:hint="eastAsia" w:ascii="仿宋_GB2312" w:hAnsi="仿宋_GB2312" w:cs="仿宋_GB2312"/>
          <w:b w:val="0"/>
          <w:bCs w:val="0"/>
          <w:color w:val="auto"/>
          <w:highlight w:val="none"/>
        </w:rPr>
        <w:t>评价过程的全面性和系统性。涵盖了对项目</w:t>
      </w:r>
      <w:r>
        <w:rPr>
          <w:rFonts w:hint="eastAsia" w:ascii="仿宋_GB2312" w:hAnsi="仿宋_GB2312" w:cs="仿宋_GB2312"/>
          <w:b w:val="0"/>
          <w:bCs w:val="0"/>
          <w:color w:val="auto"/>
          <w:highlight w:val="none"/>
          <w:lang w:val="en-US" w:eastAsia="zh-CN"/>
        </w:rPr>
        <w:t>全过程</w:t>
      </w:r>
      <w:r>
        <w:rPr>
          <w:rFonts w:hint="eastAsia" w:ascii="仿宋_GB2312" w:hAnsi="仿宋_GB2312" w:cs="仿宋_GB2312"/>
          <w:b w:val="0"/>
          <w:bCs w:val="0"/>
          <w:color w:val="auto"/>
          <w:highlight w:val="none"/>
        </w:rPr>
        <w:t>的完整生命周期的评</w:t>
      </w:r>
      <w:r>
        <w:rPr>
          <w:rFonts w:hint="eastAsia" w:ascii="仿宋_GB2312" w:hAnsi="仿宋_GB2312" w:cs="仿宋_GB2312"/>
          <w:b w:val="0"/>
          <w:bCs w:val="0"/>
          <w:color w:val="auto"/>
          <w:highlight w:val="none"/>
          <w:lang w:val="en-US" w:eastAsia="zh-CN"/>
        </w:rPr>
        <w:t>价</w:t>
      </w:r>
      <w:r>
        <w:rPr>
          <w:rFonts w:hint="eastAsia" w:ascii="仿宋_GB2312" w:hAnsi="仿宋_GB2312" w:cs="仿宋_GB2312"/>
          <w:b w:val="0"/>
          <w:bCs w:val="0"/>
          <w:color w:val="auto"/>
          <w:highlight w:val="none"/>
        </w:rPr>
        <w:t>，确保评价行为</w:t>
      </w:r>
      <w:r>
        <w:rPr>
          <w:rFonts w:hint="eastAsia" w:ascii="仿宋_GB2312" w:hAnsi="仿宋_GB2312" w:cs="仿宋_GB2312"/>
          <w:b w:val="0"/>
          <w:bCs w:val="0"/>
          <w:color w:val="auto"/>
          <w:highlight w:val="none"/>
          <w:lang w:val="en-US" w:eastAsia="zh-CN"/>
        </w:rPr>
        <w:t>持续性</w:t>
      </w:r>
      <w:r>
        <w:rPr>
          <w:rFonts w:hint="eastAsia" w:ascii="仿宋_GB2312" w:hAnsi="仿宋_GB2312" w:cs="仿宋_GB2312"/>
          <w:b w:val="0"/>
          <w:bCs w:val="0"/>
          <w:color w:val="auto"/>
          <w:highlight w:val="none"/>
        </w:rPr>
        <w:t>，有利于不同阶段的项目评价信息相互支撑和验证。保证评价结论的科学性和权威性。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rPr>
        <w:t>项目绩效评价过程中，</w:t>
      </w:r>
      <w:r>
        <w:rPr>
          <w:rFonts w:hint="eastAsia" w:ascii="仿宋_GB2312" w:hAnsi="仿宋_GB2312" w:cs="仿宋_GB2312"/>
          <w:b w:val="0"/>
          <w:bCs w:val="0"/>
          <w:color w:val="auto"/>
          <w:highlight w:val="none"/>
          <w:lang w:val="en-US" w:eastAsia="zh-CN"/>
        </w:rPr>
        <w:t>应</w:t>
      </w:r>
      <w:r>
        <w:rPr>
          <w:rFonts w:hint="eastAsia" w:ascii="仿宋_GB2312" w:hAnsi="仿宋_GB2312" w:cs="仿宋_GB2312"/>
          <w:b w:val="0"/>
          <w:bCs w:val="0"/>
          <w:color w:val="auto"/>
          <w:highlight w:val="none"/>
        </w:rPr>
        <w:t>全面考虑项目的各个方面，包括项目的目标设定、实施过程、资源利用、风险控制、产出效果等。此外，完整性要求评价</w:t>
      </w:r>
      <w:r>
        <w:rPr>
          <w:rFonts w:hint="eastAsia" w:ascii="仿宋_GB2312" w:hAnsi="仿宋_GB2312" w:cs="仿宋_GB2312"/>
          <w:b w:val="0"/>
          <w:bCs w:val="0"/>
          <w:color w:val="auto"/>
          <w:highlight w:val="none"/>
          <w:lang w:val="en-US" w:eastAsia="zh-CN"/>
        </w:rPr>
        <w:t>充分</w:t>
      </w:r>
      <w:r>
        <w:rPr>
          <w:rFonts w:hint="eastAsia" w:ascii="仿宋_GB2312" w:hAnsi="仿宋_GB2312" w:cs="仿宋_GB2312"/>
          <w:b w:val="0"/>
          <w:bCs w:val="0"/>
          <w:color w:val="auto"/>
          <w:highlight w:val="none"/>
        </w:rPr>
        <w:t>考虑</w:t>
      </w:r>
      <w:r>
        <w:rPr>
          <w:rFonts w:hint="eastAsia" w:ascii="仿宋_GB2312" w:hAnsi="仿宋_GB2312" w:cs="仿宋_GB2312"/>
          <w:b w:val="0"/>
          <w:bCs w:val="0"/>
          <w:color w:val="auto"/>
          <w:highlight w:val="none"/>
          <w:lang w:val="en-US" w:eastAsia="zh-CN"/>
        </w:rPr>
        <w:t>项目</w:t>
      </w:r>
      <w:r>
        <w:rPr>
          <w:rFonts w:hint="eastAsia" w:ascii="仿宋_GB2312" w:hAnsi="仿宋_GB2312" w:cs="仿宋_GB2312"/>
          <w:b w:val="0"/>
          <w:bCs w:val="0"/>
          <w:color w:val="auto"/>
          <w:highlight w:val="none"/>
        </w:rPr>
        <w:t>效益的</w:t>
      </w:r>
      <w:r>
        <w:rPr>
          <w:rFonts w:hint="eastAsia" w:ascii="仿宋_GB2312" w:hAnsi="仿宋_GB2312" w:cs="仿宋_GB2312"/>
          <w:b w:val="0"/>
          <w:bCs w:val="0"/>
          <w:color w:val="auto"/>
          <w:highlight w:val="none"/>
          <w:lang w:val="en-US" w:eastAsia="zh-CN"/>
        </w:rPr>
        <w:t>发挥</w:t>
      </w:r>
      <w:r>
        <w:rPr>
          <w:rFonts w:hint="eastAsia" w:ascii="仿宋_GB2312" w:hAnsi="仿宋_GB2312" w:cs="仿宋_GB2312"/>
          <w:b w:val="0"/>
          <w:bCs w:val="0"/>
          <w:color w:val="auto"/>
          <w:highlight w:val="none"/>
        </w:rPr>
        <w:t>贡献。</w:t>
      </w:r>
    </w:p>
    <w:p>
      <w:pPr>
        <w:pStyle w:val="32"/>
        <w:spacing w:line="520" w:lineRule="exact"/>
        <w:ind w:firstLine="562"/>
        <w:rPr>
          <w:rFonts w:hint="eastAsia" w:ascii="仿宋_GB2312" w:hAnsi="仿宋_GB2312" w:cs="仿宋_GB2312"/>
          <w:b/>
          <w:bCs/>
          <w:color w:val="auto"/>
          <w:highlight w:val="none"/>
        </w:rPr>
      </w:pPr>
      <w:r>
        <w:rPr>
          <w:rFonts w:hint="eastAsia" w:ascii="仿宋_GB2312" w:hAnsi="仿宋_GB2312" w:cs="仿宋_GB2312"/>
          <w:b w:val="0"/>
          <w:bCs w:val="0"/>
          <w:color w:val="auto"/>
          <w:highlight w:val="none"/>
        </w:rPr>
        <w:t>为了实现项目绩效评价的完整性，建立一套科学、合理、系统的评价指标体系。</w:t>
      </w:r>
      <w:r>
        <w:rPr>
          <w:rFonts w:hint="eastAsia" w:ascii="仿宋_GB2312" w:hAnsi="仿宋_GB2312" w:cs="仿宋_GB2312"/>
          <w:b w:val="0"/>
          <w:bCs w:val="0"/>
          <w:color w:val="auto"/>
          <w:highlight w:val="none"/>
          <w:lang w:val="en-US" w:eastAsia="zh-CN"/>
        </w:rPr>
        <w:t>评价体系</w:t>
      </w:r>
      <w:r>
        <w:rPr>
          <w:rFonts w:hint="eastAsia" w:ascii="仿宋_GB2312" w:hAnsi="仿宋_GB2312" w:cs="仿宋_GB2312"/>
          <w:b w:val="0"/>
          <w:bCs w:val="0"/>
          <w:color w:val="auto"/>
          <w:highlight w:val="none"/>
        </w:rPr>
        <w:t>能够全面反映项目的特点和要求</w:t>
      </w:r>
      <w:r>
        <w:rPr>
          <w:rFonts w:hint="eastAsia" w:ascii="仿宋_GB2312" w:hAnsi="仿宋_GB2312" w:cs="仿宋_GB2312"/>
          <w:b w:val="0"/>
          <w:bCs w:val="0"/>
          <w:color w:val="auto"/>
          <w:highlight w:val="none"/>
          <w:lang w:eastAsia="zh-CN"/>
        </w:rPr>
        <w:t>，</w:t>
      </w:r>
      <w:r>
        <w:rPr>
          <w:rFonts w:hint="eastAsia" w:ascii="仿宋_GB2312" w:hAnsi="仿宋_GB2312" w:cs="仿宋_GB2312"/>
          <w:b w:val="0"/>
          <w:bCs w:val="0"/>
          <w:color w:val="auto"/>
          <w:highlight w:val="none"/>
        </w:rPr>
        <w:t>确保评价的准确性和有效性。</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lang w:val="en-US" w:eastAsia="zh-CN"/>
        </w:rPr>
        <w:t>2</w:t>
      </w:r>
      <w:r>
        <w:rPr>
          <w:rFonts w:hint="eastAsia" w:ascii="仿宋_GB2312" w:hAnsi="仿宋_GB2312" w:cs="仿宋_GB2312"/>
          <w:b/>
          <w:bCs/>
          <w:color w:val="auto"/>
          <w:highlight w:val="none"/>
        </w:rPr>
        <w:t>.绩效评价目的</w:t>
      </w:r>
    </w:p>
    <w:p>
      <w:pPr>
        <w:pStyle w:val="46"/>
        <w:widowControl w:val="0"/>
        <w:spacing w:line="520" w:lineRule="exact"/>
        <w:ind w:left="0" w:leftChars="0" w:firstLine="560" w:firstLineChars="200"/>
        <w:rPr>
          <w:rFonts w:ascii="仿宋_GB2312" w:hAnsi="仿宋_GB2312" w:cs="仿宋_GB2312"/>
          <w:b w:val="0"/>
          <w:snapToGrid/>
          <w:color w:val="auto"/>
          <w:highlight w:val="none"/>
        </w:rPr>
      </w:pPr>
      <w:r>
        <w:rPr>
          <w:rFonts w:hint="eastAsia" w:ascii="仿宋_GB2312" w:hAnsi="仿宋_GB2312" w:cs="仿宋_GB2312"/>
          <w:b w:val="0"/>
          <w:snapToGrid/>
          <w:color w:val="auto"/>
          <w:highlight w:val="none"/>
        </w:rPr>
        <w:t>本次绩效评价遵循财政部《项目支出绩效评价管理办法》（财预〔2020〕10号）和自治区财政厅《自治区财</w:t>
      </w:r>
      <w:r>
        <w:rPr>
          <w:rFonts w:hint="eastAsia" w:ascii="仿宋_GB2312" w:hAnsi="仿宋_GB2312" w:cs="仿宋_GB2312"/>
          <w:b w:val="0"/>
          <w:snapToGrid/>
          <w:color w:val="auto"/>
          <w:highlight w:val="none"/>
        </w:rPr>
        <w:t>政支出绩效评价管理暂行办法》（新财预〔2018〕189号）等相关政策文件的规定，对</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lang w:val="en-US" w:eastAsia="zh-CN"/>
        </w:rPr>
        <w:t>2023年岳普湖县小麦一喷三防补助项目</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rPr>
        <w:t>开展本次部门项目支出绩效评价工作旨在评价财政项目实施前期、过程及效果，评价财政预算资金使用</w:t>
      </w:r>
      <w:r>
        <w:rPr>
          <w:rFonts w:hint="eastAsia" w:ascii="仿宋_GB2312" w:hAnsi="仿宋_GB2312" w:cs="仿宋_GB2312"/>
          <w:b w:val="0"/>
          <w:snapToGrid/>
          <w:color w:val="auto"/>
          <w:highlight w:val="none"/>
        </w:rPr>
        <w:t>的效率及效益。</w:t>
      </w:r>
    </w:p>
    <w:p>
      <w:pPr>
        <w:pStyle w:val="46"/>
        <w:widowControl w:val="0"/>
        <w:spacing w:line="520" w:lineRule="exact"/>
        <w:ind w:left="0" w:leftChars="0" w:firstLine="560" w:firstLineChars="200"/>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w:t>
      </w:r>
      <w:r>
        <w:rPr>
          <w:rFonts w:hint="eastAsia" w:ascii="仿宋_GB2312" w:hAnsi="仿宋_GB2312" w:cs="仿宋_GB2312"/>
          <w:b w:val="0"/>
          <w:snapToGrid/>
          <w:color w:val="auto"/>
          <w:highlight w:val="none"/>
          <w:lang w:val="en-US" w:eastAsia="zh-CN"/>
        </w:rPr>
        <w:t>具体绩效评价的目的如下：</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.绩效评价对象</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治区财政支出绩效评价管理暂行办法》（新财预〔2018〕189号）等相关政策文件的规定，以</w:t>
      </w:r>
      <w:r>
        <w:rPr>
          <w:rFonts w:hint="eastAsia" w:ascii="仿宋_GB2312" w:hAnsi="仿宋_GB2312" w:cs="仿宋_GB2312"/>
          <w:color w:val="auto"/>
          <w:highlight w:val="none"/>
          <w:lang w:eastAsia="zh-CN"/>
        </w:rPr>
        <w:t>“2023年岳普湖县小麦一喷三防补助项目”</w:t>
      </w:r>
      <w:r>
        <w:rPr>
          <w:rFonts w:hint="eastAsia" w:ascii="仿宋_GB2312" w:hAnsi="仿宋_GB2312" w:cs="仿宋_GB2312"/>
          <w:color w:val="auto"/>
          <w:highlight w:val="none"/>
        </w:rPr>
        <w:t>支出为对象所对应的预</w:t>
      </w:r>
      <w:r>
        <w:rPr>
          <w:rFonts w:hint="eastAsia" w:ascii="仿宋_GB2312" w:hAnsi="仿宋_GB2312" w:cs="仿宋_GB2312"/>
          <w:color w:val="auto"/>
          <w:highlight w:val="none"/>
        </w:rPr>
        <w:t>算资金，以</w:t>
      </w:r>
      <w:r>
        <w:rPr>
          <w:rFonts w:hint="eastAsia" w:ascii="仿宋_GB2312" w:hAnsi="仿宋_GB2312" w:cs="仿宋_GB2312"/>
          <w:color w:val="auto"/>
          <w:highlight w:val="none"/>
          <w:lang w:val="en-US" w:eastAsia="zh-CN"/>
        </w:rPr>
        <w:t>本</w:t>
      </w:r>
      <w:r>
        <w:rPr>
          <w:rFonts w:hint="eastAsia" w:ascii="仿宋_GB2312" w:hAnsi="仿宋_GB2312" w:cs="仿宋_GB2312"/>
          <w:color w:val="auto"/>
          <w:highlight w:val="none"/>
        </w:rPr>
        <w:t>项目实施所带来的产出和效果为主要内容，以促进预算单位完成特定工作任务目标所组织开展的绩效评价。</w:t>
      </w:r>
    </w:p>
    <w:p>
      <w:pPr>
        <w:pStyle w:val="46"/>
        <w:widowControl w:val="0"/>
        <w:spacing w:line="520" w:lineRule="exact"/>
        <w:ind w:left="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4.绩效评价时间</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本次绩效评价工作开展时间为2024年1月3日至2024年3月15日。</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5</w:t>
      </w:r>
      <w:r>
        <w:rPr>
          <w:rFonts w:hint="eastAsia" w:ascii="仿宋_GB2312" w:hAnsi="仿宋_GB2312" w:cs="仿宋_GB2312"/>
          <w:color w:val="auto"/>
          <w:highlight w:val="none"/>
        </w:rPr>
        <w:t>.绩效评价范围</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本次评价范围涵盖项目总体绩效目标、各项绩效指标完成情况以及预算执行情况。对项目预算资金支出的所有内容进行评价。包括项目决策、项目实施和项目成果验收流程等。</w:t>
      </w:r>
    </w:p>
    <w:p>
      <w:pPr>
        <w:pStyle w:val="52"/>
        <w:keepNext w:val="0"/>
        <w:keepLines w:val="0"/>
        <w:spacing w:line="520" w:lineRule="exact"/>
        <w:ind w:left="560"/>
        <w:jc w:val="both"/>
        <w:rPr>
          <w:rFonts w:ascii="仿宋_GB2312" w:hAnsi="仿宋_GB2312" w:cs="仿宋_GB2312"/>
          <w:color w:val="auto"/>
          <w:highlight w:val="none"/>
        </w:rPr>
      </w:pPr>
      <w:bookmarkStart w:id="49" w:name="_Toc7586"/>
      <w:bookmarkStart w:id="50" w:name="_Toc10463_WPSOffice_Level2"/>
      <w:bookmarkStart w:id="51" w:name="_Toc5510"/>
      <w:bookmarkStart w:id="52" w:name="_Toc2006_WPSOffice_Level2"/>
      <w:bookmarkStart w:id="53" w:name="_Toc5010"/>
      <w:bookmarkStart w:id="54" w:name="_Toc18827"/>
      <w:bookmarkStart w:id="55" w:name="_Toc6151"/>
      <w:bookmarkStart w:id="56" w:name="_Toc2200"/>
      <w:bookmarkStart w:id="57" w:name="_Toc10930_WPSOffice_Level2"/>
      <w:bookmarkStart w:id="58" w:name="_Toc127054588"/>
      <w:r>
        <w:rPr>
          <w:rFonts w:hint="eastAsia" w:ascii="仿宋_GB2312" w:hAnsi="仿宋_GB2312" w:cs="仿宋_GB2312"/>
          <w:color w:val="auto"/>
          <w:highlight w:val="none"/>
        </w:rPr>
        <w:t>（二）绩效评价原则、评价指标体系、评价方法</w:t>
      </w:r>
      <w:r>
        <w:rPr>
          <w:rFonts w:hint="eastAsia" w:ascii="仿宋_GB2312" w:hAnsi="仿宋_GB2312" w:cs="仿宋_GB2312"/>
          <w:color w:val="auto"/>
          <w:highlight w:val="none"/>
          <w:lang w:val="en-US" w:eastAsia="zh-CN"/>
        </w:rPr>
        <w:t>和</w:t>
      </w:r>
      <w:r>
        <w:rPr>
          <w:rFonts w:hint="eastAsia" w:ascii="仿宋_GB2312" w:hAnsi="仿宋_GB2312" w:cs="仿宋_GB2312"/>
          <w:color w:val="auto"/>
          <w:highlight w:val="none"/>
        </w:rPr>
        <w:t>评价标准</w:t>
      </w:r>
      <w:bookmarkEnd w:id="49"/>
      <w:bookmarkEnd w:id="50"/>
      <w:bookmarkEnd w:id="51"/>
      <w:bookmarkEnd w:id="52"/>
      <w:bookmarkEnd w:id="53"/>
      <w:bookmarkEnd w:id="54"/>
      <w:bookmarkEnd w:id="55"/>
      <w:bookmarkEnd w:id="56"/>
      <w:bookmarkEnd w:id="57"/>
      <w:bookmarkEnd w:id="58"/>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1.绩效评价原则</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本次绩效评价遵循的原则包括：</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（1）科学公正。绩效评价应当运用科学合理的方法，按照规范的程序，对项目绩效进行客观、公正的反映。</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（3）激励约束。绩效评价结果应与预算安排、政策调整、改进管理实质性挂钩，体现奖优罚劣和激励相容导向，有效要安排、低效要压减、无效要问责。</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（4）公开透明。绩效评价结果应依法依规公开，并自觉接受社会监督。</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2.绩效评价指标体系</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一级指标为：决策、过程、产出、效益。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二级指标为：项目立项、绩效目标、资金投入、资金管理、组织实施、产出数量、产出质量、产出时效、产出成本、项目效益。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三级指标为：立项依据充分性、立项程序规范性、绩效目标合理性、绩效指标明确性、预算编制科学性、资金分配合理性、资金到位率、预算执行率、资金使用合规性、管理制度健全性、制度执行有效性、</w:t>
      </w:r>
      <w:r>
        <w:rPr>
          <w:rFonts w:hint="eastAsia" w:ascii="仿宋_GB2312" w:hAnsi="仿宋_GB2312" w:cs="仿宋_GB2312"/>
          <w:color w:val="auto"/>
          <w:highlight w:val="none"/>
        </w:rPr>
        <w:t>项目实施管理规范性</w:t>
      </w:r>
      <w:r>
        <w:rPr>
          <w:rFonts w:hint="eastAsia" w:ascii="仿宋_GB2312" w:hAnsi="仿宋_GB2312" w:cs="仿宋_GB2312"/>
          <w:color w:val="auto"/>
          <w:highlight w:val="none"/>
          <w:lang w:eastAsia="zh-CN"/>
        </w:rPr>
        <w:t>、小麦“一喷三防”实施面积，防病虫、防干热风、防早衰、购置“一喷三防”药剂数量、用于一喷三防相关支出比例、严格执行资金预算管理、资金使用无重大违纪问题、统防统治覆盖率、采购物资验收合格率、采购物资到位率、救灾资金下拨至县市时限、及时拨付救灾资金、采购物资验收时间、采购物资或服务价格、受灾地区主要农作物单产减幅、“一喷三防”效果、受灾地区生产能力恢复、稳定农民种粮积极性</w:t>
      </w:r>
      <w:r>
        <w:rPr>
          <w:rFonts w:hint="eastAsia" w:ascii="仿宋_GB2312" w:hAnsi="仿宋_GB2312" w:cs="仿宋_GB2312"/>
          <w:color w:val="auto"/>
          <w:highlight w:val="none"/>
        </w:rPr>
        <w:t>、满意度。</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3.绩效评价方法</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本次评价采用定量与定性评价相结合的比较法、</w:t>
      </w:r>
      <w:r>
        <w:rPr>
          <w:rFonts w:hint="eastAsia" w:ascii="仿宋_GB2312" w:hAnsi="仿宋_GB2312" w:cs="仿宋_GB2312"/>
          <w:color w:val="auto"/>
          <w:highlight w:val="none"/>
          <w:lang w:val="en-US" w:eastAsia="zh-CN"/>
        </w:rPr>
        <w:t>文献法、</w:t>
      </w:r>
      <w:r>
        <w:rPr>
          <w:rFonts w:hint="eastAsia" w:ascii="仿宋_GB2312" w:hAnsi="仿宋_GB2312" w:cs="仿宋_GB2312"/>
          <w:color w:val="auto"/>
          <w:highlight w:val="none"/>
        </w:rPr>
        <w:t>公众评判法</w:t>
      </w:r>
      <w:r>
        <w:rPr>
          <w:rFonts w:hint="eastAsia" w:ascii="仿宋_GB2312" w:hAnsi="仿宋_GB2312" w:cs="仿宋_GB2312"/>
          <w:color w:val="auto"/>
          <w:highlight w:val="none"/>
          <w:lang w:val="en-US" w:eastAsia="zh-CN"/>
        </w:rPr>
        <w:t>等方法</w:t>
      </w:r>
      <w:r>
        <w:rPr>
          <w:rFonts w:hint="eastAsia" w:ascii="仿宋_GB2312" w:hAnsi="仿宋_GB2312" w:cs="仿宋_GB2312"/>
          <w:color w:val="auto"/>
          <w:highlight w:val="none"/>
        </w:rPr>
        <w:t>，总分由各项指标得分汇总形成。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项目决策</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立项依据充分性：比较法、文献法，查找法律法规政策以及规划，对比实际执行内容和政策支持内容是否匹配。</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立项程序规范性：比较法、文献法，查找相关项目设立的政策和文件要求，对比分析实际执行程序是否按照政策及文件要求执行，分析立项程序的规范性。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绩效目标合理性：比较法，对比分析年初编制项目支出绩效目标表与项目内容的相关性、资金的匹配性等。</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绩效指标明确性：比较法，比较分析年初编制项目支出绩效目标表是否符合双七原则，是否可衡量。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预算编制科学性：成本效益分析法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分析在产出一定的情况下，成本取值是否有依据，是否经过询价，是否按照市场最低成本编制。</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资金分配合理性：因素分析法，综合分析资金的分配依据是否充分，分配金额是否与项目实施单位需求金额一致。</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项目过程</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资金到位率：比较法，资金到位率预期指标值应为100%，通过实际计算，分析实际完成值和预期指标值之间的差距和原因。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预算执行率：比较法，预算执行率预期指标值应为100%，通过实际计算，分析实际完成值和预期指标值之间的差距和原因。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资金使用合规性：文献法、实地勘察法，一是查找资金管理办法，包括专项资金管理办法和单位自有资金管理办法；二是通过查账了解具体开支情况，是否专款专用，是否按照标准支出。</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管理制度健全性：文献法、比较法，查阅项目实施人员提供的财务和业务管理制度，将已建立的制度与现行的法律法规和政策要求进行对比，分析项目制度的合法性、合规性、完整性。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制度执行有效性：比较法，结合项目实际实施过程性文件，根据已建设的财务管理制度和项目管理制度综合分析制度执行的有效性。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项目产出</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4）项目效益方面</w:t>
      </w:r>
    </w:p>
    <w:p>
      <w:pPr>
        <w:pStyle w:val="32"/>
        <w:spacing w:line="520" w:lineRule="exact"/>
        <w:ind w:firstLine="560"/>
        <w:rPr>
          <w:rFonts w:hint="eastAsia" w:ascii="仿宋_GB2312" w:hAnsi="仿宋_GB2312" w:eastAsia="仿宋_GB2312" w:cs="仿宋_GB2312"/>
          <w:color w:val="auto"/>
          <w:highlight w:val="none"/>
          <w:lang w:eastAsia="zh-CN"/>
        </w:rPr>
      </w:pPr>
      <w:r>
        <w:rPr>
          <w:rFonts w:hint="eastAsia" w:ascii="仿宋_GB2312" w:hAnsi="仿宋_GB2312" w:cs="仿宋_GB2312"/>
          <w:color w:val="auto"/>
          <w:highlight w:val="none"/>
          <w:lang w:eastAsia="zh-CN"/>
        </w:rPr>
        <w:t>公众评判法、实地勘察法，通过实地勘察、问卷及抽样调查等方式评价本项目实施后社会公众或服务对象对项目实施效果的满意程度。</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4.绩效评价标准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计划标准：指以预先制定的目标、计划、预算、定额等作为评价标准。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行业标准：指参照国家公布的行业指标数据制定的评价标准。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历史标准：指参照历史数据制定的评价标准，为体现绩效改进的原则，在可实现的条件下应当确定相对较高的评价标准。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2023年岳普湖县小麦一喷三防补助项目</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采用的是计划标准，以事先制定的目标、计划、预算、定额等预计数据作为评价财政支出绩效的标准。通过将实际完成值与预定数据进行对比，发现偏差及时通知实施单位进行限期整改并反馈整改情况。</w:t>
      </w:r>
    </w:p>
    <w:p>
      <w:pPr>
        <w:pStyle w:val="52"/>
        <w:keepNext w:val="0"/>
        <w:keepLines w:val="0"/>
        <w:spacing w:line="520" w:lineRule="exact"/>
        <w:ind w:left="560"/>
        <w:jc w:val="both"/>
        <w:rPr>
          <w:rFonts w:ascii="仿宋_GB2312" w:hAnsi="仿宋_GB2312" w:cs="仿宋_GB2312"/>
          <w:color w:val="auto"/>
          <w:highlight w:val="none"/>
        </w:rPr>
      </w:pPr>
      <w:bookmarkStart w:id="59" w:name="_Toc26838"/>
      <w:bookmarkStart w:id="60" w:name="_Toc20415"/>
      <w:bookmarkStart w:id="61" w:name="_Toc12894"/>
      <w:bookmarkStart w:id="62" w:name="_Toc31508"/>
      <w:bookmarkStart w:id="63" w:name="_Toc127054589"/>
      <w:bookmarkStart w:id="64" w:name="_Toc26233_WPSOffice_Level2"/>
      <w:bookmarkStart w:id="65" w:name="_Toc22357"/>
      <w:bookmarkStart w:id="66" w:name="_Toc19104_WPSOffice_Level2"/>
      <w:bookmarkStart w:id="67" w:name="_Toc17200"/>
      <w:bookmarkStart w:id="68" w:name="_Toc12413_WPSOffice_Level2"/>
      <w:r>
        <w:rPr>
          <w:rFonts w:hint="eastAsia" w:ascii="仿宋_GB2312" w:hAnsi="仿宋_GB2312" w:cs="仿宋_GB2312"/>
          <w:color w:val="auto"/>
          <w:highlight w:val="none"/>
        </w:rPr>
        <w:t>（三）绩效评价工作过程</w:t>
      </w:r>
      <w:bookmarkEnd w:id="59"/>
      <w:bookmarkEnd w:id="60"/>
      <w:bookmarkEnd w:id="61"/>
      <w:bookmarkEnd w:id="62"/>
      <w:bookmarkEnd w:id="63"/>
      <w:bookmarkEnd w:id="64"/>
      <w:bookmarkEnd w:id="65"/>
      <w:bookmarkEnd w:id="66"/>
      <w:bookmarkEnd w:id="67"/>
      <w:bookmarkEnd w:id="68"/>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本次评价设计了评价方案、评价指标体系，通过资料分析、调研、访谈满意度调查等方式形成评价结论，在与项目单位沟通后确定评价意见，并出具评价报告。</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1.前期准备</w:t>
      </w:r>
      <w:r>
        <w:rPr>
          <w:rFonts w:hint="eastAsia" w:ascii="仿宋_GB2312" w:hAnsi="仿宋_GB2312" w:cs="仿宋_GB2312"/>
          <w:b/>
          <w:bCs/>
          <w:color w:val="auto"/>
          <w:highlight w:val="none"/>
          <w:lang w:val="en-US" w:eastAsia="zh-CN"/>
        </w:rPr>
        <w:t>阶段（2024年1月3日—1月10日）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作为绩效评价工作具体实施机构，绩效评价组成员构成如下：</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艾合麦提·萨迪尔</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评价组组长，绩效评价工作职责为负责全盘工作</w:t>
      </w:r>
      <w:r>
        <w:rPr>
          <w:rFonts w:hint="eastAsia" w:ascii="仿宋_GB2312" w:hAnsi="仿宋_GB2312" w:cs="仿宋_GB2312"/>
          <w:color w:val="auto"/>
          <w:highlight w:val="none"/>
        </w:rPr>
        <w:t>，</w:t>
      </w:r>
      <w:r>
        <w:rPr>
          <w:rFonts w:ascii="仿宋_GB2312" w:hAnsi="仿宋_GB2312" w:cs="仿宋_GB2312"/>
          <w:color w:val="auto"/>
          <w:highlight w:val="none"/>
        </w:rPr>
        <w:t>对项目实施情况进行实地调查。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周建平、阿依姑丽·那买提、何江霞</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评价组成员，绩效评价工作职责</w:t>
      </w:r>
      <w:r>
        <w:rPr>
          <w:rFonts w:hint="eastAsia" w:ascii="仿宋_GB2312" w:hAnsi="仿宋_GB2312" w:cs="仿宋_GB2312"/>
          <w:color w:val="auto"/>
          <w:highlight w:val="none"/>
        </w:rPr>
        <w:t>对</w:t>
      </w:r>
      <w:r>
        <w:rPr>
          <w:rFonts w:ascii="仿宋_GB2312" w:hAnsi="仿宋_GB2312" w:cs="仿宋_GB2312"/>
          <w:color w:val="auto"/>
          <w:highlight w:val="none"/>
        </w:rPr>
        <w:t>项目实施情况进行实地调查</w:t>
      </w:r>
      <w:r>
        <w:rPr>
          <w:rFonts w:hint="eastAsia" w:ascii="仿宋_GB2312" w:hAnsi="仿宋_GB2312" w:cs="仿宋_GB2312"/>
          <w:color w:val="auto"/>
          <w:highlight w:val="none"/>
        </w:rPr>
        <w:t>，</w:t>
      </w:r>
      <w:r>
        <w:rPr>
          <w:rFonts w:ascii="仿宋_GB2312" w:hAnsi="仿宋_GB2312" w:cs="仿宋_GB2312"/>
          <w:color w:val="auto"/>
          <w:highlight w:val="none"/>
        </w:rPr>
        <w:t>负责资料审核等工作。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2.组织实施</w:t>
      </w:r>
      <w:r>
        <w:rPr>
          <w:rFonts w:hint="eastAsia" w:ascii="仿宋_GB2312" w:hAnsi="仿宋_GB2312" w:cs="仿宋_GB2312"/>
          <w:b/>
          <w:bCs/>
          <w:color w:val="auto"/>
          <w:highlight w:val="none"/>
          <w:lang w:val="en-US" w:eastAsia="zh-CN"/>
        </w:rPr>
        <w:t>阶段（2024年1月11日—2月1日）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3.分析评价</w:t>
      </w:r>
      <w:r>
        <w:rPr>
          <w:rFonts w:hint="eastAsia" w:ascii="仿宋_GB2312" w:hAnsi="仿宋_GB2312" w:cs="仿宋_GB2312"/>
          <w:b/>
          <w:bCs/>
          <w:color w:val="auto"/>
          <w:highlight w:val="none"/>
          <w:lang w:val="en-US" w:eastAsia="zh-CN"/>
        </w:rPr>
        <w:t>阶段（2024年2月2日—2月29日）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绩效评价组根据收集梳理的资料围绕项目立项、资金落实、业务管理、财务管理、项目产出、项目效益等内容，对照已确定的绩效评价指标进行详细全面的分析评价，逐项打分并形成绩效评价最终结果。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4.撰写与提交评价报告</w:t>
      </w:r>
      <w:r>
        <w:rPr>
          <w:rFonts w:hint="eastAsia" w:ascii="仿宋_GB2312" w:hAnsi="仿宋_GB2312" w:cs="仿宋_GB2312"/>
          <w:b/>
          <w:bCs/>
          <w:color w:val="auto"/>
          <w:highlight w:val="none"/>
          <w:lang w:val="en-US" w:eastAsia="zh-CN"/>
        </w:rPr>
        <w:t>阶段（2024年3月1日-3月7日）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绩效评价组根据收集项目评价资料撰写绩效评价报告。按照新疆维吾尔自治区财政绩效管理信息系统绩效评价模块中</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统一格式</w:t>
      </w:r>
      <w:r>
        <w:rPr>
          <w:rFonts w:hint="eastAsia" w:ascii="仿宋_GB2312" w:hAnsi="仿宋_GB2312" w:cs="仿宋_GB2312"/>
          <w:color w:val="auto"/>
          <w:highlight w:val="none"/>
          <w:lang w:val="en-US" w:eastAsia="zh-CN"/>
        </w:rPr>
        <w:t>及</w:t>
      </w:r>
      <w:r>
        <w:rPr>
          <w:rFonts w:hint="eastAsia" w:ascii="仿宋_GB2312" w:hAnsi="仿宋_GB2312" w:cs="仿宋_GB2312"/>
          <w:color w:val="auto"/>
          <w:highlight w:val="none"/>
        </w:rPr>
        <w:t>文本框架撰写绩效评价报告并提交审核。</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5.归集档案</w:t>
      </w:r>
      <w:r>
        <w:rPr>
          <w:rFonts w:hint="eastAsia" w:ascii="仿宋_GB2312" w:hAnsi="仿宋_GB2312" w:cs="仿宋_GB2312"/>
          <w:b/>
          <w:bCs/>
          <w:color w:val="auto"/>
          <w:highlight w:val="none"/>
          <w:lang w:val="en-US" w:eastAsia="zh-CN"/>
        </w:rPr>
        <w:t>阶段（2024年3月8日-3月15日）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建立和落实档案管理制度，由绩效评价组将项目相关资料存档，包括但不限于：评价项目基本情况和相关文件、评价实施方案、项目支付资料等相关档案。</w:t>
      </w:r>
    </w:p>
    <w:p>
      <w:pPr>
        <w:pStyle w:val="31"/>
        <w:keepNext w:val="0"/>
        <w:keepLines w:val="0"/>
        <w:spacing w:line="520" w:lineRule="exact"/>
        <w:ind w:firstLine="640" w:firstLineChars="200"/>
        <w:jc w:val="both"/>
        <w:rPr>
          <w:color w:val="auto"/>
          <w:highlight w:val="none"/>
        </w:rPr>
      </w:pPr>
      <w:bookmarkStart w:id="69" w:name="_Toc5081"/>
      <w:bookmarkStart w:id="70" w:name="_Toc1686_WPSOffice_Level1"/>
      <w:bookmarkStart w:id="71" w:name="_Toc7014"/>
      <w:bookmarkStart w:id="72" w:name="_Toc23928_WPSOffice_Level1"/>
      <w:bookmarkStart w:id="73" w:name="_Toc1597"/>
      <w:bookmarkStart w:id="74" w:name="_Toc16646"/>
      <w:bookmarkStart w:id="75" w:name="_Toc25359"/>
      <w:bookmarkStart w:id="76" w:name="_Toc127054590"/>
      <w:bookmarkStart w:id="77" w:name="_Toc4810"/>
      <w:bookmarkStart w:id="78" w:name="_Toc32607_WPSOffice_Level1"/>
      <w:r>
        <w:rPr>
          <w:rFonts w:hint="eastAsia"/>
          <w:color w:val="auto"/>
          <w:highlight w:val="none"/>
        </w:rPr>
        <w:t>三、综合评价情况及评价结论</w:t>
      </w:r>
      <w:bookmarkEnd w:id="69"/>
      <w:bookmarkEnd w:id="70"/>
      <w:bookmarkEnd w:id="71"/>
      <w:bookmarkEnd w:id="72"/>
      <w:bookmarkEnd w:id="73"/>
      <w:bookmarkEnd w:id="74"/>
      <w:bookmarkEnd w:id="75"/>
      <w:bookmarkEnd w:id="76"/>
      <w:bookmarkEnd w:id="77"/>
      <w:bookmarkEnd w:id="78"/>
    </w:p>
    <w:p>
      <w:pPr>
        <w:pStyle w:val="52"/>
        <w:keepNext w:val="0"/>
        <w:keepLines w:val="0"/>
        <w:spacing w:line="520" w:lineRule="exact"/>
        <w:ind w:left="560"/>
        <w:jc w:val="both"/>
        <w:rPr>
          <w:color w:val="auto"/>
          <w:highlight w:val="none"/>
        </w:rPr>
      </w:pPr>
      <w:bookmarkStart w:id="79" w:name="_Toc4710"/>
      <w:bookmarkStart w:id="80" w:name="_Toc15650_WPSOffice_Level2"/>
      <w:bookmarkStart w:id="81" w:name="_Toc5941_WPSOffice_Level2"/>
      <w:bookmarkStart w:id="82" w:name="_Toc127054591"/>
      <w:bookmarkStart w:id="83" w:name="_Toc24395"/>
      <w:bookmarkStart w:id="84" w:name="_Toc30078"/>
      <w:bookmarkStart w:id="85" w:name="_Toc6425"/>
      <w:bookmarkStart w:id="86" w:name="_Toc28208_WPSOffice_Level2"/>
      <w:bookmarkStart w:id="87" w:name="_Toc1796"/>
      <w:bookmarkStart w:id="88" w:name="_Toc22637"/>
      <w:r>
        <w:rPr>
          <w:rFonts w:hint="eastAsia"/>
          <w:color w:val="auto"/>
          <w:highlight w:val="none"/>
        </w:rPr>
        <w:t>（一）综合评价情况</w:t>
      </w:r>
      <w:bookmarkEnd w:id="79"/>
      <w:bookmarkEnd w:id="80"/>
      <w:bookmarkEnd w:id="81"/>
      <w:bookmarkEnd w:id="82"/>
      <w:bookmarkEnd w:id="83"/>
      <w:bookmarkEnd w:id="84"/>
      <w:bookmarkEnd w:id="85"/>
      <w:bookmarkEnd w:id="86"/>
      <w:bookmarkEnd w:id="87"/>
      <w:bookmarkEnd w:id="88"/>
    </w:p>
    <w:p>
      <w:pPr>
        <w:pStyle w:val="32"/>
        <w:spacing w:line="520" w:lineRule="exact"/>
        <w:ind w:firstLine="560"/>
        <w:rPr>
          <w:color w:val="auto"/>
          <w:highlight w:val="none"/>
        </w:rPr>
      </w:pPr>
      <w:r>
        <w:rPr>
          <w:rFonts w:hint="eastAsia"/>
          <w:color w:val="auto"/>
          <w:highlight w:val="none"/>
        </w:rP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在项目决策方面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立项符合国家法律法规、国民经济发展规划和相关政策，项目立项依据充分。项目按照规定的程序申请，经过必要的研究、论证和评估，立项程序规范。</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在项目管理方面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本项目预算安排</w:t>
      </w:r>
      <w:r>
        <w:rPr>
          <w:rFonts w:hint="eastAsia" w:ascii="仿宋_GB2312" w:hAnsi="仿宋_GB2312" w:cs="仿宋_GB2312"/>
          <w:color w:val="auto"/>
          <w:highlight w:val="none"/>
          <w:lang w:val="en-US" w:eastAsia="zh-CN"/>
        </w:rPr>
        <w:t>101.74</w:t>
      </w:r>
      <w:r>
        <w:rPr>
          <w:rFonts w:hint="eastAsia" w:ascii="仿宋_GB2312" w:hAnsi="仿宋_GB2312" w:cs="仿宋_GB2312"/>
          <w:color w:val="auto"/>
          <w:highlight w:val="none"/>
        </w:rPr>
        <w:t>万元，实际支出</w:t>
      </w:r>
      <w:r>
        <w:rPr>
          <w:rFonts w:hint="eastAsia" w:ascii="仿宋_GB2312" w:hAnsi="仿宋_GB2312" w:cs="仿宋_GB2312"/>
          <w:color w:val="auto"/>
          <w:highlight w:val="none"/>
          <w:lang w:val="en-US" w:eastAsia="zh-CN"/>
        </w:rPr>
        <w:t>101.74</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。项目资金使用合规，项目财务管理制度健全，财务监控到位，所有资金支付均按照国库集中支付制度严格执行，现有项目管理制度执行情况良好。</w:t>
      </w:r>
    </w:p>
    <w:p>
      <w:pPr>
        <w:pStyle w:val="32"/>
        <w:keepNext w:val="0"/>
        <w:keepLines w:val="0"/>
        <w:pageBreakBefore w:val="0"/>
        <w:widowControl w:val="0"/>
        <w:kinsoku/>
        <w:wordWrap/>
        <w:overflowPunct/>
        <w:topLinePunct w:val="0"/>
        <w:autoSpaceDE/>
        <w:autoSpaceDN/>
        <w:bidi w:val="0"/>
        <w:adjustRightInd/>
        <w:snapToGrid/>
        <w:spacing w:line="520" w:lineRule="exact"/>
        <w:ind w:firstLine="560"/>
        <w:textAlignment w:val="auto"/>
        <w:rPr>
          <w:rFonts w:hint="eastAsia" w:ascii="仿宋_GB2312" w:hAnsi="仿宋_GB2312" w:cs="仿宋_GB2312"/>
          <w:color w:val="auto"/>
          <w:highlight w:val="none"/>
        </w:rPr>
      </w:pPr>
      <w:r>
        <w:rPr>
          <w:rFonts w:hint="eastAsia" w:ascii="仿宋_GB2312" w:hAnsi="仿宋_GB2312" w:cs="仿宋_GB2312"/>
          <w:color w:val="auto"/>
          <w:highlight w:val="none"/>
        </w:rPr>
        <w:t>在项目效果方面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已经按期完成了“一喷三防”，防病虫、防干热风、防早衰。实施小麦“一喷三防”合计达到了面积21.88万亩，其中：冬小麦实施面积达到了21.58万亩，春小麦实施面积达到了0.3万亩。项目预算执行率为100%。资金全部用于购置了61081.58公斤“一喷三防”药剂，主要采购了杀菌剂三唑酮、叶面肥磷酸二氢钾、植物生长调节剂芸苔素及杀虫剂吡虫啉等。统防统治覆盖率达到了45%。通过项目的实施减轻了岳普湖县小麦锈病、白粉病、干热风等病虫害灾害危害，增强了小麦抗逆性，提升了小麦产量，促进了受灾地区生产能力恢复，稳定了农民种粮积极性，提升了农作物抗病虫和增产能力，确保了“一喷三防”取得效果，保证了全年农业生产稳定。受益农户满意度达到了100%。</w:t>
      </w:r>
    </w:p>
    <w:p>
      <w:pPr>
        <w:pStyle w:val="52"/>
        <w:keepNext w:val="0"/>
        <w:keepLines w:val="0"/>
        <w:spacing w:line="520" w:lineRule="exact"/>
        <w:ind w:left="560"/>
        <w:jc w:val="both"/>
        <w:rPr>
          <w:color w:val="auto"/>
          <w:highlight w:val="none"/>
        </w:rPr>
      </w:pPr>
      <w:bookmarkStart w:id="89" w:name="_Toc5518"/>
      <w:bookmarkStart w:id="90" w:name="_Toc7246"/>
      <w:bookmarkStart w:id="91" w:name="_Toc25689_WPSOffice_Level2"/>
      <w:bookmarkStart w:id="92" w:name="_Toc24314"/>
      <w:bookmarkStart w:id="93" w:name="_Toc5858"/>
      <w:bookmarkStart w:id="94" w:name="_Toc19466"/>
      <w:bookmarkStart w:id="95" w:name="_Toc127054592"/>
      <w:bookmarkStart w:id="96" w:name="_Toc30582_WPSOffice_Level2"/>
      <w:bookmarkStart w:id="97" w:name="_Toc20924_WPSOffice_Level2"/>
      <w:bookmarkStart w:id="98" w:name="_Toc6175"/>
      <w:r>
        <w:rPr>
          <w:rFonts w:hint="eastAsia"/>
          <w:color w:val="auto"/>
          <w:highlight w:val="none"/>
        </w:rPr>
        <w:t>（二）综合评价结论</w:t>
      </w:r>
      <w:bookmarkEnd w:id="89"/>
      <w:bookmarkEnd w:id="90"/>
      <w:bookmarkEnd w:id="91"/>
      <w:bookmarkEnd w:id="92"/>
      <w:bookmarkEnd w:id="93"/>
      <w:bookmarkEnd w:id="94"/>
      <w:bookmarkEnd w:id="95"/>
      <w:bookmarkEnd w:id="96"/>
      <w:bookmarkEnd w:id="97"/>
      <w:bookmarkEnd w:id="98"/>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运用绩效评价组制定的评价指标体系以及财政部《项目支出绩效评价管理办法》（财预〔2020〕10号）文件的评分标准，通过数据采集、问</w:t>
      </w:r>
      <w:r>
        <w:rPr>
          <w:rFonts w:hint="eastAsia" w:ascii="仿宋_GB2312" w:hAnsi="仿宋_GB2312" w:cs="仿宋_GB2312"/>
          <w:color w:val="auto"/>
          <w:highlight w:val="none"/>
        </w:rPr>
        <w:t>卷调查及访谈等方式，对本项目进行客观评价，总分一般设置为100分，其中项目决策20分、项目过程</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分、项目产出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分、项目效益</w:t>
      </w:r>
      <w:r>
        <w:rPr>
          <w:rFonts w:hint="eastAsia" w:ascii="仿宋_GB2312" w:hAnsi="仿宋_GB2312" w:cs="仿宋_GB2312"/>
          <w:color w:val="auto"/>
          <w:highlight w:val="none"/>
          <w:lang w:val="en-US" w:eastAsia="zh-CN"/>
        </w:rPr>
        <w:t>30</w:t>
      </w:r>
      <w:r>
        <w:rPr>
          <w:rFonts w:hint="eastAsia" w:ascii="仿宋_GB2312" w:hAnsi="仿宋_GB2312" w:cs="仿宋_GB2312"/>
          <w:color w:val="auto"/>
          <w:highlight w:val="none"/>
        </w:rPr>
        <w:t>分。评价结果分为优、良、中、差四个等级：优（90分（含）—100分）；良（80分（含）—90分）；中（60分（含）—80分）；差（0分—60分）。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本项目</w:t>
      </w:r>
      <w:r>
        <w:rPr>
          <w:rFonts w:hint="eastAsia" w:ascii="仿宋_GB2312" w:hAnsi="仿宋_GB2312" w:cs="仿宋_GB2312"/>
          <w:color w:val="auto"/>
          <w:highlight w:val="none"/>
        </w:rPr>
        <w:t>最终评分结果：总得分为</w:t>
      </w:r>
      <w:r>
        <w:rPr>
          <w:rFonts w:hint="eastAsia" w:ascii="仿宋_GB2312" w:hAnsi="仿宋_GB2312" w:cs="仿宋_GB2312"/>
          <w:color w:val="auto"/>
          <w:highlight w:val="none"/>
        </w:rPr>
        <w:t>100分</w:t>
      </w:r>
      <w:r>
        <w:rPr>
          <w:rFonts w:hint="eastAsia" w:ascii="仿宋_GB2312" w:hAnsi="仿宋_GB2312" w:cs="仿宋_GB2312"/>
          <w:color w:val="auto"/>
          <w:highlight w:val="none"/>
        </w:rPr>
        <w:t>，绩效评级为</w:t>
      </w:r>
      <w:r>
        <w:rPr>
          <w:rFonts w:hint="eastAsia" w:ascii="仿宋_GB2312" w:hAnsi="仿宋_GB2312" w:cs="仿宋_GB2312"/>
          <w:color w:val="auto"/>
          <w:highlight w:val="none"/>
        </w:rPr>
        <w:t>“优”</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具体得分情况</w:t>
      </w:r>
      <w:r>
        <w:rPr>
          <w:rFonts w:hint="eastAsia" w:ascii="仿宋_GB2312" w:hAnsi="仿宋_GB2312" w:cs="仿宋_GB2312"/>
          <w:color w:val="auto"/>
          <w:highlight w:val="none"/>
          <w:lang w:val="en-US" w:eastAsia="zh-CN"/>
        </w:rPr>
        <w:t>如下</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1.项目决策指标权重为20分，得分为20分，得分率为100%。</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2.项目过程指标权重为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3.项目产出指标权重为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4.项目效益指标权重为30分，</w:t>
      </w:r>
      <w:r>
        <w:rPr>
          <w:rFonts w:hint="eastAsia" w:ascii="仿宋_GB2312" w:hAnsi="仿宋_GB2312" w:cs="仿宋_GB2312"/>
          <w:color w:val="auto"/>
          <w:highlight w:val="none"/>
        </w:rPr>
        <w:t>得分为30分，得分率为100%</w:t>
      </w:r>
      <w:r>
        <w:rPr>
          <w:rFonts w:hint="eastAsia" w:ascii="仿宋_GB2312" w:hAnsi="仿宋_GB2312" w:cs="仿宋_GB2312"/>
          <w:color w:val="auto"/>
          <w:highlight w:val="none"/>
        </w:rPr>
        <w:t>。具体打分情况详见：附件1综合评分表。</w:t>
      </w:r>
    </w:p>
    <w:p>
      <w:pPr>
        <w:pStyle w:val="32"/>
        <w:ind w:firstLine="562"/>
        <w:jc w:val="center"/>
        <w:rPr>
          <w:b/>
          <w:bCs/>
          <w:color w:val="auto"/>
          <w:highlight w:val="none"/>
        </w:rPr>
      </w:pPr>
      <w:bookmarkStart w:id="99" w:name="_Toc12641_WPSOffice_Level2"/>
      <w:bookmarkStart w:id="100" w:name="_Toc25446_WPSOffice_Level2"/>
      <w:bookmarkStart w:id="101" w:name="_Toc13636_WPSOffice_Level2"/>
      <w:bookmarkStart w:id="102" w:name="_Toc10259_WPSOffice_Level1"/>
      <w:bookmarkStart w:id="103" w:name="_Toc4090"/>
      <w:bookmarkStart w:id="104" w:name="_Toc127054593"/>
      <w:bookmarkStart w:id="105" w:name="_Toc19284"/>
      <w:bookmarkStart w:id="106" w:name="_Toc17696_WPSOffice_Level1"/>
      <w:bookmarkStart w:id="107" w:name="_Toc23593"/>
      <w:bookmarkStart w:id="108" w:name="_Toc31634"/>
      <w:bookmarkStart w:id="109" w:name="_Toc21991"/>
      <w:bookmarkStart w:id="110" w:name="_Toc27609"/>
      <w:bookmarkStart w:id="111" w:name="_Toc14202_WPSOffice_Level1"/>
      <w:r>
        <w:rPr>
          <w:rFonts w:hint="eastAsia"/>
          <w:b/>
          <w:bCs/>
          <w:color w:val="auto"/>
          <w:highlight w:val="none"/>
        </w:rPr>
        <w:t>项目绩效评价评分情况表</w:t>
      </w:r>
      <w:bookmarkEnd w:id="99"/>
      <w:bookmarkEnd w:id="100"/>
      <w:bookmarkEnd w:id="101"/>
    </w:p>
    <w:tbl>
      <w:tblPr>
        <w:tblStyle w:val="26"/>
        <w:tblW w:w="8309" w:type="dxa"/>
        <w:jc w:val="center"/>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382"/>
        <w:gridCol w:w="1382"/>
        <w:gridCol w:w="1382"/>
        <w:gridCol w:w="1382"/>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blHeader/>
          <w:jc w:val="center"/>
        </w:trPr>
        <w:tc>
          <w:tcPr>
            <w:tcW w:w="1323"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指  标</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A.项目决策</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B.项目过程</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C.项目产出</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D.项目效益</w:t>
            </w:r>
          </w:p>
        </w:tc>
        <w:tc>
          <w:tcPr>
            <w:tcW w:w="1458"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23" w:type="dxa"/>
            <w:vAlign w:val="center"/>
          </w:tcPr>
          <w:p>
            <w:pPr>
              <w:pStyle w:val="57"/>
              <w:spacing w:line="520" w:lineRule="exact"/>
              <w:ind w:firstLine="0" w:firstLineChars="0"/>
              <w:rPr>
                <w:rFonts w:ascii="仿宋_GB2312" w:cs="Times New Roman"/>
                <w:b w:val="0"/>
                <w:color w:val="auto"/>
                <w:sz w:val="21"/>
                <w:szCs w:val="21"/>
                <w:highlight w:val="none"/>
              </w:rPr>
            </w:pPr>
            <w:r>
              <w:rPr>
                <w:rFonts w:hint="eastAsia" w:ascii="仿宋_GB2312" w:cs="Times New Roman"/>
                <w:b w:val="0"/>
                <w:color w:val="auto"/>
                <w:sz w:val="21"/>
                <w:szCs w:val="21"/>
                <w:highlight w:val="none"/>
              </w:rPr>
              <w:t>权  重</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hint="eastAsia" w:ascii="仿宋_GB2312" w:eastAsia="仿宋_GB2312" w:cs="Times New Roman"/>
                <w:b w:val="0"/>
                <w:color w:val="auto"/>
                <w:sz w:val="21"/>
                <w:szCs w:val="21"/>
                <w:highlight w:val="none"/>
                <w:lang w:eastAsia="zh-CN"/>
              </w:rPr>
            </w:pPr>
            <w:r>
              <w:rPr>
                <w:rFonts w:hint="eastAsia" w:ascii="仿宋_GB2312" w:cs="Times New Roman"/>
                <w:b w:val="0"/>
                <w:color w:val="auto"/>
                <w:sz w:val="21"/>
                <w:szCs w:val="21"/>
                <w:highlight w:val="none"/>
                <w:lang w:val="en-US" w:eastAsia="zh-CN"/>
              </w:rPr>
              <w:t>得</w:t>
            </w:r>
            <w:r>
              <w:rPr>
                <w:rFonts w:hint="eastAsia" w:ascii="仿宋_GB2312" w:cs="Times New Roman"/>
                <w:b w:val="0"/>
                <w:color w:val="auto"/>
                <w:sz w:val="21"/>
                <w:szCs w:val="21"/>
                <w:highlight w:val="none"/>
              </w:rPr>
              <w:t xml:space="preserve">  </w:t>
            </w:r>
            <w:r>
              <w:rPr>
                <w:rFonts w:hint="eastAsia" w:ascii="仿宋_GB2312" w:cs="Times New Roman"/>
                <w:b w:val="0"/>
                <w:color w:val="auto"/>
                <w:sz w:val="21"/>
                <w:szCs w:val="21"/>
                <w:highlight w:val="none"/>
                <w:lang w:val="en-US" w:eastAsia="zh-CN"/>
              </w:rPr>
              <w:t>分</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ascii="仿宋_GB2312" w:cs="Times New Roman"/>
                <w:bCs/>
                <w:color w:val="auto"/>
                <w:sz w:val="21"/>
                <w:szCs w:val="21"/>
                <w:highlight w:val="none"/>
              </w:rPr>
            </w:pPr>
            <w:r>
              <w:rPr>
                <w:rFonts w:hint="eastAsia" w:ascii="仿宋_GB2312" w:cs="Times New Roman"/>
                <w:bCs/>
                <w:color w:val="auto"/>
                <w:sz w:val="21"/>
                <w:szCs w:val="21"/>
                <w:highlight w:val="none"/>
              </w:rPr>
              <w:t>得分率</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458"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p>
        </w:tc>
      </w:tr>
    </w:tbl>
    <w:p>
      <w:pPr>
        <w:pStyle w:val="31"/>
        <w:keepNext w:val="0"/>
        <w:keepLines w:val="0"/>
        <w:spacing w:line="520" w:lineRule="exact"/>
        <w:ind w:firstLine="640" w:firstLineChars="200"/>
        <w:jc w:val="both"/>
        <w:rPr>
          <w:color w:val="auto"/>
          <w:highlight w:val="none"/>
        </w:rPr>
      </w:pPr>
      <w:r>
        <w:rPr>
          <w:rFonts w:hint="eastAsia"/>
          <w:color w:val="auto"/>
          <w:highlight w:val="none"/>
        </w:rPr>
        <w:t>四、绩效评价指标分析</w:t>
      </w:r>
      <w:bookmarkEnd w:id="102"/>
      <w:bookmarkEnd w:id="103"/>
      <w:bookmarkEnd w:id="104"/>
      <w:bookmarkEnd w:id="105"/>
      <w:bookmarkEnd w:id="106"/>
      <w:bookmarkEnd w:id="107"/>
      <w:bookmarkEnd w:id="108"/>
      <w:bookmarkEnd w:id="109"/>
      <w:bookmarkEnd w:id="110"/>
      <w:bookmarkEnd w:id="111"/>
    </w:p>
    <w:p>
      <w:pPr>
        <w:pStyle w:val="52"/>
        <w:keepNext w:val="0"/>
        <w:keepLines w:val="0"/>
        <w:spacing w:line="520" w:lineRule="exact"/>
        <w:ind w:left="560"/>
        <w:jc w:val="both"/>
        <w:rPr>
          <w:rFonts w:ascii="仿宋_GB2312" w:hAnsi="仿宋_GB2312" w:cs="仿宋_GB2312"/>
          <w:color w:val="auto"/>
          <w:highlight w:val="none"/>
        </w:rPr>
      </w:pPr>
      <w:bookmarkStart w:id="112" w:name="_Toc12537"/>
      <w:bookmarkStart w:id="113" w:name="_Toc127054594"/>
      <w:bookmarkStart w:id="114" w:name="_Toc23471_WPSOffice_Level2"/>
      <w:bookmarkStart w:id="115" w:name="_Toc24898"/>
      <w:bookmarkStart w:id="116" w:name="_Toc30064_WPSOffice_Level2"/>
      <w:bookmarkStart w:id="117" w:name="_Toc15622"/>
      <w:bookmarkStart w:id="118" w:name="_Toc1351"/>
      <w:bookmarkStart w:id="119" w:name="_Toc23212"/>
      <w:bookmarkStart w:id="120" w:name="_Toc13717_WPSOffice_Level2"/>
      <w:bookmarkStart w:id="121" w:name="_Toc17002"/>
      <w:r>
        <w:rPr>
          <w:rFonts w:hint="eastAsia" w:ascii="仿宋_GB2312" w:hAnsi="仿宋_GB2312" w:cs="仿宋_GB2312"/>
          <w:color w:val="auto"/>
          <w:highlight w:val="none"/>
        </w:rPr>
        <w:t>（一）项目决策情况</w:t>
      </w:r>
      <w:bookmarkEnd w:id="112"/>
      <w:bookmarkEnd w:id="113"/>
      <w:bookmarkEnd w:id="114"/>
      <w:bookmarkEnd w:id="115"/>
      <w:bookmarkEnd w:id="116"/>
      <w:bookmarkEnd w:id="117"/>
      <w:bookmarkEnd w:id="118"/>
      <w:bookmarkEnd w:id="119"/>
      <w:bookmarkEnd w:id="120"/>
      <w:bookmarkEnd w:id="121"/>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决策类指标包括项目立项、绩效目标和资金投入三方面的内容，由6个三级指标构成，权重分值为20分，实际得分20分，得分率为</w:t>
      </w:r>
      <w:r>
        <w:rPr>
          <w:rFonts w:hint="eastAsia" w:ascii="仿宋_GB2312" w:hAnsi="仿宋_GB2312" w:cs="仿宋_GB2312"/>
          <w:color w:val="auto"/>
          <w:highlight w:val="none"/>
        </w:rPr>
        <w:t>100%。</w:t>
      </w:r>
    </w:p>
    <w:p>
      <w:pPr>
        <w:pStyle w:val="32"/>
        <w:spacing w:line="520" w:lineRule="exact"/>
        <w:ind w:firstLine="562"/>
        <w:rPr>
          <w:rFonts w:ascii="仿宋_GB2312" w:hAnsi="仿宋_GB2312" w:cs="仿宋_GB2312"/>
          <w:b/>
          <w:bCs/>
          <w:color w:val="auto"/>
          <w:highlight w:val="none"/>
        </w:rPr>
      </w:pPr>
      <w:bookmarkStart w:id="122" w:name="_Toc25023_WPSOffice_Level2"/>
      <w:r>
        <w:rPr>
          <w:rFonts w:hint="eastAsia" w:ascii="仿宋_GB2312" w:hAnsi="仿宋_GB2312" w:cs="仿宋_GB2312"/>
          <w:b/>
          <w:bCs/>
          <w:color w:val="auto"/>
          <w:highlight w:val="none"/>
        </w:rPr>
        <w:t>1.项目立项</w:t>
      </w:r>
      <w:bookmarkEnd w:id="122"/>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项目立项指标从立项依据充分性、立项程序规范性2个方面进行评价，</w:t>
      </w:r>
      <w:r>
        <w:rPr>
          <w:rFonts w:hint="eastAsia" w:ascii="仿宋_GB2312" w:hAnsi="仿宋_GB2312" w:cs="仿宋_GB2312"/>
          <w:color w:val="auto"/>
          <w:highlight w:val="none"/>
        </w:rPr>
        <w:t>权重分值8分，实际得分8分。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（1）立项依据充分性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（2）立项程序规范性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p>
    <w:p>
      <w:pPr>
        <w:pStyle w:val="32"/>
        <w:spacing w:line="520" w:lineRule="exact"/>
        <w:ind w:firstLine="562"/>
        <w:rPr>
          <w:rFonts w:ascii="仿宋_GB2312" w:hAnsi="仿宋_GB2312" w:cs="仿宋_GB2312"/>
          <w:b/>
          <w:bCs/>
          <w:color w:val="auto"/>
          <w:highlight w:val="none"/>
        </w:rPr>
      </w:pPr>
      <w:bookmarkStart w:id="123" w:name="_Toc20733_WPSOffice_Level2"/>
      <w:r>
        <w:rPr>
          <w:rFonts w:hint="eastAsia" w:ascii="仿宋_GB2312" w:hAnsi="仿宋_GB2312" w:cs="仿宋_GB2312"/>
          <w:b/>
          <w:bCs/>
          <w:color w:val="auto"/>
          <w:highlight w:val="none"/>
        </w:rPr>
        <w:t>2.绩效目标</w:t>
      </w:r>
      <w:bookmarkEnd w:id="123"/>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绩效目标指标从绩效目标合理性、绩效指标明确性2个方面进行评价，权重分值5分，实际得分5分。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（1）绩效目标合理性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（2）绩效指标明确性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设置了明确的预期产出效益和效果，将绩效目标细化分解为具体的绩效指标，绩效目标与项目目标任务数相对应，绩效目标设定的绩效指标清晰、细化、可衡量。根据评价标准，该指标不扣分，实际得分2分。</w:t>
      </w:r>
    </w:p>
    <w:p>
      <w:pPr>
        <w:pStyle w:val="32"/>
        <w:spacing w:line="520" w:lineRule="exact"/>
        <w:ind w:firstLine="562"/>
        <w:rPr>
          <w:rFonts w:ascii="仿宋_GB2312" w:hAnsi="仿宋_GB2312" w:cs="仿宋_GB2312"/>
          <w:b/>
          <w:bCs/>
          <w:color w:val="auto"/>
          <w:highlight w:val="none"/>
        </w:rPr>
      </w:pPr>
      <w:bookmarkStart w:id="124" w:name="_Toc32610_WPSOffice_Level2"/>
      <w:r>
        <w:rPr>
          <w:rFonts w:hint="eastAsia" w:ascii="仿宋_GB2312" w:hAnsi="仿宋_GB2312" w:cs="仿宋_GB2312"/>
          <w:b/>
          <w:bCs/>
          <w:color w:val="auto"/>
          <w:highlight w:val="none"/>
        </w:rPr>
        <w:t>3.资金投入</w:t>
      </w:r>
      <w:bookmarkEnd w:id="12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资金投入指标从预算编制科学性、资金分配合理性2个方面进行评价，权重分值7分，实际得分7分。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（1）预算编制科学性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预算编制经过科学论证，提供充分的测算依据佐证资料</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编制</w:t>
      </w:r>
      <w:r>
        <w:rPr>
          <w:rFonts w:hint="eastAsia" w:ascii="仿宋_GB2312" w:hAnsi="仿宋_GB2312" w:cs="仿宋_GB2312"/>
          <w:color w:val="auto"/>
          <w:highlight w:val="none"/>
        </w:rPr>
        <w:t>准确可靠的数据和信息</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确保</w:t>
      </w:r>
      <w:r>
        <w:rPr>
          <w:rFonts w:hint="eastAsia" w:ascii="仿宋_GB2312" w:hAnsi="仿宋_GB2312" w:cs="仿宋_GB2312"/>
          <w:color w:val="auto"/>
          <w:highlight w:val="none"/>
        </w:rPr>
        <w:t>预算内容与项目内容相匹配。项目投资额与工作任务相匹配。</w:t>
      </w:r>
      <w:r>
        <w:rPr>
          <w:rFonts w:hint="eastAsia" w:ascii="仿宋_GB2312" w:hAnsi="仿宋_GB2312" w:cs="仿宋_GB2312"/>
          <w:color w:val="auto"/>
          <w:highlight w:val="none"/>
        </w:rPr>
        <w:t>预算编制的程序规范、透明，确保预算的公正性和公平性</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根据评价标准，该指标不扣分，实际得分5分。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（2）资金分配合理性</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项目进行全面的评估和分析，确定各个环节和部门的资金需求，确保资金的使用与项目的进展和目标实现紧密相关。通过合理的资金分配，确保项目的顺利进行，避免资金短缺或浪费，提高项目的整体效益</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资金分配时，优先满足关键任务的资金需求，确保项目按照计划和时间表进行。</w:t>
      </w:r>
      <w:r>
        <w:rPr>
          <w:rFonts w:hint="eastAsia" w:ascii="仿宋_GB2312" w:hAnsi="仿宋_GB2312" w:cs="仿宋_GB2312"/>
          <w:color w:val="auto"/>
          <w:highlight w:val="none"/>
        </w:rPr>
        <w:t>资金分配额度与项目单位实际工作内容相适应，资金分配额度合理，资金分配依据充分。根据评价标准，该指标不扣分，实际得分2分。</w:t>
      </w:r>
    </w:p>
    <w:p>
      <w:pPr>
        <w:pStyle w:val="52"/>
        <w:keepNext w:val="0"/>
        <w:keepLines w:val="0"/>
        <w:spacing w:line="520" w:lineRule="exact"/>
        <w:ind w:left="560"/>
        <w:jc w:val="both"/>
        <w:rPr>
          <w:rFonts w:ascii="仿宋_GB2312" w:hAnsi="仿宋_GB2312" w:cs="仿宋_GB2312"/>
          <w:color w:val="auto"/>
          <w:highlight w:val="none"/>
        </w:rPr>
      </w:pPr>
      <w:bookmarkStart w:id="125" w:name="_Toc21518"/>
      <w:bookmarkStart w:id="126" w:name="_Toc804"/>
      <w:bookmarkStart w:id="127" w:name="_Toc18592"/>
      <w:bookmarkStart w:id="128" w:name="_Toc18771"/>
      <w:bookmarkStart w:id="129" w:name="_Toc4615_WPSOffice_Level2"/>
      <w:bookmarkStart w:id="130" w:name="_Toc127054595"/>
      <w:bookmarkStart w:id="131" w:name="_Toc30315"/>
      <w:bookmarkStart w:id="132" w:name="_Toc30208"/>
      <w:bookmarkStart w:id="133" w:name="_Toc15035_WPSOffice_Level2"/>
      <w:bookmarkStart w:id="134" w:name="_Toc22525_WPSOffice_Level2"/>
      <w:r>
        <w:rPr>
          <w:rFonts w:hint="eastAsia" w:ascii="仿宋_GB2312" w:hAnsi="仿宋_GB2312" w:cs="仿宋_GB2312"/>
          <w:color w:val="auto"/>
          <w:highlight w:val="none"/>
        </w:rPr>
        <w:t>（二）项目过程情况</w:t>
      </w:r>
      <w:bookmarkEnd w:id="125"/>
      <w:bookmarkEnd w:id="126"/>
      <w:bookmarkEnd w:id="127"/>
      <w:bookmarkEnd w:id="128"/>
      <w:bookmarkEnd w:id="129"/>
      <w:bookmarkEnd w:id="130"/>
      <w:bookmarkEnd w:id="131"/>
      <w:bookmarkEnd w:id="132"/>
      <w:bookmarkEnd w:id="133"/>
      <w:bookmarkEnd w:id="13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过程类指标包括资金管理和组织实施两方面的内容，由6个三级指标构成，权重分值为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1.资金管理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资金管理指标从资金到位率、预算执行率、资金使用合规性3个方面进行评价，权重分值</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（1）资金到位率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财政资金及时足额到位，</w:t>
      </w:r>
      <w:r>
        <w:rPr>
          <w:rFonts w:hint="eastAsia" w:ascii="仿宋_GB2312" w:hAnsi="仿宋_GB2312" w:cs="仿宋_GB2312"/>
          <w:color w:val="auto"/>
          <w:highlight w:val="none"/>
        </w:rPr>
        <w:t>牵头单位能够及时足额按照合同约定将专项资金拨付给联合体单位，预算资金按计划进度执行。根据评分标准，该指标不扣分，得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（2）预算执行率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预算编制较为详细，项目资金支出总体能够按照预算执行，</w:t>
      </w:r>
      <w:r>
        <w:rPr>
          <w:rFonts w:hint="eastAsia" w:ascii="仿宋_GB2312" w:hAnsi="仿宋_GB2312" w:cs="仿宋_GB2312"/>
          <w:color w:val="auto"/>
          <w:highlight w:val="none"/>
        </w:rPr>
        <w:t>预算执行率为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根据评分标准，</w:t>
      </w:r>
      <w:r>
        <w:rPr>
          <w:rFonts w:hint="eastAsia" w:ascii="仿宋_GB2312" w:hAnsi="仿宋_GB2312" w:cs="仿宋_GB2312"/>
          <w:color w:val="auto"/>
          <w:highlight w:val="none"/>
        </w:rPr>
        <w:t>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（3）资金使用合规性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2.组织实施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组织实施指标从管理制度健全性、制度执行有效性</w:t>
      </w:r>
      <w:r>
        <w:rPr>
          <w:rFonts w:hint="eastAsia" w:ascii="仿宋_GB2312" w:hAnsi="仿宋_GB2312" w:cs="仿宋_GB2312"/>
          <w:color w:val="auto"/>
          <w:highlight w:val="none"/>
          <w:lang w:eastAsia="zh-CN"/>
        </w:rPr>
        <w:t>、项目实施管理规范性</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个方面进行评价，权重分值</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（1）管理制度健全性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项目经费管理办法》等相关管理办法，对财政资金进行严格管理，做到专款专用。项目的执行符合《</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项目管理办法》等相关法律法规和管理规定。根据评分标准，该指标不扣分，得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（2）制度执行有效性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对资金使用的合法合规性进行监督，年末对资金使用效果进行评</w:t>
      </w:r>
      <w:r>
        <w:rPr>
          <w:rFonts w:hint="eastAsia" w:ascii="仿宋_GB2312" w:hAnsi="仿宋_GB2312" w:cs="仿宋_GB2312"/>
          <w:color w:val="auto"/>
          <w:highlight w:val="none"/>
        </w:rPr>
        <w:t>价。项目管理、实施人员落实到位，有效按照计划执行。项目执行情况等资料齐全，项目相关手续完备，及时进行归档。根据评分标准，该指标不扣分，得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）项目实施管理规范性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①承接主体项目管理制度健全，项目实施符合相关项目管理规定；</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②建立了实施领导机制并建立了完善的实施方案；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③建立了项目台账，台账记录全面、完整；</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④能接受和配合相关部门的监督检查及绩效评价</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52"/>
        <w:keepNext w:val="0"/>
        <w:keepLines w:val="0"/>
        <w:spacing w:line="520" w:lineRule="exact"/>
        <w:ind w:left="560"/>
        <w:jc w:val="both"/>
        <w:rPr>
          <w:rFonts w:ascii="仿宋_GB2312" w:hAnsi="仿宋_GB2312" w:cs="仿宋_GB2312"/>
          <w:color w:val="auto"/>
          <w:highlight w:val="none"/>
        </w:rPr>
      </w:pPr>
      <w:bookmarkStart w:id="135" w:name="_Toc12847"/>
      <w:bookmarkStart w:id="136" w:name="_Toc10585"/>
      <w:bookmarkStart w:id="137" w:name="_Toc10055_WPSOffice_Level2"/>
      <w:bookmarkStart w:id="138" w:name="_Toc19500"/>
      <w:bookmarkStart w:id="139" w:name="_Toc28910"/>
      <w:bookmarkStart w:id="140" w:name="_Toc127054596"/>
      <w:bookmarkStart w:id="141" w:name="_Toc13773_WPSOffice_Level2"/>
      <w:bookmarkStart w:id="142" w:name="_Toc15778_WPSOffice_Level2"/>
      <w:bookmarkStart w:id="143" w:name="_Toc3716"/>
      <w:bookmarkStart w:id="144" w:name="_Toc28623"/>
      <w:r>
        <w:rPr>
          <w:rFonts w:hint="eastAsia" w:ascii="仿宋_GB2312" w:hAnsi="仿宋_GB2312" w:cs="仿宋_GB2312"/>
          <w:color w:val="auto"/>
          <w:highlight w:val="none"/>
        </w:rPr>
        <w:t>（三）项目产出情况</w:t>
      </w:r>
      <w:bookmarkEnd w:id="135"/>
      <w:bookmarkEnd w:id="136"/>
      <w:bookmarkEnd w:id="137"/>
      <w:bookmarkEnd w:id="138"/>
      <w:bookmarkEnd w:id="139"/>
      <w:bookmarkEnd w:id="140"/>
      <w:bookmarkEnd w:id="141"/>
      <w:bookmarkEnd w:id="142"/>
      <w:bookmarkEnd w:id="143"/>
      <w:bookmarkEnd w:id="14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产出类指标包括产出数量、产出质量、产出时效</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产出成本四方</w:t>
      </w:r>
      <w:r>
        <w:rPr>
          <w:rFonts w:hint="eastAsia" w:ascii="仿宋_GB2312" w:hAnsi="仿宋_GB2312" w:cs="仿宋_GB2312"/>
          <w:color w:val="auto"/>
          <w:highlight w:val="none"/>
        </w:rPr>
        <w:t>面的内容，由</w:t>
      </w:r>
      <w:r>
        <w:rPr>
          <w:rFonts w:hint="eastAsia" w:ascii="仿宋_GB2312" w:hAnsi="仿宋_GB2312" w:cs="仿宋_GB2312"/>
          <w:color w:val="auto"/>
          <w:highlight w:val="none"/>
          <w:lang w:val="en-US" w:eastAsia="zh-CN"/>
        </w:rPr>
        <w:t>12</w:t>
      </w:r>
      <w:r>
        <w:rPr>
          <w:rFonts w:hint="eastAsia" w:ascii="仿宋_GB2312" w:hAnsi="仿宋_GB2312" w:cs="仿宋_GB2312"/>
          <w:color w:val="auto"/>
          <w:highlight w:val="none"/>
        </w:rPr>
        <w:t>个三级指标构成，权重分为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1.产出数量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小麦“一喷三防”实施面积，防病虫、防干热风、防早衰年度指标值为大于等于21.88万亩，实际完成值为21.88万亩，完成预期目标，根据评分标准，该指标不扣分。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购置“一喷三防”药剂数量年度指标值为大于等于61081.58公斤，实际完成值为61081.58公斤，完成预期目标，根据评分标准，该指标不扣分。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产出数量三级指标共计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个，指标从实际完成情况方面进行评价，权重分值9分，实际得分9分。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2.产出质量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用于一喷三防相关支出比例年度指标值为等于100%，实际完成值为100%，完成预期目标，根据评分标准，该指标不扣分。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严格执行资金预算管理年度指标值为等于100%，实际完成值为100%，完成预期目标，根据评分标准，该指标不扣分。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资金使用无重大违纪问题年度指标值为等于100%，实际完成值为100%，完成预期目标，根据评分标准，该指标不扣分。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统防统治覆盖率年度指标值为大于等于43%，实际完成值为45%，完成预期目标，根据评分标准，该指标不扣分。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偏差原因：预期值设定偏低，造成项目实际完成超出预期，指标完成率出现正偏差。</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改进措施：首先是加强年初项目预算管理。其次是根据项目执行的实际情况，重新评估未来的预期目标，确保指标实际可行。</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采购物资验收合格率年度指标值为等于100%，实际完成值为100%，完成预期目标，根据评分标准，该指标不扣分。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采购物资到位率年度指标值为等于100%，实际完成值为100%，完成预期目标，根据评分标准，该指标不扣分。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产出质量三级指标共计</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个，指标从质量达标方面进行评价，权重分值9分，实际得分9分。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3.产出时效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救灾资金下拨至县市时限年度指标值为等于0%，实际完成值为0%，完成预期目标，根据评分标准，该指标不扣分。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及时拨付救灾资金年度指标值为等于100%，实际完成值为100%，完成预期目标，根据评分标准，该指标不扣分。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采购物资验收时间年度指标值为2023年10月20日前，实际完成值为2023年9月19日，完成预期目标，根据评分标准，该指标不扣分。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产出时效三级指标共计</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个，指标从完成及时性方面进行评价，权重分值8分，实际得分8分。</w:t>
      </w:r>
    </w:p>
    <w:p>
      <w:pPr>
        <w:pStyle w:val="32"/>
        <w:spacing w:line="520" w:lineRule="exact"/>
        <w:ind w:firstLine="562"/>
        <w:rPr>
          <w:rFonts w:ascii="仿宋_GB2312" w:hAnsi="仿宋_GB2312" w:cs="仿宋_GB2312"/>
          <w:b/>
          <w:bCs/>
          <w:color w:val="auto"/>
          <w:highlight w:val="none"/>
        </w:rPr>
      </w:pPr>
      <w:bookmarkStart w:id="145" w:name="_Toc646"/>
      <w:bookmarkStart w:id="146" w:name="_Toc32262_WPSOffice_Level2"/>
      <w:bookmarkStart w:id="147" w:name="_Toc20923_WPSOffice_Level2"/>
      <w:bookmarkStart w:id="148" w:name="_Toc26374_WPSOffice_Level2"/>
      <w:bookmarkStart w:id="149" w:name="_Toc17557"/>
      <w:bookmarkStart w:id="150" w:name="_Toc127054597"/>
      <w:bookmarkStart w:id="151" w:name="_Toc25428"/>
      <w:bookmarkStart w:id="152" w:name="_Toc4222"/>
      <w:bookmarkStart w:id="153" w:name="_Toc21869"/>
      <w:bookmarkStart w:id="154" w:name="_Toc1244"/>
      <w:r>
        <w:rPr>
          <w:rFonts w:hint="eastAsia" w:ascii="仿宋_GB2312" w:hAnsi="仿宋_GB2312" w:cs="仿宋_GB2312"/>
          <w:color w:val="auto"/>
          <w:highlight w:val="none"/>
          <w:lang w:val="en-US" w:eastAsia="zh-CN"/>
        </w:rPr>
        <w:t>4</w:t>
      </w:r>
      <w:r>
        <w:rPr>
          <w:rFonts w:hint="eastAsia" w:ascii="仿宋_GB2312" w:hAnsi="仿宋_GB2312" w:cs="仿宋_GB2312"/>
          <w:b/>
          <w:bCs/>
          <w:color w:val="auto"/>
          <w:highlight w:val="none"/>
        </w:rPr>
        <w:t>.产出成本</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采购物资或服务价格年度指标值为小于等于16.65元/公斤，实际完成值为16.65元/公斤，完成预期目标，根据评分标准，该指标不扣分。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产出成本三级指标共计</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个，指标从成本节约情况进行评价，权重分值9分，实际得分9分。</w:t>
      </w:r>
    </w:p>
    <w:p>
      <w:pPr>
        <w:pStyle w:val="52"/>
        <w:keepNext w:val="0"/>
        <w:keepLines w:val="0"/>
        <w:spacing w:line="520" w:lineRule="exact"/>
        <w:ind w:left="560"/>
        <w:jc w:val="both"/>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四</w:t>
      </w:r>
      <w:r>
        <w:rPr>
          <w:rFonts w:hint="eastAsia" w:ascii="仿宋_GB2312" w:hAnsi="仿宋_GB2312" w:cs="仿宋_GB2312"/>
          <w:color w:val="auto"/>
          <w:highlight w:val="none"/>
        </w:rPr>
        <w:t>）项目效益情况</w:t>
      </w:r>
      <w:bookmarkEnd w:id="145"/>
      <w:bookmarkEnd w:id="146"/>
      <w:bookmarkEnd w:id="147"/>
      <w:bookmarkEnd w:id="148"/>
      <w:bookmarkEnd w:id="149"/>
      <w:bookmarkEnd w:id="150"/>
      <w:bookmarkEnd w:id="151"/>
      <w:bookmarkEnd w:id="152"/>
      <w:bookmarkEnd w:id="153"/>
      <w:bookmarkEnd w:id="154"/>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效益类指标包括项目效益1个方面的内容，由</w:t>
      </w:r>
      <w:r>
        <w:rPr>
          <w:rFonts w:hint="eastAsia" w:ascii="仿宋_GB2312" w:hAnsi="仿宋_GB2312" w:cs="仿宋_GB2312"/>
          <w:color w:val="auto"/>
          <w:highlight w:val="none"/>
          <w:lang w:val="en-US" w:eastAsia="zh-CN"/>
        </w:rPr>
        <w:t>5</w:t>
      </w:r>
      <w:r>
        <w:rPr>
          <w:rFonts w:hint="eastAsia" w:ascii="仿宋_GB2312" w:hAnsi="仿宋_GB2312" w:cs="仿宋_GB2312"/>
          <w:color w:val="auto"/>
          <w:highlight w:val="none"/>
        </w:rPr>
        <w:t>个</w:t>
      </w:r>
      <w:r>
        <w:rPr>
          <w:rFonts w:hint="eastAsia" w:ascii="仿宋_GB2312" w:hAnsi="仿宋_GB2312" w:cs="仿宋_GB2312"/>
          <w:color w:val="auto"/>
          <w:highlight w:val="none"/>
        </w:rPr>
        <w:t>三级指标构成，权重分为30分，实际得分</w:t>
      </w:r>
      <w:r>
        <w:rPr>
          <w:rFonts w:hint="eastAsia" w:ascii="仿宋_GB2312" w:hAnsi="仿宋_GB2312" w:cs="仿宋_GB2312"/>
          <w:color w:val="auto"/>
          <w:highlight w:val="none"/>
        </w:rPr>
        <w:t>30分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（1）实施效益指标</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实施效益指标从项目实施所产生的效益</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进行评价，权重分值</w:t>
      </w:r>
      <w:r>
        <w:rPr>
          <w:rFonts w:hint="eastAsia" w:ascii="仿宋_GB2312" w:hAnsi="仿宋_GB2312" w:cs="仿宋_GB2312"/>
          <w:color w:val="auto"/>
          <w:highlight w:val="none"/>
        </w:rPr>
        <w:t>20</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rPr>
        <w:t>20</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①项目实施的经济效益分析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②项目实施的社会效益分析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受灾地区主要农作物单产减幅年度指标值为有效控制，实际完成值为有效控制，完成预期目标，根据评分标准，该指标不扣分。实际得5分。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“一喷三防”效果年度指标值为有效提升，实际完成值为有效提升，完成预期目标，根据评分标准，该指标不扣分。实际得5分。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受灾地区生产能力恢复年度指标值为基本恢复，实际完成值为基本恢复，完成预期目标，根据评分标准，该指标不扣分。实际得5分。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稳定农民种粮积极性年度指标值为有效确保，实际完成值为有效确保，完成预期目标，根据评分标准，该指标不扣分。实际得5分。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③项目实施的生态效益分析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④项目实施的可持续影响分析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（2）满意度指标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满意度指标完成情况分析从关注社会公众或服务对象对项目实施效果的满意程度方面进行评价，权重分值10分，实际得分10分。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个问题，本项目总体满意度的计算公式=∑</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个问题的满意度/</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评分规则设定为：满意度大于等于98%得10分；不足98%的大于等于8</w:t>
      </w:r>
      <w:r>
        <w:rPr>
          <w:rFonts w:hint="eastAsia" w:ascii="仿宋_GB2312" w:hAnsi="仿宋_GB2312" w:cs="仿宋_GB2312"/>
          <w:color w:val="auto"/>
          <w:highlight w:val="none"/>
          <w:lang w:val="en-US" w:eastAsia="zh-CN"/>
        </w:rPr>
        <w:t>0</w:t>
      </w:r>
      <w:r>
        <w:rPr>
          <w:rFonts w:hint="eastAsia" w:ascii="仿宋_GB2312" w:hAnsi="仿宋_GB2312" w:cs="仿宋_GB2312"/>
          <w:color w:val="auto"/>
          <w:highlight w:val="none"/>
        </w:rPr>
        <w:t>%得8分；不足</w:t>
      </w:r>
      <w:r>
        <w:rPr>
          <w:rFonts w:hint="eastAsia" w:ascii="仿宋_GB2312" w:hAnsi="仿宋_GB2312" w:cs="仿宋_GB2312"/>
          <w:color w:val="auto"/>
          <w:highlight w:val="none"/>
          <w:lang w:val="en-US" w:eastAsia="zh-CN"/>
        </w:rPr>
        <w:t>80</w:t>
      </w:r>
      <w:r>
        <w:rPr>
          <w:rFonts w:hint="eastAsia" w:ascii="仿宋_GB2312" w:hAnsi="仿宋_GB2312" w:cs="仿宋_GB2312"/>
          <w:color w:val="auto"/>
          <w:highlight w:val="none"/>
        </w:rPr>
        <w:t>%的大于等于</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0%得5分；不足</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0%的不得分。该指标得分=满意度*该指标权重分值。</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综合来看，受访对象的满意度分析结果为</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w:t>
      </w:r>
      <w:r>
        <w:rPr>
          <w:rFonts w:hint="eastAsia" w:ascii="仿宋_GB2312" w:hAnsi="仿宋_GB2312" w:cs="仿宋_GB2312"/>
          <w:color w:val="auto"/>
          <w:highlight w:val="none"/>
        </w:rPr>
        <w:t>。</w:t>
      </w:r>
      <w:r>
        <w:rPr>
          <w:rFonts w:hint="eastAsia" w:ascii="仿宋_GB2312" w:hAnsi="仿宋_GB2312" w:cs="仿宋_GB2312"/>
          <w:color w:val="auto"/>
          <w:highlight w:val="none"/>
        </w:rPr>
        <w:t>因此按满意度权重计分：</w:t>
      </w:r>
      <w:r>
        <w:rPr>
          <w:rFonts w:hint="eastAsia" w:ascii="仿宋_GB2312" w:hAnsi="仿宋_GB2312" w:cs="仿宋_GB2312"/>
          <w:color w:val="auto"/>
          <w:highlight w:val="none"/>
        </w:rPr>
        <w:t>100%*10分=10</w:t>
      </w:r>
      <w:r>
        <w:rPr>
          <w:rFonts w:hint="eastAsia" w:ascii="仿宋_GB2312" w:hAnsi="仿宋_GB2312" w:cs="仿宋_GB2312"/>
          <w:color w:val="auto"/>
          <w:highlight w:val="none"/>
        </w:rPr>
        <w:t>分，满意度指标实际得分</w:t>
      </w:r>
      <w:r>
        <w:rPr>
          <w:rFonts w:hint="eastAsia" w:ascii="仿宋_GB2312" w:hAnsi="仿宋_GB2312" w:cs="仿宋_GB2312"/>
          <w:color w:val="auto"/>
          <w:highlight w:val="none"/>
        </w:rPr>
        <w:t>10</w:t>
      </w:r>
      <w:r>
        <w:rPr>
          <w:rFonts w:hint="eastAsia" w:ascii="仿宋_GB2312" w:hAnsi="仿宋_GB2312" w:cs="仿宋_GB2312"/>
          <w:color w:val="auto"/>
          <w:highlight w:val="none"/>
        </w:rPr>
        <w:t>分。</w:t>
      </w:r>
    </w:p>
    <w:p>
      <w:pPr>
        <w:pStyle w:val="31"/>
        <w:keepNext w:val="0"/>
        <w:keepLines w:val="0"/>
        <w:spacing w:line="520" w:lineRule="exact"/>
        <w:ind w:firstLine="640" w:firstLineChars="200"/>
        <w:jc w:val="both"/>
        <w:rPr>
          <w:color w:val="auto"/>
          <w:highlight w:val="none"/>
        </w:rPr>
      </w:pPr>
      <w:bookmarkStart w:id="155" w:name="_Toc10934"/>
      <w:bookmarkStart w:id="156" w:name="_Toc18449"/>
      <w:bookmarkStart w:id="157" w:name="_Toc10463_WPSOffice_Level1"/>
      <w:bookmarkStart w:id="158" w:name="_Toc127054598"/>
      <w:bookmarkStart w:id="159" w:name="_Toc15802"/>
      <w:bookmarkStart w:id="160" w:name="_Toc10930_WPSOffice_Level1"/>
      <w:bookmarkStart w:id="161" w:name="_Toc2006_WPSOffice_Level1"/>
      <w:bookmarkStart w:id="162" w:name="_Toc24579"/>
      <w:bookmarkStart w:id="163" w:name="_Toc24849"/>
      <w:bookmarkStart w:id="164" w:name="_Toc17211"/>
      <w:r>
        <w:rPr>
          <w:rFonts w:hint="eastAsia"/>
          <w:color w:val="auto"/>
          <w:highlight w:val="none"/>
        </w:rPr>
        <w:t>五、预算执行进度与绩效指标偏差</w:t>
      </w:r>
      <w:bookmarkEnd w:id="155"/>
      <w:bookmarkEnd w:id="156"/>
      <w:bookmarkEnd w:id="157"/>
      <w:bookmarkEnd w:id="158"/>
      <w:bookmarkEnd w:id="159"/>
    </w:p>
    <w:p>
      <w:pPr>
        <w:pStyle w:val="32"/>
        <w:rPr>
          <w:rFonts w:hint="eastAsia" w:ascii="仿宋_GB2312" w:hAnsi="仿宋_GB2312" w:cs="仿宋_GB2312"/>
          <w:color w:val="auto"/>
          <w:sz w:val="28"/>
          <w:szCs w:val="28"/>
          <w:highlight w:val="none"/>
          <w:lang w:val="en-US" w:eastAsia="zh-CN"/>
        </w:rPr>
      </w:pPr>
      <w:bookmarkStart w:id="165" w:name="_Toc28884"/>
      <w:bookmarkStart w:id="166" w:name="_Toc127054599"/>
      <w:bookmarkStart w:id="167" w:name="_Toc19104_WPSOffice_Level1"/>
      <w:bookmarkStart w:id="168" w:name="_Toc12278"/>
      <w:bookmarkStart w:id="169" w:name="_Toc24452"/>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2023年岳普湖县小麦一喷三防补助项目</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预算执行率与绩效指标完成率存在偏差，项目预算执行率为100%，项目绩效指标总体完成率100.4%，偏差率为0.4%。</w:t>
      </w:r>
    </w:p>
    <w:p>
      <w:pPr>
        <w:pStyle w:val="3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1.质量指标下“统防统治覆盖率”指标实际完成值优于预期值，指标实际完成较预期出现正偏差。</w:t>
      </w:r>
    </w:p>
    <w:p>
      <w:pPr>
        <w:pStyle w:val="32"/>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偏差原因：预期值设定偏低，造成项目实际完成超出预期。政府加大了对统防统治工作的扶持力度，提供专项资金补贴从而激励了农民和农业合作组织积极参与统防统治工作。</w:t>
      </w:r>
    </w:p>
    <w:p>
      <w:pPr>
        <w:pStyle w:val="32"/>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改进措施：首先是加强年初项目预算管理。其次是根据项目执行的实际情况，重新评估未来的预期目标，确保指标实际可行。建立健全统防统治工作的监管和评估机制，定期对统防统治工作进行检查和评估，及时发现问题并提出改进措施，确保统防统治工作的质量和效果。</w:t>
      </w:r>
    </w:p>
    <w:p>
      <w:pPr>
        <w:pStyle w:val="3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2.满意度指标实际完成值优于预期值，指标实际完成较预期出现正偏差。</w:t>
      </w:r>
    </w:p>
    <w:p>
      <w:pPr>
        <w:pStyle w:val="32"/>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偏差原因：首先，项目初期，对受益对象需求的理解存在偏差，导致预期值设置偏低。其次，项目在实际执行过程中有效地满足了项目预期目标，造成实际完成情况超出受益对象的期望。</w:t>
      </w:r>
    </w:p>
    <w:p>
      <w:pPr>
        <w:pStyle w:val="32"/>
        <w:rPr>
          <w:rFonts w:hint="eastAsia"/>
          <w:color w:val="auto"/>
          <w:highlight w:val="none"/>
          <w:lang w:val="en-US" w:eastAsia="zh-CN"/>
        </w:rPr>
      </w:pPr>
      <w:r>
        <w:rPr>
          <w:rFonts w:hint="eastAsia" w:ascii="仿宋_GB2312" w:hAnsi="仿宋_GB2312" w:cs="仿宋_GB2312"/>
          <w:color w:val="auto"/>
          <w:sz w:val="28"/>
          <w:szCs w:val="28"/>
          <w:highlight w:val="none"/>
          <w:lang w:val="en-US" w:eastAsia="zh-CN"/>
        </w:rPr>
        <w:t>改进措施：对偏差进行深入分析，充分了解受益对象的需求变化，明确造成实际完成值高于预期的具体原因，以便在未来的项目中更好地把握和预测。</w:t>
      </w:r>
    </w:p>
    <w:p>
      <w:pPr>
        <w:pStyle w:val="31"/>
        <w:keepNext w:val="0"/>
        <w:keepLines w:val="0"/>
        <w:spacing w:line="520" w:lineRule="exact"/>
        <w:ind w:firstLine="640" w:firstLineChars="200"/>
        <w:jc w:val="both"/>
        <w:rPr>
          <w:rFonts w:hint="default" w:eastAsia="黑体"/>
          <w:color w:val="auto"/>
          <w:highlight w:val="none"/>
          <w:lang w:val="en-US" w:eastAsia="zh-CN"/>
        </w:rPr>
      </w:pPr>
      <w:r>
        <w:rPr>
          <w:rFonts w:hint="eastAsia"/>
          <w:color w:val="auto"/>
          <w:highlight w:val="none"/>
        </w:rPr>
        <w:t>六、主要经验及做法、存在的问题及原因分析</w:t>
      </w:r>
      <w:bookmarkEnd w:id="160"/>
      <w:bookmarkEnd w:id="161"/>
      <w:bookmarkEnd w:id="162"/>
      <w:bookmarkEnd w:id="163"/>
      <w:bookmarkEnd w:id="164"/>
      <w:bookmarkEnd w:id="165"/>
      <w:bookmarkEnd w:id="166"/>
      <w:bookmarkEnd w:id="167"/>
      <w:bookmarkEnd w:id="168"/>
      <w:bookmarkEnd w:id="169"/>
      <w:r>
        <w:rPr>
          <w:rFonts w:hint="eastAsia"/>
          <w:color w:val="auto"/>
          <w:highlight w:val="none"/>
          <w:lang w:eastAsia="zh-CN"/>
        </w:rPr>
        <w:t>、</w:t>
      </w:r>
      <w:r>
        <w:rPr>
          <w:rFonts w:hint="eastAsia"/>
          <w:color w:val="auto"/>
          <w:highlight w:val="none"/>
          <w:lang w:val="en-US" w:eastAsia="zh-CN"/>
        </w:rPr>
        <w:t>下一步改进措施</w:t>
      </w:r>
    </w:p>
    <w:p>
      <w:pPr>
        <w:pStyle w:val="52"/>
        <w:keepNext w:val="0"/>
        <w:keepLines w:val="0"/>
        <w:spacing w:line="520" w:lineRule="exact"/>
        <w:ind w:left="560"/>
        <w:jc w:val="both"/>
        <w:rPr>
          <w:rFonts w:hint="default" w:ascii="仿宋_GB2312" w:hAnsi="仿宋_GB2312" w:eastAsia="仿宋_GB2312" w:cs="仿宋_GB2312"/>
          <w:color w:val="auto"/>
          <w:highlight w:val="none"/>
          <w:lang w:val="en-US" w:eastAsia="zh-CN"/>
        </w:rPr>
      </w:pPr>
      <w:bookmarkStart w:id="170" w:name="_Toc28921"/>
      <w:bookmarkStart w:id="171" w:name="_Toc23806_WPSOffice_Level2"/>
      <w:bookmarkStart w:id="172" w:name="_Toc6806_WPSOffice_Level2"/>
      <w:bookmarkStart w:id="173" w:name="_Toc18033"/>
      <w:bookmarkStart w:id="174" w:name="_Toc12587"/>
      <w:bookmarkStart w:id="175" w:name="_Toc5442_WPSOffice_Level2"/>
      <w:bookmarkStart w:id="176" w:name="_Toc14218"/>
      <w:bookmarkStart w:id="177" w:name="_Toc127054600"/>
      <w:bookmarkStart w:id="178" w:name="_Toc16717"/>
      <w:bookmarkStart w:id="179" w:name="_Toc19554"/>
      <w:r>
        <w:rPr>
          <w:rFonts w:hint="eastAsia" w:ascii="仿宋_GB2312" w:hAnsi="仿宋_GB2312" w:cs="仿宋_GB2312"/>
          <w:color w:val="auto"/>
          <w:highlight w:val="none"/>
        </w:rPr>
        <w:t>（一）主要经验及做法</w:t>
      </w:r>
      <w:bookmarkEnd w:id="170"/>
      <w:bookmarkEnd w:id="171"/>
      <w:bookmarkEnd w:id="172"/>
      <w:bookmarkEnd w:id="173"/>
      <w:bookmarkEnd w:id="174"/>
      <w:bookmarkEnd w:id="175"/>
      <w:bookmarkEnd w:id="176"/>
      <w:bookmarkEnd w:id="177"/>
      <w:bookmarkEnd w:id="178"/>
      <w:bookmarkEnd w:id="179"/>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1.强化责任落实。将小麦病虫害防控和“一喷三防”作为当前农业农村工作的重中之重，依法依规压实责任，落实落细工作措施。</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强化监测预警。加强小麦条锈病、赤霉病、蚜虫等一类病虫害和新发突发病虫害监测预警，科学指导防控。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强化统防统治。大力推行专业化统防统治，实现统防统治与绿色防控有机融合。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val="en-US" w:eastAsia="zh-CN"/>
        </w:rPr>
        <w:t>4.</w:t>
      </w:r>
      <w:r>
        <w:rPr>
          <w:rFonts w:hint="eastAsia" w:ascii="仿宋_GB2312" w:hAnsi="仿宋_GB2312" w:cs="仿宋_GB2312"/>
          <w:color w:val="auto"/>
          <w:highlight w:val="none"/>
        </w:rPr>
        <w:t>强化督促检查。加强科学用药指导，督促补助资金与防治任务落实落地。</w:t>
      </w:r>
    </w:p>
    <w:p>
      <w:pPr>
        <w:pStyle w:val="52"/>
        <w:keepNext w:val="0"/>
        <w:keepLines w:val="0"/>
        <w:spacing w:line="520" w:lineRule="exact"/>
        <w:ind w:left="560"/>
        <w:jc w:val="both"/>
        <w:rPr>
          <w:rFonts w:ascii="仿宋_GB2312" w:hAnsi="仿宋_GB2312" w:cs="仿宋_GB2312"/>
          <w:color w:val="auto"/>
          <w:sz w:val="18"/>
          <w:szCs w:val="18"/>
          <w:highlight w:val="none"/>
        </w:rPr>
      </w:pPr>
      <w:bookmarkStart w:id="180" w:name="_Toc22757"/>
      <w:bookmarkStart w:id="181" w:name="_Toc14455"/>
      <w:bookmarkStart w:id="182" w:name="_Toc2377_WPSOffice_Level2"/>
      <w:bookmarkStart w:id="183" w:name="_Toc29645_WPSOffice_Level2"/>
      <w:bookmarkStart w:id="184" w:name="_Toc22477"/>
      <w:bookmarkStart w:id="185" w:name="_Toc14241"/>
      <w:bookmarkStart w:id="186" w:name="_Toc127054601"/>
      <w:bookmarkStart w:id="187" w:name="_Toc27136_WPSOffice_Level2"/>
      <w:bookmarkStart w:id="188" w:name="_Toc30239"/>
      <w:bookmarkStart w:id="189" w:name="_Toc16479"/>
      <w:r>
        <w:rPr>
          <w:rFonts w:hint="eastAsia" w:ascii="仿宋_GB2312" w:hAnsi="仿宋_GB2312" w:cs="仿宋_GB2312"/>
          <w:color w:val="auto"/>
          <w:highlight w:val="none"/>
        </w:rPr>
        <w:t>（二）存在</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问题及原因分析</w:t>
      </w:r>
      <w:bookmarkEnd w:id="180"/>
      <w:bookmarkEnd w:id="181"/>
      <w:bookmarkEnd w:id="182"/>
      <w:bookmarkEnd w:id="183"/>
      <w:bookmarkEnd w:id="184"/>
      <w:bookmarkEnd w:id="185"/>
      <w:bookmarkEnd w:id="186"/>
      <w:bookmarkEnd w:id="187"/>
      <w:bookmarkEnd w:id="188"/>
      <w:bookmarkEnd w:id="189"/>
    </w:p>
    <w:p>
      <w:pPr>
        <w:pStyle w:val="32"/>
        <w:spacing w:line="520" w:lineRule="exact"/>
        <w:ind w:firstLine="560"/>
        <w:rPr>
          <w:rFonts w:hint="eastAsia" w:ascii="仿宋_GB2312" w:hAnsi="仿宋_GB2312" w:cs="仿宋_GB2312"/>
          <w:color w:val="auto"/>
          <w:highlight w:val="none"/>
          <w:lang w:val="en-US" w:eastAsia="zh-CN"/>
        </w:rPr>
      </w:pPr>
      <w:bookmarkStart w:id="190" w:name="_Toc16264"/>
      <w:bookmarkStart w:id="191" w:name="_Toc127054602"/>
      <w:bookmarkStart w:id="192" w:name="_Toc20951"/>
      <w:bookmarkStart w:id="193" w:name="_Toc13442"/>
      <w:bookmarkStart w:id="194" w:name="_Toc12413_WPSOffice_Level1"/>
      <w:bookmarkStart w:id="195" w:name="_Toc26233_WPSOffice_Level1"/>
      <w:bookmarkStart w:id="196" w:name="_Toc8075"/>
      <w:bookmarkStart w:id="197" w:name="_Toc15650_WPSOffice_Level1"/>
      <w:bookmarkStart w:id="198" w:name="_Toc25046"/>
      <w:bookmarkStart w:id="199" w:name="_Toc31693"/>
      <w:r>
        <w:rPr>
          <w:rFonts w:hint="eastAsia" w:ascii="仿宋_GB2312" w:hAnsi="仿宋_GB2312" w:cs="仿宋_GB2312"/>
          <w:color w:val="auto"/>
          <w:highlight w:val="none"/>
          <w:lang w:val="en-US" w:eastAsia="zh-CN"/>
        </w:rPr>
        <w:t>1.技术推广与应用不足</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尽管“一喷三防”技术已经得到一定程度的推广，但仍有部分农民对其了解不足，导致技术应用的广度和深度不够。</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2.补助政策执行偏差</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在补助政策的执行过程中，可能存在信息不对称、资金分配不均等问题，影响了补助效果的充分发挥。</w:t>
      </w:r>
    </w:p>
    <w:p>
      <w:pPr>
        <w:pStyle w:val="52"/>
        <w:keepNext w:val="0"/>
        <w:keepLines w:val="0"/>
        <w:spacing w:line="520" w:lineRule="exact"/>
        <w:ind w:left="560"/>
        <w:jc w:val="both"/>
        <w:rPr>
          <w:rFonts w:hint="eastAsia" w:ascii="仿宋_GB2312" w:hAnsi="仿宋_GB2312" w:cs="仿宋_GB2312"/>
          <w:color w:val="auto"/>
          <w:sz w:val="21"/>
          <w:szCs w:val="21"/>
          <w:highlight w:val="none"/>
          <w:lang w:val="en-US" w:eastAsia="zh-CN"/>
        </w:rPr>
      </w:pPr>
      <w:r>
        <w:rPr>
          <w:rFonts w:hint="eastAsia" w:ascii="仿宋_GB2312" w:hAnsi="仿宋_GB2312" w:cs="仿宋_GB2312"/>
          <w:color w:val="auto"/>
          <w:highlight w:val="none"/>
          <w:lang w:val="en-US" w:eastAsia="zh-CN"/>
        </w:rPr>
        <w:t>（三）下一步改进措施</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highlight w:val="none"/>
        </w:rPr>
        <w:t>1.加强技术推广与培训力度。通过组织培训班、现场指导等方式，提高农民对“一喷三防”技术的认识和应用能力。同时，利用现代信息技术手段，如网络平台、微信公众号等，拓宽技术推广渠道。</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kern w:val="0"/>
          <w:sz w:val="28"/>
          <w:szCs w:val="28"/>
          <w:highlight w:val="none"/>
          <w:lang w:val="en-US" w:eastAsia="zh-CN" w:bidi="ar-SA"/>
        </w:rPr>
        <w:t>2.优化补助政策执行机制</w:t>
      </w:r>
      <w:r>
        <w:rPr>
          <w:rFonts w:hint="eastAsia" w:ascii="仿宋_GB2312" w:hAnsi="仿宋_GB2312" w:cs="仿宋_GB2312"/>
          <w:color w:val="auto"/>
          <w:highlight w:val="none"/>
        </w:rPr>
        <w:t>。</w:t>
      </w:r>
      <w:r>
        <w:rPr>
          <w:rFonts w:hint="eastAsia" w:ascii="仿宋_GB2312" w:hAnsi="仿宋_GB2312" w:cs="仿宋_GB2312"/>
          <w:color w:val="auto"/>
          <w:kern w:val="0"/>
          <w:sz w:val="28"/>
          <w:szCs w:val="28"/>
          <w:highlight w:val="none"/>
          <w:lang w:val="en-US" w:eastAsia="zh-CN" w:bidi="ar-SA"/>
        </w:rPr>
        <w:t>建立公开、透明的补助政策执行机制，确保补助资金能够精准、高效地发放到农民手中。同时，加强政策宣传，提高农民对政策的知晓率和满意度。</w:t>
      </w:r>
    </w:p>
    <w:p>
      <w:pPr>
        <w:pStyle w:val="31"/>
        <w:keepNext w:val="0"/>
        <w:keepLines w:val="0"/>
        <w:spacing w:line="520" w:lineRule="exact"/>
        <w:ind w:firstLine="640" w:firstLineChars="200"/>
        <w:jc w:val="both"/>
        <w:rPr>
          <w:color w:val="auto"/>
          <w:sz w:val="21"/>
          <w:szCs w:val="21"/>
          <w:highlight w:val="none"/>
        </w:rPr>
      </w:pPr>
      <w:r>
        <w:rPr>
          <w:rFonts w:hint="eastAsia"/>
          <w:color w:val="auto"/>
          <w:highlight w:val="none"/>
        </w:rPr>
        <w:t>七、有关建议</w:t>
      </w:r>
      <w:bookmarkEnd w:id="190"/>
      <w:bookmarkEnd w:id="191"/>
      <w:bookmarkEnd w:id="192"/>
      <w:bookmarkEnd w:id="193"/>
      <w:bookmarkEnd w:id="194"/>
      <w:bookmarkEnd w:id="195"/>
      <w:bookmarkEnd w:id="196"/>
      <w:bookmarkEnd w:id="197"/>
      <w:bookmarkEnd w:id="198"/>
      <w:bookmarkEnd w:id="199"/>
    </w:p>
    <w:p>
      <w:pPr>
        <w:pStyle w:val="32"/>
        <w:spacing w:line="520" w:lineRule="exact"/>
        <w:ind w:firstLine="560"/>
        <w:rPr>
          <w:rFonts w:hint="default" w:ascii="仿宋_GB2312" w:hAnsi="仿宋_GB2312" w:cs="仿宋_GB2312"/>
          <w:color w:val="auto"/>
          <w:highlight w:val="none"/>
          <w:lang w:val="en-US" w:eastAsia="zh-CN"/>
        </w:rPr>
      </w:pPr>
      <w:bookmarkStart w:id="200" w:name="_Toc29208"/>
      <w:bookmarkStart w:id="201" w:name="_Toc17796"/>
      <w:bookmarkStart w:id="202" w:name="_Toc20924_WPSOffice_Level1"/>
      <w:bookmarkStart w:id="203" w:name="_Toc23889"/>
      <w:bookmarkStart w:id="204" w:name="_Toc127054603"/>
      <w:bookmarkStart w:id="205" w:name="_Toc28208_WPSOffice_Level1"/>
      <w:bookmarkStart w:id="206" w:name="_Toc6873"/>
      <w:bookmarkStart w:id="207" w:name="_Toc30131"/>
      <w:bookmarkStart w:id="208" w:name="_Toc7041"/>
      <w:bookmarkStart w:id="209" w:name="_Toc5941_WPSOffice_Level1"/>
      <w:r>
        <w:rPr>
          <w:rFonts w:hint="eastAsia" w:ascii="仿宋_GB2312" w:hAnsi="仿宋_GB2312" w:cs="仿宋_GB2312"/>
          <w:color w:val="auto"/>
          <w:highlight w:val="none"/>
        </w:rPr>
        <w:t>1.</w:t>
      </w:r>
      <w:r>
        <w:rPr>
          <w:rFonts w:hint="eastAsia" w:ascii="仿宋_GB2312" w:hAnsi="仿宋_GB2312" w:cs="仿宋_GB2312"/>
          <w:color w:val="auto"/>
          <w:highlight w:val="none"/>
          <w:lang w:val="en-US" w:eastAsia="zh-CN"/>
        </w:rPr>
        <w:t>建议抓住关键时期，落实关键措施。赤霉病坚持常发区主动出击、偶发区预防为主，见花打药，条锈病做到“发现一点、防治一片”，蚜虫坚持达标防治。特事特办、急事急办，抓好“一喷三防”补助政策和技术措施落实，确保农时到、作业也到，喷防作业全覆盖。</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2.建议提供防控意识</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充分认识抓好穗期病虫害防控和“一喷三防”对提单产、促丰收、保质量的作用和意义，立足“防大病、治大虫、抗大灾”，迅速行动，对标对表防控目标和任务，查找短板弱项，采取超常规措施，抓住穗期病虫害防控和“一喷三防”工作，全力夯实小麦丰收基础。</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3.建议拓展社会化服务领域</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鼓励和支持农业社会化服务组织参与“一喷三防”工作，为农民提供统一防治、技术指导等服务。通过社会化服务，降低农民的劳动强度和技术门槛，提高防治效率和质量。</w:t>
      </w:r>
    </w:p>
    <w:p>
      <w:pPr>
        <w:pStyle w:val="31"/>
        <w:keepNext w:val="0"/>
        <w:keepLines w:val="0"/>
        <w:spacing w:line="520" w:lineRule="exact"/>
        <w:ind w:firstLine="640" w:firstLineChars="200"/>
        <w:jc w:val="both"/>
        <w:rPr>
          <w:color w:val="auto"/>
          <w:highlight w:val="none"/>
        </w:rPr>
      </w:pPr>
      <w:r>
        <w:rPr>
          <w:rFonts w:hint="eastAsia"/>
          <w:color w:val="auto"/>
          <w:highlight w:val="none"/>
        </w:rPr>
        <w:t>八、其他需要说明的问题</w:t>
      </w:r>
      <w:bookmarkEnd w:id="200"/>
      <w:bookmarkEnd w:id="201"/>
      <w:bookmarkEnd w:id="202"/>
      <w:bookmarkEnd w:id="203"/>
      <w:bookmarkEnd w:id="204"/>
      <w:bookmarkEnd w:id="205"/>
      <w:bookmarkEnd w:id="206"/>
      <w:bookmarkEnd w:id="207"/>
      <w:bookmarkEnd w:id="208"/>
      <w:bookmarkEnd w:id="209"/>
    </w:p>
    <w:p>
      <w:pPr>
        <w:pStyle w:val="32"/>
        <w:spacing w:line="520" w:lineRule="exact"/>
        <w:ind w:firstLine="560"/>
        <w:rPr>
          <w:color w:val="auto"/>
          <w:highlight w:val="none"/>
        </w:rPr>
      </w:pPr>
      <w:r>
        <w:rPr>
          <w:rFonts w:hint="eastAsia"/>
          <w:color w:val="auto"/>
          <w:highlight w:val="none"/>
        </w:rPr>
        <w:t>我单位对上述项目支出绩效评价报告内反映内容的真实性、完整性负责，接受上级部门及社会公众监督。</w:t>
      </w:r>
    </w:p>
    <w:p>
      <w:pPr>
        <w:pStyle w:val="32"/>
        <w:ind w:firstLine="560"/>
        <w:rPr>
          <w:color w:val="auto"/>
          <w:highlight w:val="none"/>
        </w:rPr>
      </w:pPr>
      <w:bookmarkStart w:id="210" w:name="_Toc25689_WPSOffice_Level1"/>
      <w:bookmarkStart w:id="211" w:name="_Toc30582_WPSOffice_Level1"/>
    </w:p>
    <w:p>
      <w:pPr>
        <w:pStyle w:val="32"/>
        <w:ind w:firstLine="560"/>
        <w:rPr>
          <w:color w:val="auto"/>
          <w:highlight w:val="none"/>
        </w:rPr>
      </w:pPr>
      <w:bookmarkStart w:id="212" w:name="_Toc13636_WPSOffice_Level1"/>
      <w:r>
        <w:rPr>
          <w:rFonts w:hint="eastAsia"/>
          <w:color w:val="auto"/>
          <w:highlight w:val="none"/>
        </w:rPr>
        <w:t>附件1：综合评分表</w:t>
      </w:r>
      <w:bookmarkEnd w:id="210"/>
      <w:bookmarkEnd w:id="211"/>
      <w:bookmarkEnd w:id="212"/>
    </w:p>
    <w:p>
      <w:pPr>
        <w:pStyle w:val="32"/>
        <w:ind w:firstLine="560"/>
        <w:rPr>
          <w:color w:val="auto"/>
          <w:highlight w:val="none"/>
        </w:rPr>
        <w:sectPr>
          <w:footerReference r:id="rId5" w:type="default"/>
          <w:pgSz w:w="11906" w:h="16838"/>
          <w:pgMar w:top="1440" w:right="1800" w:bottom="1440" w:left="1800" w:header="851" w:footer="992" w:gutter="0"/>
          <w:pgNumType w:fmt="numberInDash" w:start="1"/>
          <w:cols w:space="720" w:num="1"/>
          <w:docGrid w:type="lines" w:linePitch="312" w:charSpace="0"/>
        </w:sectPr>
      </w:pPr>
    </w:p>
    <w:p>
      <w:pPr>
        <w:pStyle w:val="32"/>
        <w:ind w:firstLine="0" w:firstLineChars="0"/>
        <w:rPr>
          <w:rFonts w:ascii="仿宋_GB2312" w:hAnsi="仿宋_GB2312" w:cs="仿宋_GB2312"/>
          <w:b/>
          <w:bCs/>
          <w:color w:val="auto"/>
          <w:highlight w:val="none"/>
        </w:rPr>
      </w:pPr>
      <w:bookmarkStart w:id="213" w:name="_Toc12641_WPSOffice_Level1"/>
      <w:bookmarkStart w:id="214" w:name="_Toc25446_WPSOffice_Level1"/>
      <w:bookmarkStart w:id="215" w:name="_Toc13717_WPSOffice_Level1"/>
      <w:r>
        <w:rPr>
          <w:rFonts w:hint="eastAsia" w:ascii="仿宋_GB2312" w:hAnsi="仿宋_GB2312" w:cs="仿宋_GB2312"/>
          <w:b/>
          <w:bCs/>
          <w:color w:val="auto"/>
          <w:highlight w:val="none"/>
        </w:rPr>
        <w:t>附件1：综合评分表</w:t>
      </w:r>
      <w:bookmarkEnd w:id="213"/>
      <w:bookmarkEnd w:id="214"/>
      <w:bookmarkEnd w:id="215"/>
    </w:p>
    <w:p>
      <w:pPr>
        <w:pStyle w:val="32"/>
        <w:ind w:firstLine="562"/>
        <w:jc w:val="center"/>
        <w:rPr>
          <w:b/>
          <w:bCs/>
          <w:color w:val="auto"/>
          <w:highlight w:val="none"/>
        </w:rPr>
      </w:pPr>
      <w:bookmarkStart w:id="216" w:name="_Toc26499_WPSOffice_Level2"/>
      <w:bookmarkStart w:id="217" w:name="_Toc12492_WPSOffice_Level2"/>
      <w:bookmarkStart w:id="218" w:name="_Toc30064_WPSOffice_Level1"/>
      <w:r>
        <w:rPr>
          <w:rFonts w:hint="eastAsia"/>
          <w:b/>
          <w:bCs/>
          <w:color w:val="auto"/>
          <w:highlight w:val="none"/>
          <w:lang w:eastAsia="zh-CN"/>
        </w:rPr>
        <w:t>2023年岳普湖县小麦一喷三防补助项目</w:t>
      </w:r>
      <w:r>
        <w:rPr>
          <w:rFonts w:hint="eastAsia"/>
          <w:b/>
          <w:bCs/>
          <w:color w:val="auto"/>
          <w:highlight w:val="none"/>
        </w:rPr>
        <w:t>绩效评价指标体系及综合评分表</w:t>
      </w:r>
      <w:bookmarkEnd w:id="216"/>
      <w:bookmarkEnd w:id="217"/>
      <w:bookmarkEnd w:id="218"/>
    </w:p>
    <w:tbl>
      <w:tblPr>
        <w:tblStyle w:val="26"/>
        <w:tblW w:w="14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321"/>
        <w:gridCol w:w="1005"/>
        <w:gridCol w:w="2315"/>
        <w:gridCol w:w="751"/>
        <w:gridCol w:w="6140"/>
        <w:gridCol w:w="717"/>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blHeader/>
        </w:trPr>
        <w:tc>
          <w:tcPr>
            <w:tcW w:w="953" w:type="dxa"/>
            <w:shd w:val="clear" w:color="auto" w:fill="FFFFFF"/>
            <w:vAlign w:val="center"/>
          </w:tcPr>
          <w:p>
            <w:pPr>
              <w:ind w:firstLine="0" w:firstLineChars="0"/>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一级指标</w:t>
            </w:r>
          </w:p>
        </w:tc>
        <w:tc>
          <w:tcPr>
            <w:tcW w:w="132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二级指标</w:t>
            </w:r>
          </w:p>
        </w:tc>
        <w:tc>
          <w:tcPr>
            <w:tcW w:w="100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三级指标</w:t>
            </w:r>
          </w:p>
        </w:tc>
        <w:tc>
          <w:tcPr>
            <w:tcW w:w="231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指标解释</w:t>
            </w:r>
          </w:p>
        </w:tc>
        <w:tc>
          <w:tcPr>
            <w:tcW w:w="75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分值</w:t>
            </w:r>
          </w:p>
        </w:tc>
        <w:tc>
          <w:tcPr>
            <w:tcW w:w="6140" w:type="dxa"/>
            <w:shd w:val="clear" w:color="auto" w:fill="FFFFFF"/>
            <w:vAlign w:val="center"/>
          </w:tcPr>
          <w:p>
            <w:pPr>
              <w:ind w:firstLine="361"/>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指标说明</w:t>
            </w:r>
          </w:p>
        </w:tc>
        <w:tc>
          <w:tcPr>
            <w:tcW w:w="717" w:type="dxa"/>
            <w:noWrap/>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得分</w:t>
            </w:r>
          </w:p>
        </w:tc>
        <w:tc>
          <w:tcPr>
            <w:tcW w:w="963" w:type="dxa"/>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决策</w:t>
            </w:r>
          </w:p>
          <w:p>
            <w:pPr>
              <w:ind w:firstLine="0" w:firstLineChars="0"/>
              <w:jc w:val="center"/>
              <w:textAlignment w:val="center"/>
              <w:rPr>
                <w:rFonts w:hint="default" w:eastAsia="仿宋_GB2312"/>
                <w:color w:val="auto"/>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20分）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决策</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20分）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项目立项</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立项依据充分性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项目立项是否符合法律法规、相关政策、发展规划以及部门职责，用以反映和考核项目立项依据情况。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①项目立项符合国家法律法规、国民经济发展规划和相关政策（1分）；否则，不得分。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②项目立项符合行业发展规划和政策要求（1分）否则，不得分；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③项目立项与部门职责范围相符，属于部门履职所需（1分）否则，不得分；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④项目属于公共财政支持范围，符合中央、地方事权支出责任划分原则（1分）否则，不得分；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⑤项目与相关部门同类项目或部门内部相关项目重复（1分）否则，不得分。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立项程序规范性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项目申请、设立过程是否符合相关要求，用以反映和考核项目立项的规范情况。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①项目按照规定的程序申请设立（1分）否则，不得分；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②审批文件、材料符合相关要求（1分）否则，不得分；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③事前已经过必要的可行性研究、专家论证、风险评估、绩效评估、集体决策（1分）否则，不得分。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绩效目标</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5分）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绩效目标合理性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项目所设定的绩效目标是否依据充分，是否符合客观实际，用以反映和考核项目绩效目标与项目实施的相符情况。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①项目有绩效目标，（1分），否则，不得分；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②项目绩效目标与实际工作内容具有相关性，预期产出效益和效果符合正常的业绩水平，否则，不得分（1分）；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③与预算确定的项目投资额或资金量相匹配，否则，不得分（1分）。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绩效指标明确性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依据绩效目标设定的绩效指标是否清晰、细化、可衡量等，用以反映和考核项目绩效目标的明细化情况。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①项目绩效目标细化分解为具体的绩效指标，（1分）否则，不得分；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②通过清晰、可衡量的指标值予以体现，与项目目标任务数或计划数相对应，否则，不得分（1分）。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资金投入</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预算编制科学性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项目预算编制是否经过科学论证、有明确标准，资金额度与年度目标是否相适应，用以反映和考核项目预算编制的科学性、合理性情况。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①预算编制经过科学论证（1分）否则，不得分；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②预算内容与项目内容匹配（1.5分）否则，不得分；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③预算额度测算依据充分，按照标准编制（1.5分）否则，不得分；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④预算确定的项目投资额或资金量与工作任务相匹配（1分）否则，不得分。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资金分配合理性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项目预算资金分配是否有测算依据，与补助单位或地方实际是否相适应，用以反映和考核项目预算资金分配的科学性、合理性情况。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①预算资金分配依据充分（1分）否则，不得分；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②资金分配额度合理，与项目单位或地方实际相适应（1分）否则，不得分。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过程</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15分）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过程</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15分）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资金管理</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资金到位率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实际到位资金与预算资金的比率，用以反映和考核资金落实情况对项目实施的总体保障程度。</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①资金到位率为100%的，得满分。（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 xml:space="preserve">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②资金未全额到位的，按照满分乘以到位率计算得分。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（资金到位率=（实际到位资金/预算资金）×100% ）。</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预算执行率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项目预算资金是否按照计划执行，用以反映或考核项目预算执行情况</w:t>
            </w:r>
            <w:r>
              <w:rPr>
                <w:rFonts w:hint="eastAsia" w:ascii="仿宋_GB2312" w:hAnsi="仿宋_GB2312" w:cs="仿宋_GB2312"/>
                <w:color w:val="auto"/>
                <w:kern w:val="0"/>
                <w:sz w:val="18"/>
                <w:szCs w:val="18"/>
                <w:highlight w:val="none"/>
                <w:lang w:bidi="ar"/>
              </w:rPr>
              <w:t>。</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①预算执行率为100%的，得满分（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eastAsia="zh-CN" w:bidi="ar"/>
              </w:rPr>
              <w:t>②资金未执行完毕的，按照满分乘以执行率计算得分。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（预算执行率=（实际支出资金/实际到位资金）×100%）。</w:t>
            </w:r>
          </w:p>
        </w:tc>
        <w:tc>
          <w:tcPr>
            <w:tcW w:w="717"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资金使用合规性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项目资金使用是否符合相关的财务管理制度规定，用以反映和考核项目资金的规范运行情况。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①符合国家财经法规和财务管理制度以及有关专项资金管理办法的规定（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②资金的拨付有完整的审批程序和手续（</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③符合项目预算批复或合同规定的用途（</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④不存在截留、挤占、挪用、虚列支出等情况（</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组织实施</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管理制度健全性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项目实施单位的财务和业务管理制度是否健全，用以反映和考核财务和业务管理制度对项目顺利实施的保障情况。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①已制定或具有相应的财务和业务管理制度（</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②财务和业务管理制度合法、合规、完整（</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bidi="ar"/>
              </w:rPr>
              <w:t>制度执行有效性</w:t>
            </w:r>
          </w:p>
        </w:tc>
        <w:tc>
          <w:tcPr>
            <w:tcW w:w="231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项目实施是否符合相关管理规定，用以反映和考核相关管理制度的有效执行情况。</w:t>
            </w:r>
          </w:p>
        </w:tc>
        <w:tc>
          <w:tcPr>
            <w:tcW w:w="751"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①遵守相关法律法规和相关管理规定（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②项目调整及支出调整手续完备（</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③项目合同书、验收报告、技术鉴定等资料齐全并及时归档（</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④项目实施的人员条件、场地设备、信息支撑等落实到位（</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firstLineChars="20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9"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项目实施管理规范性</w:t>
            </w:r>
          </w:p>
        </w:tc>
        <w:tc>
          <w:tcPr>
            <w:tcW w:w="2315" w:type="dxa"/>
            <w:shd w:val="clear" w:color="auto" w:fill="FFFFFF"/>
            <w:vAlign w:val="center"/>
          </w:tcPr>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承接主体项目管理制度是否健全，项目实施是否符合相关项目管理规定；是否建立了实施领导机制并建立了完善的实施方案，是否建立了项目台账，台账记录是否全面、完整，是否能接受和配合相关部门的监督检查及绩效评价，用以反映和考核承接主体对项目规范管理的执行情况</w:t>
            </w:r>
            <w:r>
              <w:rPr>
                <w:rFonts w:hint="eastAsia" w:ascii="仿宋_GB2312" w:hAnsi="仿宋_GB2312" w:cs="仿宋_GB2312"/>
                <w:color w:val="auto"/>
                <w:kern w:val="0"/>
                <w:sz w:val="18"/>
                <w:szCs w:val="18"/>
                <w:highlight w:val="none"/>
                <w:lang w:eastAsia="zh-CN" w:bidi="ar"/>
              </w:rPr>
              <w:t>。</w:t>
            </w:r>
          </w:p>
        </w:tc>
        <w:tc>
          <w:tcPr>
            <w:tcW w:w="751" w:type="dxa"/>
            <w:shd w:val="clear" w:color="auto" w:fill="FFFFFF"/>
            <w:vAlign w:val="center"/>
          </w:tcPr>
          <w:p>
            <w:pPr>
              <w:ind w:firstLine="0" w:firstLineChars="0"/>
              <w:jc w:val="center"/>
              <w:textAlignment w:val="center"/>
              <w:rPr>
                <w:rFonts w:hint="default"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3</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①承接主体项目管理制度健全，项目实施符合相关项目管理规定</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②建立了实施领导机制并建立了完善的实施方案</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③建立了项目台账，台账记录全面、完整</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④能接受和配合相关部门的监督检查及绩效评价</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r>
              <w:rPr>
                <w:rFonts w:hint="eastAsia" w:ascii="仿宋_GB2312" w:hAnsi="仿宋_GB2312" w:cs="仿宋_GB2312"/>
                <w:color w:val="auto"/>
                <w:kern w:val="0"/>
                <w:sz w:val="18"/>
                <w:szCs w:val="18"/>
                <w:highlight w:val="none"/>
                <w:lang w:eastAsia="zh-CN" w:bidi="ar"/>
              </w:rPr>
              <w:t>。</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产出</w:t>
            </w:r>
          </w:p>
          <w:p>
            <w:pPr>
              <w:ind w:firstLine="0" w:firstLineChars="0"/>
              <w:jc w:val="center"/>
              <w:textAlignment w:val="center"/>
              <w:rPr>
                <w:rFonts w:hint="eastAsia" w:ascii="仿宋_GB2312" w:hAnsi="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35分）</w:t>
            </w: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产出</w:t>
            </w:r>
          </w:p>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35分）</w:t>
            </w: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产出数量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小麦“一喷三防”实施面积，防病虫、防干热风、防早衰</w:t>
            </w:r>
          </w:p>
        </w:tc>
        <w:tc>
          <w:tcPr>
            <w:tcW w:w="2315" w:type="dxa"/>
            <w:vMerge w:val="restart"/>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项目实施的实际产出数与计划产出数的比率，用以反映和考核项目产出数量目标的实现程度</w:t>
            </w:r>
          </w:p>
        </w:tc>
        <w:tc>
          <w:tcPr>
            <w:tcW w:w="751" w:type="dxa"/>
            <w:vMerge w:val="restart"/>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小麦“一喷三防”实施面积，防病虫、防干热风、防早衰年度指标值为大于等于21.88万亩，实际完成值为21.88万亩，完成预期目标，根据评分标准，该指标不扣分。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sz w:val="18"/>
                <w:szCs w:val="18"/>
                <w:highlight w:val="none"/>
                <w:lang w:eastAsia="zh-CN"/>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购置“一喷三防”药剂数量</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购置“一喷三防”药剂数量年度指标值为大于等于61081.58公斤，实际完成值为61081.58公斤，完成预期目标，根据评分标准，该指标不扣分。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7"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产出质量</w:t>
            </w: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产出质量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用于一喷三防相关支出比例</w:t>
            </w:r>
          </w:p>
        </w:tc>
        <w:tc>
          <w:tcPr>
            <w:tcW w:w="2315" w:type="dxa"/>
            <w:vMerge w:val="restart"/>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项目完成的质量达标产出数与实际产出数的比率，用以反映和考核项目产出质量目标的实现程度。</w:t>
            </w: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项目完成的质量达标产出数与实际产出数的比率，用以反映和考核项目产出质量目标的实现程度。</w:t>
            </w:r>
          </w:p>
        </w:tc>
        <w:tc>
          <w:tcPr>
            <w:tcW w:w="75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9</w:t>
            </w: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用于一喷三防相关支出比例年度指标值为等于100%，实际完成值为100%，完成预期目标，根据评分标准，该指标不扣分。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9</w:t>
            </w: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7"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严格执行资金预算管理</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严格执行资金预算管理年度指标值为等于100%，实际完成值为100%，完成预期目标，根据评分标准，该指标不扣分。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7"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资金使用无重大违纪问题</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资金使用无重大违纪问题年度指标值为等于100%，实际完成值为100%，完成预期目标，根据评分标准，该指标不扣分。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统防统治覆盖率</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统防统治覆盖率年度指标值为大于等于43%，实际完成值为45%，完成预期目标，根据评分标准，该指标不扣分。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采购物资验收合格率</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采购物资验收合格率年度指标值为等于100%，实际完成值为100%，完成预期目标，根据评分标准，该指标不扣分。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采购物资到位率</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采购物资到位率年度指标值为等于100%，实际完成值为100%，完成预期目标，根据评分标准，该指标不扣分。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产出时效</w:t>
            </w: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救灾资金下拨至县市时限</w:t>
            </w:r>
          </w:p>
        </w:tc>
        <w:tc>
          <w:tcPr>
            <w:tcW w:w="2315" w:type="dxa"/>
            <w:vMerge w:val="restart"/>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项目实际完成时间与计划完成时间的比较，用以反映和考核项目产出时效目标的实现程度。</w:t>
            </w:r>
          </w:p>
        </w:tc>
        <w:tc>
          <w:tcPr>
            <w:tcW w:w="751" w:type="dxa"/>
            <w:vMerge w:val="restart"/>
            <w:vAlign w:val="center"/>
          </w:tcPr>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8</w:t>
            </w: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救灾资金下拨至县市时限年度指标值为等于0%，实际完成值为0%，完成预期目标，根据评分标准，该指标不扣分。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8</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及时拨付救灾资金</w:t>
            </w:r>
          </w:p>
        </w:tc>
        <w:tc>
          <w:tcPr>
            <w:tcW w:w="2315" w:type="dxa"/>
            <w:vMerge w:val="continue"/>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vAlign w:val="center"/>
          </w:tcPr>
          <w:p>
            <w:pPr>
              <w:ind w:firstLine="0" w:firstLineChars="0"/>
              <w:jc w:val="center"/>
              <w:textAlignment w:val="center"/>
              <w:rPr>
                <w:rFonts w:hint="eastAsia" w:ascii="仿宋_GB2312" w:hAnsi="仿宋_GB2312" w:cs="仿宋_GB2312"/>
                <w:color w:val="auto"/>
                <w:sz w:val="18"/>
                <w:szCs w:val="18"/>
                <w:highlight w:val="none"/>
                <w:lang w:val="en-US" w:eastAsia="zh-CN"/>
              </w:rPr>
            </w:pP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及时拨付救灾资金年度指标值为等于100%，实际完成值为100%，完成预期目标，根据评分标准，该指标不扣分。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采购物资验收时间</w:t>
            </w:r>
          </w:p>
        </w:tc>
        <w:tc>
          <w:tcPr>
            <w:tcW w:w="2315" w:type="dxa"/>
            <w:vMerge w:val="continue"/>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vAlign w:val="center"/>
          </w:tcPr>
          <w:p>
            <w:pPr>
              <w:ind w:firstLine="0" w:firstLineChars="0"/>
              <w:jc w:val="center"/>
              <w:textAlignment w:val="center"/>
              <w:rPr>
                <w:rFonts w:hint="eastAsia" w:ascii="仿宋_GB2312" w:hAnsi="仿宋_GB2312" w:cs="仿宋_GB2312"/>
                <w:color w:val="auto"/>
                <w:sz w:val="18"/>
                <w:szCs w:val="18"/>
                <w:highlight w:val="none"/>
                <w:lang w:val="en-US" w:eastAsia="zh-CN"/>
              </w:rPr>
            </w:pP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采购物资验收时间年度指标值为2023年10月20日前，实际完成值为2023年9月19日，完成预期目标，根据评分标准，该指标不扣分。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产出成本</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采购物资或服务价格</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完成项目计划工作目标的实际节约成本与计划成本的比率，用以反映和考核项目的成本节约程度。</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采购物资或服务价格年度指标值为小于等于16.65元/公斤，实际完成值为16.65元/公斤，完成预期目标，根据评分标准，该指标不扣分。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效益</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30分）</w:t>
            </w: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项目效益</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受灾地区主要农作物单产减幅</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项目实施所产生的</w:t>
            </w:r>
            <w:r>
              <w:rPr>
                <w:rFonts w:hint="eastAsia" w:ascii="仿宋_GB2312" w:hAnsi="仿宋_GB2312" w:cs="仿宋_GB2312"/>
                <w:color w:val="auto"/>
                <w:kern w:val="0"/>
                <w:sz w:val="18"/>
                <w:szCs w:val="18"/>
                <w:highlight w:val="none"/>
                <w:lang w:val="en-US" w:eastAsia="zh-CN" w:bidi="ar"/>
              </w:rPr>
              <w:t>经济</w:t>
            </w:r>
            <w:r>
              <w:rPr>
                <w:rFonts w:hint="eastAsia" w:ascii="仿宋_GB2312" w:hAnsi="仿宋_GB2312" w:cs="仿宋_GB2312"/>
                <w:color w:val="auto"/>
                <w:kern w:val="0"/>
                <w:sz w:val="18"/>
                <w:szCs w:val="18"/>
                <w:highlight w:val="none"/>
                <w:lang w:bidi="ar"/>
              </w:rPr>
              <w:t>效益。</w:t>
            </w:r>
          </w:p>
        </w:tc>
        <w:tc>
          <w:tcPr>
            <w:tcW w:w="751" w:type="dxa"/>
            <w:vMerge w:val="restart"/>
            <w:shd w:val="clear" w:color="auto" w:fill="FFFFFF"/>
            <w:vAlign w:val="center"/>
          </w:tcPr>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20</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受灾地区主要农作物单产减幅年度指标值为有效控制，实际完成值为有效控制，完成预期目标，根据评分标准，该指标不扣分。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eastAsia="zh-CN" w:bidi="ar"/>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“一喷三防”效果</w:t>
            </w:r>
          </w:p>
        </w:tc>
        <w:tc>
          <w:tcPr>
            <w:tcW w:w="2315" w:type="dxa"/>
            <w:vMerge w:val="restart"/>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项目实施所产生的</w:t>
            </w:r>
            <w:r>
              <w:rPr>
                <w:rFonts w:hint="eastAsia" w:ascii="仿宋_GB2312" w:hAnsi="仿宋_GB2312" w:cs="仿宋_GB2312"/>
                <w:color w:val="auto"/>
                <w:kern w:val="0"/>
                <w:sz w:val="18"/>
                <w:szCs w:val="18"/>
                <w:highlight w:val="none"/>
                <w:lang w:val="en-US" w:eastAsia="zh-CN" w:bidi="ar"/>
              </w:rPr>
              <w:t>社会</w:t>
            </w:r>
            <w:r>
              <w:rPr>
                <w:rFonts w:hint="eastAsia" w:ascii="仿宋_GB2312" w:hAnsi="仿宋_GB2312" w:cs="仿宋_GB2312"/>
                <w:color w:val="auto"/>
                <w:kern w:val="0"/>
                <w:sz w:val="18"/>
                <w:szCs w:val="18"/>
                <w:highlight w:val="none"/>
                <w:lang w:bidi="ar"/>
              </w:rPr>
              <w:t>效益。</w:t>
            </w:r>
          </w:p>
        </w:tc>
        <w:tc>
          <w:tcPr>
            <w:tcW w:w="751" w:type="dxa"/>
            <w:vMerge w:val="continue"/>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“一喷三防”效果年度指标值为有效提升，实际完成值为有效提升，完成预期目标，根据评分标准，该指标不扣分。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eastAsia="zh-CN" w:bidi="ar"/>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受灾地区生产能力恢复</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受灾地区生产能力恢复年度指标值为基本恢复，实际完成值为基本恢复，完成预期目标，根据评分标准，该指标不扣分。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eastAsia="zh-CN" w:bidi="ar"/>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稳定农民种粮积极性</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稳定农民种粮积极性年度指标值为有效确保，实际完成值为有效确保，完成预期目标，根据评分标准，该指标不扣分。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满意度</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社会公众或服务对象对项目实施效果的满意程度。</w:t>
            </w:r>
          </w:p>
        </w:tc>
        <w:tc>
          <w:tcPr>
            <w:tcW w:w="751" w:type="dxa"/>
            <w:shd w:val="clear" w:color="auto" w:fill="FFFFFF"/>
            <w:vAlign w:val="center"/>
          </w:tcPr>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根据问卷调查，受益群众满意度达到满意的人数：                                      ①人数大于等于98%，得</w:t>
            </w:r>
            <w:r>
              <w:rPr>
                <w:rFonts w:hint="eastAsia" w:ascii="仿宋_GB2312" w:hAnsi="仿宋_GB2312" w:cs="仿宋_GB2312"/>
                <w:color w:val="auto"/>
                <w:kern w:val="0"/>
                <w:sz w:val="18"/>
                <w:szCs w:val="18"/>
                <w:highlight w:val="none"/>
                <w:lang w:bidi="ar"/>
              </w:rPr>
              <w:t>10分</w:t>
            </w:r>
            <w:r>
              <w:rPr>
                <w:rFonts w:hint="eastAsia" w:ascii="仿宋_GB2312" w:hAnsi="仿宋_GB2312" w:cs="仿宋_GB2312"/>
                <w:color w:val="auto"/>
                <w:kern w:val="0"/>
                <w:sz w:val="18"/>
                <w:szCs w:val="18"/>
                <w:highlight w:val="none"/>
                <w:lang w:bidi="ar"/>
              </w:rPr>
              <w:t>；</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②人数小于98%大于等于8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%，得8分；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③人数小于8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%大于等于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0%，得5分；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④人数小于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79" w:type="dxa"/>
            <w:gridSpan w:val="3"/>
            <w:noWrap/>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合计</w:t>
            </w:r>
          </w:p>
        </w:tc>
        <w:tc>
          <w:tcPr>
            <w:tcW w:w="2315" w:type="dxa"/>
            <w:noWrap/>
            <w:vAlign w:val="center"/>
          </w:tcPr>
          <w:p>
            <w:pPr>
              <w:ind w:firstLine="360"/>
              <w:jc w:val="left"/>
              <w:rPr>
                <w:rFonts w:ascii="仿宋_GB2312" w:hAnsi="仿宋_GB2312" w:cs="仿宋_GB2312"/>
                <w:color w:val="auto"/>
                <w:sz w:val="18"/>
                <w:szCs w:val="18"/>
                <w:highlight w:val="none"/>
              </w:rPr>
            </w:pPr>
          </w:p>
        </w:tc>
        <w:tc>
          <w:tcPr>
            <w:tcW w:w="751" w:type="dxa"/>
            <w:noWrap/>
            <w:vAlign w:val="center"/>
          </w:tcPr>
          <w:p>
            <w:pPr>
              <w:ind w:firstLine="180" w:firstLineChars="10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100</w:t>
            </w:r>
          </w:p>
        </w:tc>
        <w:tc>
          <w:tcPr>
            <w:tcW w:w="6140" w:type="dxa"/>
            <w:vAlign w:val="center"/>
          </w:tcPr>
          <w:p>
            <w:pPr>
              <w:ind w:firstLine="360"/>
              <w:jc w:val="left"/>
              <w:rPr>
                <w:rFonts w:ascii="仿宋_GB2312" w:hAnsi="仿宋_GB2312" w:cs="仿宋_GB2312"/>
                <w:color w:val="auto"/>
                <w:sz w:val="18"/>
                <w:szCs w:val="18"/>
                <w:highlight w:val="none"/>
              </w:rPr>
            </w:pP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100</w:t>
            </w:r>
          </w:p>
        </w:tc>
        <w:tc>
          <w:tcPr>
            <w:tcW w:w="963" w:type="dxa"/>
            <w:vAlign w:val="center"/>
          </w:tcPr>
          <w:p>
            <w:pPr>
              <w:ind w:firstLine="360"/>
              <w:jc w:val="left"/>
              <w:rPr>
                <w:rFonts w:ascii="宋体" w:hAnsi="宋体" w:eastAsia="宋体" w:cs="宋体"/>
                <w:color w:val="auto"/>
                <w:sz w:val="18"/>
                <w:szCs w:val="18"/>
                <w:highlight w:val="none"/>
              </w:rPr>
            </w:pPr>
          </w:p>
        </w:tc>
      </w:tr>
    </w:tbl>
    <w:p>
      <w:pPr>
        <w:pStyle w:val="24"/>
        <w:ind w:firstLine="0" w:firstLineChars="0"/>
        <w:jc w:val="both"/>
        <w:rPr>
          <w:color w:val="auto"/>
          <w:highlight w:val="none"/>
        </w:rPr>
      </w:pPr>
    </w:p>
    <w:bookmarkEnd w:id="219"/>
    <w:sectPr>
      <w:headerReference r:id="rId8" w:type="first"/>
      <w:footerReference r:id="rId11" w:type="first"/>
      <w:headerReference r:id="rId6" w:type="default"/>
      <w:footerReference r:id="rId9" w:type="default"/>
      <w:headerReference r:id="rId7" w:type="even"/>
      <w:footerReference r:id="rId10" w:type="even"/>
      <w:pgSz w:w="16838" w:h="11906" w:orient="landscape"/>
      <w:pgMar w:top="1800" w:right="1440" w:bottom="180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p>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posOffset>2270125</wp:posOffset>
              </wp:positionH>
              <wp:positionV relativeFrom="paragraph">
                <wp:posOffset>85090</wp:posOffset>
              </wp:positionV>
              <wp:extent cx="76708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6708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78.75pt;margin-top:6.7pt;height:144pt;width:60.4pt;mso-position-horizontal-relative:margin;z-index:251660288;mso-width-relative:page;mso-height-relative:page;" filled="f" stroked="f" coordsize="21600,21600" o:gfxdata="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rVTYAAAACgEAAA8AAAAA&#10;AAAAAQAgAAAAIgAAAGRycy9kb3ducmV2LnhtbFBLAQIUABQAAAAIAIdO4kA8iCTLFAIAAAgEAAAO&#10;AAAAAAAAAAEAIAAAACcBAABkcnMvZTJvRG9jLnhtbFBLBQYAAAAABgAGAFkBAACtBQAAAAA=&#10;">
              <v:fill on="f" focussize="0,0"/>
              <v:stroke on="f" weight="0.5pt"/>
              <v:imagedata o:title=""/>
              <o:lock v:ext="edit" aspectratio="f"/>
              <v:textbox inset="0mm,0mm,0mm,0mm" style="mso-fit-shape-to-text:t;">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r>
      <mc:AlternateContent>
        <mc:Choice Requires="wps">
          <w:drawing>
            <wp:anchor distT="0" distB="0" distL="114300" distR="114300" simplePos="0" relativeHeight="251659264" behindDoc="0" locked="0" layoutInCell="1" allowOverlap="1">
              <wp:simplePos x="0" y="0"/>
              <wp:positionH relativeFrom="margin">
                <wp:posOffset>4195445</wp:posOffset>
              </wp:positionH>
              <wp:positionV relativeFrom="paragraph">
                <wp:posOffset>0</wp:posOffset>
              </wp:positionV>
              <wp:extent cx="1148715" cy="1968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871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30.35pt;margin-top:0pt;height:15.5pt;width:90.45pt;mso-position-horizontal-relative:margin;z-index:251659264;mso-width-relative:page;mso-height-relative:page;" filled="f" stroked="f" coordsize="21600,21600" o:gfxdata="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TsImdUAAAAHAQAADwAAAAAAAAAB&#10;ACAAAAAiAAAAZHJzL2Rvd25yZXYueG1sUEsBAhQAFAAAAAgAh07iQPehocETAgAACAQAAA4AAAAA&#10;AAAAAQAgAAAAJAEAAGRycy9lMm9Eb2MueG1sUEsFBgAAAAAGAAYAWQEAAKkFAAAAAA==&#10;">
              <v:fill on="f" focussize="0,0"/>
              <v:stroke on="f" weight="0.5pt"/>
              <v:imagedata o:title=""/>
              <o:lock v:ext="edit" aspectratio="f"/>
              <v:textbox inset="0mm,0mm,0mm,0mm">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7324"/>
    <w:rsid w:val="00025C7B"/>
    <w:rsid w:val="00026D68"/>
    <w:rsid w:val="000507E5"/>
    <w:rsid w:val="000B0A47"/>
    <w:rsid w:val="000B4C90"/>
    <w:rsid w:val="000B7456"/>
    <w:rsid w:val="000F19ED"/>
    <w:rsid w:val="00116F13"/>
    <w:rsid w:val="00133529"/>
    <w:rsid w:val="001342B0"/>
    <w:rsid w:val="0013699F"/>
    <w:rsid w:val="00154AB1"/>
    <w:rsid w:val="00162D03"/>
    <w:rsid w:val="001938C8"/>
    <w:rsid w:val="001A713D"/>
    <w:rsid w:val="001B62E9"/>
    <w:rsid w:val="001D0828"/>
    <w:rsid w:val="00237098"/>
    <w:rsid w:val="00265B5F"/>
    <w:rsid w:val="002810A8"/>
    <w:rsid w:val="00287087"/>
    <w:rsid w:val="002A6447"/>
    <w:rsid w:val="002C0FA1"/>
    <w:rsid w:val="0030133E"/>
    <w:rsid w:val="003421D6"/>
    <w:rsid w:val="00355C5B"/>
    <w:rsid w:val="003801D3"/>
    <w:rsid w:val="003B13F4"/>
    <w:rsid w:val="003B55A8"/>
    <w:rsid w:val="003B6D9E"/>
    <w:rsid w:val="003C2470"/>
    <w:rsid w:val="003D0E11"/>
    <w:rsid w:val="003D17D0"/>
    <w:rsid w:val="00417BA8"/>
    <w:rsid w:val="00417E0C"/>
    <w:rsid w:val="00450017"/>
    <w:rsid w:val="004550E0"/>
    <w:rsid w:val="00455EC9"/>
    <w:rsid w:val="0046425B"/>
    <w:rsid w:val="004B1048"/>
    <w:rsid w:val="004D029C"/>
    <w:rsid w:val="004D6CA3"/>
    <w:rsid w:val="004E66D0"/>
    <w:rsid w:val="0051444F"/>
    <w:rsid w:val="005351B2"/>
    <w:rsid w:val="00537022"/>
    <w:rsid w:val="005604A7"/>
    <w:rsid w:val="005B7ABC"/>
    <w:rsid w:val="006156C6"/>
    <w:rsid w:val="00621D64"/>
    <w:rsid w:val="00670E7D"/>
    <w:rsid w:val="00686622"/>
    <w:rsid w:val="00686998"/>
    <w:rsid w:val="006C4138"/>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2C60"/>
    <w:rsid w:val="00897964"/>
    <w:rsid w:val="008A2CCB"/>
    <w:rsid w:val="008B1EB6"/>
    <w:rsid w:val="008D4040"/>
    <w:rsid w:val="008D5B06"/>
    <w:rsid w:val="008E4324"/>
    <w:rsid w:val="008E5407"/>
    <w:rsid w:val="008E5601"/>
    <w:rsid w:val="008F2A3D"/>
    <w:rsid w:val="008F4A33"/>
    <w:rsid w:val="009238D0"/>
    <w:rsid w:val="00936189"/>
    <w:rsid w:val="009D07FD"/>
    <w:rsid w:val="009D623D"/>
    <w:rsid w:val="009E7F93"/>
    <w:rsid w:val="009F6671"/>
    <w:rsid w:val="00A16AD6"/>
    <w:rsid w:val="00A51218"/>
    <w:rsid w:val="00A87773"/>
    <w:rsid w:val="00A87988"/>
    <w:rsid w:val="00AD265F"/>
    <w:rsid w:val="00AF1303"/>
    <w:rsid w:val="00AF2068"/>
    <w:rsid w:val="00B0358A"/>
    <w:rsid w:val="00B11C14"/>
    <w:rsid w:val="00B16647"/>
    <w:rsid w:val="00B45788"/>
    <w:rsid w:val="00B567F7"/>
    <w:rsid w:val="00B856EE"/>
    <w:rsid w:val="00B91B13"/>
    <w:rsid w:val="00BA7121"/>
    <w:rsid w:val="00BE1476"/>
    <w:rsid w:val="00C160DE"/>
    <w:rsid w:val="00C300F1"/>
    <w:rsid w:val="00C4247B"/>
    <w:rsid w:val="00C47700"/>
    <w:rsid w:val="00C477E9"/>
    <w:rsid w:val="00C52F11"/>
    <w:rsid w:val="00C64E44"/>
    <w:rsid w:val="00C6680C"/>
    <w:rsid w:val="00C72D08"/>
    <w:rsid w:val="00CB538F"/>
    <w:rsid w:val="00CC15C5"/>
    <w:rsid w:val="00D148F8"/>
    <w:rsid w:val="00D24B1A"/>
    <w:rsid w:val="00D3450F"/>
    <w:rsid w:val="00D35E67"/>
    <w:rsid w:val="00D52221"/>
    <w:rsid w:val="00D524CD"/>
    <w:rsid w:val="00D92BBE"/>
    <w:rsid w:val="00DA32AB"/>
    <w:rsid w:val="00DD56B6"/>
    <w:rsid w:val="00DE4B68"/>
    <w:rsid w:val="00E339F5"/>
    <w:rsid w:val="00E4696F"/>
    <w:rsid w:val="00E846CC"/>
    <w:rsid w:val="00F03527"/>
    <w:rsid w:val="00F07EB6"/>
    <w:rsid w:val="00F46472"/>
    <w:rsid w:val="00F62E86"/>
    <w:rsid w:val="00F67CD3"/>
    <w:rsid w:val="00F76D7A"/>
    <w:rsid w:val="00FB4F0E"/>
    <w:rsid w:val="00FC1400"/>
    <w:rsid w:val="00FC57E4"/>
    <w:rsid w:val="00FF1809"/>
    <w:rsid w:val="00FF386B"/>
    <w:rsid w:val="01815D5E"/>
    <w:rsid w:val="019A219B"/>
    <w:rsid w:val="026A2F69"/>
    <w:rsid w:val="030B1AB8"/>
    <w:rsid w:val="034D6604"/>
    <w:rsid w:val="0355223E"/>
    <w:rsid w:val="036209C0"/>
    <w:rsid w:val="037312A7"/>
    <w:rsid w:val="03782F41"/>
    <w:rsid w:val="03986262"/>
    <w:rsid w:val="03A70114"/>
    <w:rsid w:val="04253A19"/>
    <w:rsid w:val="04BB38C6"/>
    <w:rsid w:val="04BC3B3D"/>
    <w:rsid w:val="0525476D"/>
    <w:rsid w:val="05607F36"/>
    <w:rsid w:val="05CE3E3D"/>
    <w:rsid w:val="05E90F90"/>
    <w:rsid w:val="06865D48"/>
    <w:rsid w:val="06B83EB3"/>
    <w:rsid w:val="07262D78"/>
    <w:rsid w:val="075F25AF"/>
    <w:rsid w:val="078B51EA"/>
    <w:rsid w:val="07E826EC"/>
    <w:rsid w:val="08707776"/>
    <w:rsid w:val="089A5E49"/>
    <w:rsid w:val="08A600F6"/>
    <w:rsid w:val="08ED117F"/>
    <w:rsid w:val="08F35599"/>
    <w:rsid w:val="09573B92"/>
    <w:rsid w:val="0ADC3B93"/>
    <w:rsid w:val="0B0172C5"/>
    <w:rsid w:val="0B1E67E7"/>
    <w:rsid w:val="0B2A1D37"/>
    <w:rsid w:val="0BB1581B"/>
    <w:rsid w:val="0C3F5E8D"/>
    <w:rsid w:val="0C4A7742"/>
    <w:rsid w:val="0C7A4A86"/>
    <w:rsid w:val="0DAC1116"/>
    <w:rsid w:val="0E3007B9"/>
    <w:rsid w:val="0E56363C"/>
    <w:rsid w:val="0E6517F4"/>
    <w:rsid w:val="0E78758A"/>
    <w:rsid w:val="0E8D7DD7"/>
    <w:rsid w:val="0E9A44F7"/>
    <w:rsid w:val="10034C86"/>
    <w:rsid w:val="101607C0"/>
    <w:rsid w:val="103E1EFA"/>
    <w:rsid w:val="10682E2F"/>
    <w:rsid w:val="11BB2DC7"/>
    <w:rsid w:val="11F25929"/>
    <w:rsid w:val="12875D39"/>
    <w:rsid w:val="12A8713D"/>
    <w:rsid w:val="12C51B93"/>
    <w:rsid w:val="12C741DF"/>
    <w:rsid w:val="12CD50A0"/>
    <w:rsid w:val="12D969C7"/>
    <w:rsid w:val="13662317"/>
    <w:rsid w:val="13DE719D"/>
    <w:rsid w:val="13F95FF0"/>
    <w:rsid w:val="140E2CEA"/>
    <w:rsid w:val="14321435"/>
    <w:rsid w:val="14660571"/>
    <w:rsid w:val="14871C95"/>
    <w:rsid w:val="14C60177"/>
    <w:rsid w:val="14DA4EE2"/>
    <w:rsid w:val="153C10C2"/>
    <w:rsid w:val="16D01E15"/>
    <w:rsid w:val="173172B7"/>
    <w:rsid w:val="181B3589"/>
    <w:rsid w:val="181E3BC4"/>
    <w:rsid w:val="18CD18BA"/>
    <w:rsid w:val="18D1673A"/>
    <w:rsid w:val="18F93760"/>
    <w:rsid w:val="19295C24"/>
    <w:rsid w:val="192C294F"/>
    <w:rsid w:val="199C6668"/>
    <w:rsid w:val="19BA10CA"/>
    <w:rsid w:val="1A4F2C08"/>
    <w:rsid w:val="1AFF4AC2"/>
    <w:rsid w:val="1B360920"/>
    <w:rsid w:val="1B9F42A0"/>
    <w:rsid w:val="1BC25682"/>
    <w:rsid w:val="1BCA74A1"/>
    <w:rsid w:val="1CC7143F"/>
    <w:rsid w:val="1D1A32A6"/>
    <w:rsid w:val="1DC72C65"/>
    <w:rsid w:val="1DFB36BD"/>
    <w:rsid w:val="1E4A43F1"/>
    <w:rsid w:val="1EB64BE4"/>
    <w:rsid w:val="1ED34B0D"/>
    <w:rsid w:val="1EF10375"/>
    <w:rsid w:val="2084503B"/>
    <w:rsid w:val="21382C5B"/>
    <w:rsid w:val="215C7CD8"/>
    <w:rsid w:val="21CF4E39"/>
    <w:rsid w:val="21E617A3"/>
    <w:rsid w:val="225B2CEC"/>
    <w:rsid w:val="23361BDA"/>
    <w:rsid w:val="233D00DC"/>
    <w:rsid w:val="23CF57A2"/>
    <w:rsid w:val="23ED4D27"/>
    <w:rsid w:val="24306342"/>
    <w:rsid w:val="243C5236"/>
    <w:rsid w:val="24676B71"/>
    <w:rsid w:val="25005BCA"/>
    <w:rsid w:val="255432B0"/>
    <w:rsid w:val="25846970"/>
    <w:rsid w:val="26C624DB"/>
    <w:rsid w:val="27313E46"/>
    <w:rsid w:val="27542688"/>
    <w:rsid w:val="27644139"/>
    <w:rsid w:val="27B72D34"/>
    <w:rsid w:val="27C301A8"/>
    <w:rsid w:val="28476855"/>
    <w:rsid w:val="28774F9F"/>
    <w:rsid w:val="288C3648"/>
    <w:rsid w:val="28DC038E"/>
    <w:rsid w:val="291B5757"/>
    <w:rsid w:val="294316F0"/>
    <w:rsid w:val="299F0137"/>
    <w:rsid w:val="29B569A1"/>
    <w:rsid w:val="2A854665"/>
    <w:rsid w:val="2AE37295"/>
    <w:rsid w:val="2AF44640"/>
    <w:rsid w:val="2B6C4490"/>
    <w:rsid w:val="2B900752"/>
    <w:rsid w:val="2BA66B5F"/>
    <w:rsid w:val="2C80637A"/>
    <w:rsid w:val="2CCB7E6F"/>
    <w:rsid w:val="2D2931D0"/>
    <w:rsid w:val="2D3D66BF"/>
    <w:rsid w:val="2D3F2AFD"/>
    <w:rsid w:val="2DD47EDE"/>
    <w:rsid w:val="2DD64A48"/>
    <w:rsid w:val="2DE15631"/>
    <w:rsid w:val="2DF41696"/>
    <w:rsid w:val="2F1F2154"/>
    <w:rsid w:val="30D47661"/>
    <w:rsid w:val="30E407FF"/>
    <w:rsid w:val="30EA3D2D"/>
    <w:rsid w:val="31860484"/>
    <w:rsid w:val="31FA693D"/>
    <w:rsid w:val="33740FF7"/>
    <w:rsid w:val="342406A4"/>
    <w:rsid w:val="344A4AD6"/>
    <w:rsid w:val="34A73850"/>
    <w:rsid w:val="34B025B3"/>
    <w:rsid w:val="34F756BE"/>
    <w:rsid w:val="35305CED"/>
    <w:rsid w:val="35892A39"/>
    <w:rsid w:val="368A557D"/>
    <w:rsid w:val="36A01808"/>
    <w:rsid w:val="39EA684A"/>
    <w:rsid w:val="39F21286"/>
    <w:rsid w:val="3A4A3800"/>
    <w:rsid w:val="3B153A51"/>
    <w:rsid w:val="3B1D71FC"/>
    <w:rsid w:val="3BDA7521"/>
    <w:rsid w:val="3C0D491A"/>
    <w:rsid w:val="3C0E4831"/>
    <w:rsid w:val="3C3A5021"/>
    <w:rsid w:val="3C8D4949"/>
    <w:rsid w:val="3D1E3CE1"/>
    <w:rsid w:val="3DA13A8D"/>
    <w:rsid w:val="3DF42E92"/>
    <w:rsid w:val="3E700B1D"/>
    <w:rsid w:val="3EA34F7D"/>
    <w:rsid w:val="3EB51EFF"/>
    <w:rsid w:val="3EEE2141"/>
    <w:rsid w:val="3EEE6C7A"/>
    <w:rsid w:val="3F882048"/>
    <w:rsid w:val="40117628"/>
    <w:rsid w:val="40623EE5"/>
    <w:rsid w:val="40C45EA8"/>
    <w:rsid w:val="40D44C2B"/>
    <w:rsid w:val="40D57049"/>
    <w:rsid w:val="40F01F9B"/>
    <w:rsid w:val="40F059CE"/>
    <w:rsid w:val="411007C2"/>
    <w:rsid w:val="412D32C3"/>
    <w:rsid w:val="41760F4B"/>
    <w:rsid w:val="419D0CC5"/>
    <w:rsid w:val="425526D1"/>
    <w:rsid w:val="42A15600"/>
    <w:rsid w:val="42A47E22"/>
    <w:rsid w:val="442527BE"/>
    <w:rsid w:val="447B6718"/>
    <w:rsid w:val="44B3058D"/>
    <w:rsid w:val="44C84EB8"/>
    <w:rsid w:val="44D35478"/>
    <w:rsid w:val="45A01611"/>
    <w:rsid w:val="46305EEF"/>
    <w:rsid w:val="468A36CB"/>
    <w:rsid w:val="4712413C"/>
    <w:rsid w:val="475A53B1"/>
    <w:rsid w:val="47627A8B"/>
    <w:rsid w:val="47FB7B22"/>
    <w:rsid w:val="480F2C59"/>
    <w:rsid w:val="48866984"/>
    <w:rsid w:val="49367249"/>
    <w:rsid w:val="49684A6B"/>
    <w:rsid w:val="4A49536A"/>
    <w:rsid w:val="4A734A00"/>
    <w:rsid w:val="4AF27D97"/>
    <w:rsid w:val="4B4B29E7"/>
    <w:rsid w:val="4C1F4C1C"/>
    <w:rsid w:val="4C5B3031"/>
    <w:rsid w:val="4C8A6D5F"/>
    <w:rsid w:val="4CDF72E7"/>
    <w:rsid w:val="4D7771C5"/>
    <w:rsid w:val="4D967117"/>
    <w:rsid w:val="4DA35035"/>
    <w:rsid w:val="4E175B2C"/>
    <w:rsid w:val="4EBE28E6"/>
    <w:rsid w:val="4F251034"/>
    <w:rsid w:val="4F941A96"/>
    <w:rsid w:val="4FD86355"/>
    <w:rsid w:val="506D36BD"/>
    <w:rsid w:val="509A30F3"/>
    <w:rsid w:val="515C74AA"/>
    <w:rsid w:val="51CF5CA2"/>
    <w:rsid w:val="52564BB1"/>
    <w:rsid w:val="52F365D4"/>
    <w:rsid w:val="53351ABA"/>
    <w:rsid w:val="53710365"/>
    <w:rsid w:val="537601D2"/>
    <w:rsid w:val="537F1959"/>
    <w:rsid w:val="540F0DC9"/>
    <w:rsid w:val="5410017B"/>
    <w:rsid w:val="54293D8D"/>
    <w:rsid w:val="5432344B"/>
    <w:rsid w:val="547B0F25"/>
    <w:rsid w:val="555C721A"/>
    <w:rsid w:val="55BC2DF8"/>
    <w:rsid w:val="565F6ADC"/>
    <w:rsid w:val="566072EF"/>
    <w:rsid w:val="56731585"/>
    <w:rsid w:val="56763536"/>
    <w:rsid w:val="56A83F23"/>
    <w:rsid w:val="56D354B1"/>
    <w:rsid w:val="57091A8F"/>
    <w:rsid w:val="57ED177C"/>
    <w:rsid w:val="582F079F"/>
    <w:rsid w:val="586D7CFE"/>
    <w:rsid w:val="58D04078"/>
    <w:rsid w:val="590D0351"/>
    <w:rsid w:val="59AA626B"/>
    <w:rsid w:val="5A933D1A"/>
    <w:rsid w:val="5B035412"/>
    <w:rsid w:val="5B3B092B"/>
    <w:rsid w:val="5B8F71CA"/>
    <w:rsid w:val="5B953CF9"/>
    <w:rsid w:val="5BA22700"/>
    <w:rsid w:val="5BE21C5E"/>
    <w:rsid w:val="5C000295"/>
    <w:rsid w:val="5CB42434"/>
    <w:rsid w:val="5E325339"/>
    <w:rsid w:val="5EDE2286"/>
    <w:rsid w:val="5F180766"/>
    <w:rsid w:val="5F3B1337"/>
    <w:rsid w:val="5F484798"/>
    <w:rsid w:val="5F8C10DD"/>
    <w:rsid w:val="5F8E19CC"/>
    <w:rsid w:val="605A6CFF"/>
    <w:rsid w:val="607148A4"/>
    <w:rsid w:val="60CA47EE"/>
    <w:rsid w:val="615023E1"/>
    <w:rsid w:val="6171471A"/>
    <w:rsid w:val="61891CD9"/>
    <w:rsid w:val="61E03B18"/>
    <w:rsid w:val="61E20949"/>
    <w:rsid w:val="61FF39CE"/>
    <w:rsid w:val="624D0B19"/>
    <w:rsid w:val="6264349F"/>
    <w:rsid w:val="628F3915"/>
    <w:rsid w:val="62B5389A"/>
    <w:rsid w:val="638D4E26"/>
    <w:rsid w:val="63F03131"/>
    <w:rsid w:val="647B71F4"/>
    <w:rsid w:val="64E55908"/>
    <w:rsid w:val="64ED2B67"/>
    <w:rsid w:val="657468FE"/>
    <w:rsid w:val="65CC3419"/>
    <w:rsid w:val="6632657B"/>
    <w:rsid w:val="66A57EED"/>
    <w:rsid w:val="66B65FAB"/>
    <w:rsid w:val="674715B5"/>
    <w:rsid w:val="680B1872"/>
    <w:rsid w:val="684B59F0"/>
    <w:rsid w:val="68523522"/>
    <w:rsid w:val="693D34A5"/>
    <w:rsid w:val="69562AA3"/>
    <w:rsid w:val="696B6384"/>
    <w:rsid w:val="699D14E8"/>
    <w:rsid w:val="6A1A7E11"/>
    <w:rsid w:val="6A8244F2"/>
    <w:rsid w:val="6AB75A50"/>
    <w:rsid w:val="6AE17242"/>
    <w:rsid w:val="6C0D7820"/>
    <w:rsid w:val="6C413F96"/>
    <w:rsid w:val="6C4A591D"/>
    <w:rsid w:val="6D040273"/>
    <w:rsid w:val="6D803915"/>
    <w:rsid w:val="6E454B16"/>
    <w:rsid w:val="6E791155"/>
    <w:rsid w:val="6EBD27DE"/>
    <w:rsid w:val="6ED64600"/>
    <w:rsid w:val="6FB3099B"/>
    <w:rsid w:val="7006249D"/>
    <w:rsid w:val="71621F05"/>
    <w:rsid w:val="71FB2C72"/>
    <w:rsid w:val="72A76BA4"/>
    <w:rsid w:val="73106C56"/>
    <w:rsid w:val="73AB5FD2"/>
    <w:rsid w:val="745B2D85"/>
    <w:rsid w:val="74737187"/>
    <w:rsid w:val="74DF127F"/>
    <w:rsid w:val="752C576D"/>
    <w:rsid w:val="75CE25D8"/>
    <w:rsid w:val="75F8227C"/>
    <w:rsid w:val="76666A44"/>
    <w:rsid w:val="76C8710A"/>
    <w:rsid w:val="76E104BD"/>
    <w:rsid w:val="776960E4"/>
    <w:rsid w:val="776D6169"/>
    <w:rsid w:val="777F0E7A"/>
    <w:rsid w:val="77B13852"/>
    <w:rsid w:val="77EB6D27"/>
    <w:rsid w:val="77EE1CF2"/>
    <w:rsid w:val="78310583"/>
    <w:rsid w:val="78C1024B"/>
    <w:rsid w:val="790D3DD7"/>
    <w:rsid w:val="79385EE5"/>
    <w:rsid w:val="793C1E75"/>
    <w:rsid w:val="7940056C"/>
    <w:rsid w:val="7982690D"/>
    <w:rsid w:val="798346DE"/>
    <w:rsid w:val="79AF458E"/>
    <w:rsid w:val="79E42561"/>
    <w:rsid w:val="7A5B019D"/>
    <w:rsid w:val="7A983BE6"/>
    <w:rsid w:val="7AE604A8"/>
    <w:rsid w:val="7AEE220D"/>
    <w:rsid w:val="7B7C6845"/>
    <w:rsid w:val="7BE75B65"/>
    <w:rsid w:val="7BF6241B"/>
    <w:rsid w:val="7C063663"/>
    <w:rsid w:val="7C1B054B"/>
    <w:rsid w:val="7CE1111E"/>
    <w:rsid w:val="7DA074C1"/>
    <w:rsid w:val="7DAA2194"/>
    <w:rsid w:val="7DAF60B1"/>
    <w:rsid w:val="7E3B1E33"/>
    <w:rsid w:val="7E3D798C"/>
    <w:rsid w:val="7EAD4426"/>
    <w:rsid w:val="7F631714"/>
    <w:rsid w:val="7FC90C53"/>
    <w:rsid w:val="7FEB6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3">
    <w:name w:val="heading 1"/>
    <w:basedOn w:val="1"/>
    <w:next w:val="4"/>
    <w:link w:val="4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7"/>
    <w:link w:val="3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49"/>
    <w:qFormat/>
    <w:uiPriority w:val="9"/>
    <w:pPr>
      <w:keepNext/>
      <w:keepLines/>
      <w:spacing w:before="260" w:after="260" w:line="416" w:lineRule="auto"/>
      <w:jc w:val="left"/>
      <w:outlineLvl w:val="2"/>
    </w:pPr>
    <w:rPr>
      <w:bCs/>
      <w:szCs w:val="32"/>
    </w:rPr>
  </w:style>
  <w:style w:type="paragraph" w:styleId="8">
    <w:name w:val="heading 4"/>
    <w:basedOn w:val="1"/>
    <w:next w:val="1"/>
    <w:link w:val="50"/>
    <w:qFormat/>
    <w:uiPriority w:val="9"/>
    <w:pPr>
      <w:keepNext/>
      <w:keepLines/>
      <w:spacing w:before="280" w:after="290" w:line="376" w:lineRule="auto"/>
      <w:outlineLvl w:val="3"/>
    </w:pPr>
    <w:rPr>
      <w:rFonts w:ascii="Cambria" w:hAnsi="Cambria" w:eastAsia="宋体" w:cs="Times New Roman"/>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First Indent 2"/>
    <w:basedOn w:val="5"/>
    <w:link w:val="38"/>
    <w:unhideWhenUsed/>
    <w:qFormat/>
    <w:uiPriority w:val="0"/>
    <w:pPr>
      <w:ind w:firstLine="420"/>
    </w:pPr>
  </w:style>
  <w:style w:type="paragraph" w:styleId="5">
    <w:name w:val="Body Text Indent"/>
    <w:basedOn w:val="1"/>
    <w:link w:val="44"/>
    <w:unhideWhenUsed/>
    <w:qFormat/>
    <w:uiPriority w:val="99"/>
    <w:pPr>
      <w:spacing w:after="120"/>
      <w:ind w:left="420" w:leftChars="200"/>
    </w:pPr>
  </w:style>
  <w:style w:type="paragraph" w:styleId="7">
    <w:name w:val="No Spacing"/>
    <w:link w:val="35"/>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paragraph" w:styleId="9">
    <w:name w:val="toc 7"/>
    <w:basedOn w:val="1"/>
    <w:next w:val="1"/>
    <w:unhideWhenUsed/>
    <w:qFormat/>
    <w:uiPriority w:val="39"/>
    <w:pPr>
      <w:ind w:left="1680"/>
      <w:jc w:val="left"/>
    </w:pPr>
    <w:rPr>
      <w:rFonts w:cs="Calibri"/>
      <w:sz w:val="18"/>
      <w:szCs w:val="18"/>
    </w:rPr>
  </w:style>
  <w:style w:type="paragraph" w:styleId="10">
    <w:name w:val="Document Map"/>
    <w:basedOn w:val="1"/>
    <w:link w:val="55"/>
    <w:unhideWhenUsed/>
    <w:qFormat/>
    <w:uiPriority w:val="99"/>
    <w:rPr>
      <w:rFonts w:ascii="宋体" w:eastAsia="宋体"/>
      <w:sz w:val="18"/>
      <w:szCs w:val="18"/>
    </w:rPr>
  </w:style>
  <w:style w:type="paragraph" w:styleId="11">
    <w:name w:val="annotation text"/>
    <w:basedOn w:val="1"/>
    <w:link w:val="43"/>
    <w:unhideWhenUsed/>
    <w:qFormat/>
    <w:uiPriority w:val="99"/>
    <w:rPr>
      <w:sz w:val="20"/>
      <w:szCs w:val="20"/>
    </w:rPr>
  </w:style>
  <w:style w:type="paragraph" w:styleId="12">
    <w:name w:val="toc 5"/>
    <w:basedOn w:val="1"/>
    <w:next w:val="1"/>
    <w:unhideWhenUsed/>
    <w:qFormat/>
    <w:uiPriority w:val="39"/>
    <w:pPr>
      <w:ind w:left="1120"/>
      <w:jc w:val="left"/>
    </w:pPr>
    <w:rPr>
      <w:rFonts w:cs="Calibri"/>
      <w:sz w:val="18"/>
      <w:szCs w:val="18"/>
    </w:rPr>
  </w:style>
  <w:style w:type="paragraph" w:styleId="13">
    <w:name w:val="toc 3"/>
    <w:basedOn w:val="1"/>
    <w:next w:val="1"/>
    <w:unhideWhenUsed/>
    <w:qFormat/>
    <w:uiPriority w:val="39"/>
    <w:pPr>
      <w:ind w:left="560"/>
      <w:jc w:val="left"/>
    </w:pPr>
    <w:rPr>
      <w:rFonts w:cs="Calibri"/>
      <w:i/>
      <w:iCs/>
      <w:sz w:val="20"/>
      <w:szCs w:val="20"/>
    </w:rPr>
  </w:style>
  <w:style w:type="paragraph" w:styleId="14">
    <w:name w:val="Plain Text"/>
    <w:basedOn w:val="1"/>
    <w:qFormat/>
    <w:uiPriority w:val="0"/>
    <w:rPr>
      <w:rFonts w:hint="eastAsia" w:ascii="宋体" w:hAnsi="Courier New"/>
      <w:szCs w:val="20"/>
    </w:rPr>
  </w:style>
  <w:style w:type="paragraph" w:styleId="15">
    <w:name w:val="toc 8"/>
    <w:basedOn w:val="1"/>
    <w:next w:val="1"/>
    <w:unhideWhenUsed/>
    <w:qFormat/>
    <w:uiPriority w:val="39"/>
    <w:pPr>
      <w:ind w:left="1960"/>
      <w:jc w:val="left"/>
    </w:pPr>
    <w:rPr>
      <w:rFonts w:cs="Calibri"/>
      <w:sz w:val="18"/>
      <w:szCs w:val="18"/>
    </w:rPr>
  </w:style>
  <w:style w:type="paragraph" w:styleId="16">
    <w:name w:val="Balloon Text"/>
    <w:basedOn w:val="1"/>
    <w:link w:val="40"/>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szCs w:val="18"/>
    </w:rPr>
  </w:style>
  <w:style w:type="paragraph" w:styleId="18">
    <w:name w:val="header"/>
    <w:basedOn w:val="1"/>
    <w:link w:val="5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spacing w:before="120" w:after="120"/>
      <w:jc w:val="left"/>
    </w:pPr>
    <w:rPr>
      <w:rFonts w:cs="Calibri"/>
      <w:b/>
      <w:bCs/>
      <w:caps/>
      <w:sz w:val="20"/>
      <w:szCs w:val="20"/>
    </w:rPr>
  </w:style>
  <w:style w:type="paragraph" w:styleId="20">
    <w:name w:val="toc 4"/>
    <w:basedOn w:val="1"/>
    <w:next w:val="1"/>
    <w:unhideWhenUsed/>
    <w:qFormat/>
    <w:uiPriority w:val="39"/>
    <w:pPr>
      <w:ind w:left="840"/>
      <w:jc w:val="left"/>
    </w:pPr>
    <w:rPr>
      <w:rFonts w:cs="Calibri"/>
      <w:sz w:val="18"/>
      <w:szCs w:val="18"/>
    </w:rPr>
  </w:style>
  <w:style w:type="paragraph" w:styleId="21">
    <w:name w:val="toc 6"/>
    <w:basedOn w:val="1"/>
    <w:next w:val="1"/>
    <w:unhideWhenUsed/>
    <w:qFormat/>
    <w:uiPriority w:val="39"/>
    <w:pPr>
      <w:ind w:left="1400"/>
      <w:jc w:val="left"/>
    </w:pPr>
    <w:rPr>
      <w:rFonts w:cs="Calibri"/>
      <w:sz w:val="18"/>
      <w:szCs w:val="18"/>
    </w:rPr>
  </w:style>
  <w:style w:type="paragraph" w:styleId="22">
    <w:name w:val="toc 2"/>
    <w:basedOn w:val="1"/>
    <w:next w:val="1"/>
    <w:unhideWhenUsed/>
    <w:qFormat/>
    <w:uiPriority w:val="39"/>
    <w:pPr>
      <w:ind w:left="280"/>
      <w:jc w:val="left"/>
    </w:pPr>
    <w:rPr>
      <w:rFonts w:cs="Calibri"/>
      <w:smallCaps/>
      <w:sz w:val="20"/>
      <w:szCs w:val="20"/>
    </w:rPr>
  </w:style>
  <w:style w:type="paragraph" w:styleId="23">
    <w:name w:val="toc 9"/>
    <w:basedOn w:val="1"/>
    <w:next w:val="1"/>
    <w:unhideWhenUsed/>
    <w:qFormat/>
    <w:uiPriority w:val="39"/>
    <w:pPr>
      <w:ind w:left="2240"/>
      <w:jc w:val="left"/>
    </w:pPr>
    <w:rPr>
      <w:rFonts w:cs="Calibri"/>
      <w:sz w:val="18"/>
      <w:szCs w:val="18"/>
    </w:rPr>
  </w:style>
  <w:style w:type="paragraph" w:styleId="24">
    <w:name w:val="Title"/>
    <w:basedOn w:val="1"/>
    <w:qFormat/>
    <w:uiPriority w:val="10"/>
    <w:pPr>
      <w:spacing w:before="240" w:after="60"/>
      <w:jc w:val="center"/>
      <w:outlineLvl w:val="0"/>
    </w:pPr>
    <w:rPr>
      <w:rFonts w:ascii="Arial" w:hAnsi="Arial"/>
      <w:b/>
      <w:sz w:val="32"/>
    </w:rPr>
  </w:style>
  <w:style w:type="paragraph" w:styleId="25">
    <w:name w:val="annotation subject"/>
    <w:basedOn w:val="11"/>
    <w:next w:val="11"/>
    <w:link w:val="37"/>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paragraph" w:customStyle="1" w:styleId="31">
    <w:name w:val="闻政-正文一级标题"/>
    <w:basedOn w:val="2"/>
    <w:next w:val="32"/>
    <w:link w:val="33"/>
    <w:qFormat/>
    <w:uiPriority w:val="3"/>
    <w:pPr>
      <w:spacing w:before="120" w:after="60" w:line="500" w:lineRule="exact"/>
      <w:ind w:firstLine="0" w:firstLineChars="0"/>
      <w:outlineLvl w:val="0"/>
    </w:pPr>
    <w:rPr>
      <w:rFonts w:ascii="黑体" w:hAnsi="黑体" w:eastAsia="黑体" w:cs="Times New Roman"/>
      <w:kern w:val="0"/>
      <w:sz w:val="32"/>
    </w:rPr>
  </w:style>
  <w:style w:type="paragraph" w:customStyle="1" w:styleId="32">
    <w:name w:val="闻政-正文段落文字"/>
    <w:basedOn w:val="1"/>
    <w:link w:val="53"/>
    <w:qFormat/>
    <w:uiPriority w:val="3"/>
    <w:pPr>
      <w:spacing w:line="500" w:lineRule="exact"/>
      <w:ind w:firstLine="200"/>
    </w:pPr>
    <w:rPr>
      <w:rFonts w:ascii="Times New Roman" w:hAnsi="Times New Roman" w:cs="Times New Roman"/>
      <w:kern w:val="0"/>
      <w:szCs w:val="28"/>
    </w:rPr>
  </w:style>
  <w:style w:type="character" w:customStyle="1" w:styleId="33">
    <w:name w:val="闻政-正文一级标题 Char"/>
    <w:link w:val="31"/>
    <w:qFormat/>
    <w:uiPriority w:val="3"/>
    <w:rPr>
      <w:rFonts w:ascii="黑体" w:hAnsi="黑体" w:eastAsia="黑体" w:cs="Times New Roman"/>
      <w:bCs/>
      <w:sz w:val="32"/>
      <w:szCs w:val="32"/>
    </w:rPr>
  </w:style>
  <w:style w:type="paragraph" w:customStyle="1" w:styleId="34">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
    <w:name w:val="无间隔 字符"/>
    <w:link w:val="7"/>
    <w:qFormat/>
    <w:uiPriority w:val="1"/>
    <w:rPr>
      <w:rFonts w:eastAsia="仿宋_GB2312" w:cs="黑体"/>
      <w:kern w:val="2"/>
      <w:sz w:val="28"/>
      <w:szCs w:val="22"/>
      <w:lang w:val="en-US" w:eastAsia="zh-CN" w:bidi="ar-SA"/>
    </w:rPr>
  </w:style>
  <w:style w:type="character" w:customStyle="1" w:styleId="36">
    <w:name w:val="明显参考1"/>
    <w:qFormat/>
    <w:uiPriority w:val="0"/>
    <w:rPr>
      <w:b/>
      <w:bCs/>
      <w:smallCaps/>
      <w:color w:val="C0504D"/>
      <w:spacing w:val="5"/>
      <w:u w:val="single"/>
    </w:rPr>
  </w:style>
  <w:style w:type="character" w:customStyle="1" w:styleId="37">
    <w:name w:val="批注主题 字符"/>
    <w:link w:val="25"/>
    <w:semiHidden/>
    <w:qFormat/>
    <w:uiPriority w:val="99"/>
    <w:rPr>
      <w:rFonts w:ascii="Calibri" w:hAnsi="Calibri" w:eastAsia="仿宋_GB2312" w:cs="黑体"/>
      <w:b/>
      <w:bCs/>
      <w:sz w:val="20"/>
      <w:szCs w:val="20"/>
    </w:rPr>
  </w:style>
  <w:style w:type="character" w:customStyle="1" w:styleId="38">
    <w:name w:val="正文文本首行缩进 2 字符"/>
    <w:link w:val="4"/>
    <w:qFormat/>
    <w:uiPriority w:val="0"/>
    <w:rPr>
      <w:rFonts w:ascii="Calibri" w:hAnsi="Calibri" w:eastAsia="仿宋_GB2312" w:cs="黑体"/>
      <w:sz w:val="28"/>
    </w:rPr>
  </w:style>
  <w:style w:type="character" w:customStyle="1" w:styleId="39">
    <w:name w:val="标题 2 字符"/>
    <w:link w:val="6"/>
    <w:qFormat/>
    <w:uiPriority w:val="0"/>
    <w:rPr>
      <w:rFonts w:ascii="Cambria" w:hAnsi="Cambria" w:eastAsia="仿宋_GB2312" w:cs="Times New Roman"/>
      <w:b/>
      <w:bCs/>
      <w:kern w:val="0"/>
      <w:sz w:val="30"/>
      <w:szCs w:val="32"/>
    </w:rPr>
  </w:style>
  <w:style w:type="character" w:customStyle="1" w:styleId="40">
    <w:name w:val="批注框文本 字符"/>
    <w:link w:val="16"/>
    <w:semiHidden/>
    <w:qFormat/>
    <w:uiPriority w:val="99"/>
    <w:rPr>
      <w:rFonts w:ascii="Calibri" w:hAnsi="Calibri" w:eastAsia="仿宋_GB2312" w:cs="黑体"/>
      <w:sz w:val="18"/>
      <w:szCs w:val="18"/>
    </w:rPr>
  </w:style>
  <w:style w:type="character" w:customStyle="1" w:styleId="41">
    <w:name w:val="标题 1 字符"/>
    <w:link w:val="3"/>
    <w:qFormat/>
    <w:uiPriority w:val="9"/>
    <w:rPr>
      <w:rFonts w:ascii="Times New Roman" w:hAnsi="Times New Roman" w:eastAsia="仿宋_GB2312" w:cs="Times New Roman"/>
      <w:b/>
      <w:bCs/>
      <w:kern w:val="44"/>
      <w:sz w:val="32"/>
      <w:szCs w:val="44"/>
    </w:rPr>
  </w:style>
  <w:style w:type="character" w:customStyle="1" w:styleId="42">
    <w:name w:val="页脚 字符"/>
    <w:link w:val="17"/>
    <w:qFormat/>
    <w:uiPriority w:val="99"/>
    <w:rPr>
      <w:rFonts w:ascii="Calibri" w:hAnsi="Calibri" w:eastAsia="仿宋_GB2312" w:cs="黑体"/>
      <w:sz w:val="18"/>
      <w:szCs w:val="18"/>
    </w:rPr>
  </w:style>
  <w:style w:type="character" w:customStyle="1" w:styleId="43">
    <w:name w:val="批注文字 字符"/>
    <w:link w:val="11"/>
    <w:semiHidden/>
    <w:qFormat/>
    <w:uiPriority w:val="99"/>
    <w:rPr>
      <w:rFonts w:ascii="Calibri" w:hAnsi="Calibri" w:eastAsia="仿宋_GB2312" w:cs="黑体"/>
      <w:sz w:val="20"/>
      <w:szCs w:val="20"/>
    </w:rPr>
  </w:style>
  <w:style w:type="character" w:customStyle="1" w:styleId="44">
    <w:name w:val="正文文本缩进 字符"/>
    <w:link w:val="5"/>
    <w:semiHidden/>
    <w:qFormat/>
    <w:uiPriority w:val="99"/>
    <w:rPr>
      <w:rFonts w:ascii="Calibri" w:hAnsi="Calibri" w:eastAsia="仿宋_GB2312" w:cs="黑体"/>
      <w:sz w:val="28"/>
    </w:rPr>
  </w:style>
  <w:style w:type="character" w:customStyle="1" w:styleId="45">
    <w:name w:val="闻政-正文三级标题 Char"/>
    <w:link w:val="46"/>
    <w:qFormat/>
    <w:uiPriority w:val="3"/>
    <w:rPr>
      <w:rFonts w:ascii="Times New Roman" w:hAnsi="Times New Roman" w:eastAsia="仿宋_GB2312" w:cs="Times New Roman"/>
      <w:b/>
      <w:snapToGrid/>
      <w:sz w:val="28"/>
      <w:szCs w:val="28"/>
    </w:rPr>
  </w:style>
  <w:style w:type="paragraph" w:customStyle="1" w:styleId="46">
    <w:name w:val="闻政-正文三级标题"/>
    <w:basedOn w:val="1"/>
    <w:next w:val="32"/>
    <w:link w:val="45"/>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47">
    <w:name w:val="闻政-正文四级标题 Char"/>
    <w:link w:val="48"/>
    <w:qFormat/>
    <w:uiPriority w:val="3"/>
    <w:rPr>
      <w:rFonts w:ascii="Times New Roman" w:hAnsi="Times New Roman" w:eastAsia="仿宋_GB2312" w:cs="Times New Roman"/>
      <w:snapToGrid/>
      <w:sz w:val="28"/>
      <w:szCs w:val="28"/>
    </w:rPr>
  </w:style>
  <w:style w:type="paragraph" w:customStyle="1" w:styleId="48">
    <w:name w:val="闻政-正文四级标题"/>
    <w:basedOn w:val="46"/>
    <w:next w:val="32"/>
    <w:link w:val="47"/>
    <w:qFormat/>
    <w:uiPriority w:val="3"/>
    <w:rPr>
      <w:b w:val="0"/>
    </w:rPr>
  </w:style>
  <w:style w:type="character" w:customStyle="1" w:styleId="49">
    <w:name w:val="标题 3 字符"/>
    <w:link w:val="2"/>
    <w:qFormat/>
    <w:uiPriority w:val="9"/>
    <w:rPr>
      <w:rFonts w:ascii="Calibri" w:hAnsi="Calibri" w:eastAsia="仿宋_GB2312" w:cs="黑体"/>
      <w:bCs/>
      <w:sz w:val="28"/>
      <w:szCs w:val="32"/>
    </w:rPr>
  </w:style>
  <w:style w:type="character" w:customStyle="1" w:styleId="50">
    <w:name w:val="标题 4 字符"/>
    <w:link w:val="8"/>
    <w:semiHidden/>
    <w:qFormat/>
    <w:uiPriority w:val="9"/>
    <w:rPr>
      <w:rFonts w:ascii="Cambria" w:hAnsi="Cambria" w:eastAsia="宋体" w:cs="Times New Roman"/>
      <w:b/>
      <w:bCs/>
      <w:sz w:val="28"/>
      <w:szCs w:val="28"/>
    </w:rPr>
  </w:style>
  <w:style w:type="character" w:customStyle="1" w:styleId="51">
    <w:name w:val="闻政-正文二级标题 Char"/>
    <w:link w:val="52"/>
    <w:qFormat/>
    <w:uiPriority w:val="3"/>
    <w:rPr>
      <w:rFonts w:ascii="Times New Roman" w:hAnsi="Times New Roman" w:eastAsia="仿宋_GB2312" w:cs="Times New Roman"/>
      <w:b/>
      <w:bCs/>
      <w:sz w:val="28"/>
      <w:szCs w:val="32"/>
    </w:rPr>
  </w:style>
  <w:style w:type="paragraph" w:customStyle="1" w:styleId="52">
    <w:name w:val="闻政-正文二级标题"/>
    <w:basedOn w:val="6"/>
    <w:next w:val="32"/>
    <w:link w:val="51"/>
    <w:qFormat/>
    <w:uiPriority w:val="3"/>
    <w:pPr>
      <w:spacing w:before="120" w:after="60" w:line="500" w:lineRule="exact"/>
      <w:ind w:left="200" w:leftChars="200" w:firstLine="0" w:firstLineChars="0"/>
    </w:pPr>
    <w:rPr>
      <w:rFonts w:ascii="Times New Roman" w:hAnsi="Times New Roman"/>
      <w:sz w:val="28"/>
    </w:rPr>
  </w:style>
  <w:style w:type="character" w:customStyle="1" w:styleId="53">
    <w:name w:val="闻政-正文段落文字 Char"/>
    <w:link w:val="32"/>
    <w:qFormat/>
    <w:uiPriority w:val="3"/>
    <w:rPr>
      <w:rFonts w:ascii="Times New Roman" w:hAnsi="Times New Roman" w:eastAsia="仿宋_GB2312" w:cs="Times New Roman"/>
      <w:sz w:val="28"/>
      <w:szCs w:val="28"/>
    </w:rPr>
  </w:style>
  <w:style w:type="character" w:customStyle="1" w:styleId="54">
    <w:name w:val="页眉 字符"/>
    <w:link w:val="18"/>
    <w:qFormat/>
    <w:uiPriority w:val="99"/>
    <w:rPr>
      <w:rFonts w:ascii="Calibri" w:hAnsi="Calibri" w:eastAsia="仿宋_GB2312" w:cs="黑体"/>
      <w:sz w:val="18"/>
      <w:szCs w:val="18"/>
    </w:rPr>
  </w:style>
  <w:style w:type="character" w:customStyle="1" w:styleId="55">
    <w:name w:val="文档结构图 字符"/>
    <w:link w:val="10"/>
    <w:semiHidden/>
    <w:qFormat/>
    <w:uiPriority w:val="99"/>
    <w:rPr>
      <w:rFonts w:ascii="宋体" w:hAnsi="Calibri" w:eastAsia="宋体" w:cs="黑体"/>
      <w:sz w:val="18"/>
      <w:szCs w:val="18"/>
    </w:rPr>
  </w:style>
  <w:style w:type="paragraph" w:styleId="56">
    <w:name w:val="List Paragraph"/>
    <w:basedOn w:val="1"/>
    <w:qFormat/>
    <w:uiPriority w:val="34"/>
    <w:pPr>
      <w:ind w:firstLine="420"/>
    </w:pPr>
  </w:style>
  <w:style w:type="paragraph" w:customStyle="1" w:styleId="57">
    <w:name w:val="闻政表"/>
    <w:basedOn w:val="1"/>
    <w:qFormat/>
    <w:uiPriority w:val="99"/>
    <w:pPr>
      <w:spacing w:before="60" w:after="60"/>
      <w:jc w:val="center"/>
    </w:pPr>
    <w:rPr>
      <w:rFonts w:ascii="Times New Roman" w:hAnsi="Times New Roman"/>
      <w:b/>
      <w:sz w:val="24"/>
      <w:szCs w:val="28"/>
    </w:rPr>
  </w:style>
  <w:style w:type="paragraph" w:customStyle="1" w:styleId="58">
    <w:name w:val="WPSOffice手动目录 1"/>
    <w:qFormat/>
    <w:uiPriority w:val="0"/>
    <w:rPr>
      <w:rFonts w:ascii="Times New Roman" w:hAnsi="Times New Roman" w:eastAsia="宋体" w:cs="Times New Roman"/>
      <w:lang w:val="en-US" w:eastAsia="zh-CN" w:bidi="ar-SA"/>
    </w:rPr>
  </w:style>
  <w:style w:type="paragraph" w:customStyle="1" w:styleId="5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BA5C9-CD2E-4421-891E-71FCDB8FE8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2326</Words>
  <Characters>13262</Characters>
  <Lines>110</Lines>
  <Paragraphs>31</Paragraphs>
  <TotalTime>0</TotalTime>
  <ScaleCrop>false</ScaleCrop>
  <LinksUpToDate>false</LinksUpToDate>
  <CharactersWithSpaces>15557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2022-01-30T02:31:00Z</dcterms:created>
  <dc:creator>User</dc:creator>
  <cp:lastModifiedBy>Lenovo</cp:lastModifiedBy>
  <cp:lastPrinted>2022-01-30T02:30:00Z</cp:lastPrinted>
  <dcterms:modified xsi:type="dcterms:W3CDTF">2024-06-27T03:23:18Z</dcterms:modified>
  <dc:title>项目支出绩效评价报告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