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ind w:left="0" w:leftChars="0" w:firstLine="0" w:firstLineChars="0"/>
        <w:jc w:val="center"/>
        <w:rPr>
          <w:rFonts w:ascii="仿宋_GB2312" w:hAnsi="Arial"/>
          <w:b/>
          <w:color w:val="auto"/>
          <w:szCs w:val="44"/>
          <w:highlight w:val="none"/>
        </w:rPr>
      </w:pPr>
      <w:bookmarkStart w:id="0" w:name="_Toc4267"/>
      <w:bookmarkStart w:id="1" w:name="_Toc10470"/>
      <w:bookmarkStart w:id="219" w:name="_GoBack"/>
      <w:r>
        <w:rPr>
          <w:rFonts w:hint="eastAsia"/>
          <w:b/>
          <w:bCs/>
          <w:color w:val="auto"/>
          <w:sz w:val="44"/>
          <w:szCs w:val="44"/>
          <w:highlight w:val="none"/>
          <w:lang w:val="en-US" w:eastAsia="zh-CN"/>
        </w:rPr>
        <w:t>部门单位</w:t>
      </w:r>
      <w:r>
        <w:rPr>
          <w:rFonts w:hint="eastAsia"/>
          <w:b/>
          <w:bCs/>
          <w:color w:val="auto"/>
          <w:sz w:val="44"/>
          <w:szCs w:val="44"/>
          <w:highlight w:val="none"/>
        </w:rPr>
        <w:t>项目支出绩效评价报告</w:t>
      </w:r>
      <w:bookmarkEnd w:id="0"/>
      <w:bookmarkEnd w:id="1"/>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hint="eastAsia" w:ascii="仿宋" w:hAnsi="仿宋" w:eastAsia="仿宋" w:cs="仿宋"/>
          <w:b/>
          <w:color w:val="auto"/>
          <w:kern w:val="0"/>
          <w:sz w:val="28"/>
          <w:szCs w:val="28"/>
          <w:highlight w:val="none"/>
          <w:lang w:val="en-US" w:eastAsia="zh-CN" w:bidi="en-US"/>
        </w:rPr>
      </w:pPr>
      <w:r>
        <w:rPr>
          <w:rFonts w:hint="eastAsia" w:ascii="仿宋" w:hAnsi="仿宋" w:eastAsia="仿宋" w:cs="仿宋"/>
          <w:b/>
          <w:color w:val="auto"/>
          <w:kern w:val="0"/>
          <w:sz w:val="28"/>
          <w:szCs w:val="28"/>
          <w:highlight w:val="none"/>
          <w:lang w:eastAsia="zh-CN" w:bidi="en-US"/>
        </w:rPr>
        <w:t>（</w:t>
      </w:r>
      <w:r>
        <w:rPr>
          <w:rFonts w:hint="eastAsia" w:ascii="仿宋" w:hAnsi="仿宋" w:eastAsia="仿宋" w:cs="仿宋"/>
          <w:b/>
          <w:color w:val="auto"/>
          <w:kern w:val="0"/>
          <w:sz w:val="28"/>
          <w:szCs w:val="28"/>
          <w:highlight w:val="none"/>
          <w:lang w:val="en-US" w:eastAsia="zh-CN" w:bidi="en-US"/>
        </w:rPr>
        <w:t>2023年度）</w:t>
      </w: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left="2532" w:leftChars="300" w:hanging="1692" w:hangingChars="529"/>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项目名称：</w:t>
      </w:r>
      <w:r>
        <w:rPr>
          <w:rFonts w:hint="eastAsia" w:ascii="仿宋_GB2312" w:hAnsi="Times New Roman" w:cs="Times New Roman"/>
          <w:color w:val="auto"/>
          <w:kern w:val="0"/>
          <w:sz w:val="32"/>
          <w:szCs w:val="32"/>
          <w:highlight w:val="none"/>
          <w:lang w:eastAsia="zh-CN" w:bidi="en-US"/>
        </w:rPr>
        <w:t>农机购置补贴项目</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项目单位：</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主管部门：</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项目负责人：</w:t>
      </w:r>
      <w:r>
        <w:rPr>
          <w:rFonts w:hint="eastAsia" w:ascii="仿宋_GB2312" w:hAnsi="Times New Roman" w:cs="Times New Roman"/>
          <w:color w:val="auto"/>
          <w:kern w:val="0"/>
          <w:sz w:val="32"/>
          <w:szCs w:val="32"/>
          <w:highlight w:val="none"/>
          <w:lang w:eastAsia="zh-CN" w:bidi="en-US"/>
        </w:rPr>
        <w:t>苑贵宝</w:t>
      </w:r>
    </w:p>
    <w:p>
      <w:pPr>
        <w:spacing w:line="480" w:lineRule="auto"/>
        <w:ind w:left="2875" w:leftChars="300" w:hanging="2035" w:hangingChars="636"/>
        <w:jc w:val="left"/>
        <w:rPr>
          <w:rFonts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填报时间：202</w:t>
      </w:r>
      <w:r>
        <w:rPr>
          <w:rFonts w:hint="eastAsia" w:ascii="仿宋_GB2312" w:hAnsi="Times New Roman" w:cs="Times New Roman"/>
          <w:color w:val="auto"/>
          <w:kern w:val="0"/>
          <w:sz w:val="32"/>
          <w:szCs w:val="32"/>
          <w:highlight w:val="none"/>
          <w:lang w:val="en-US" w:eastAsia="zh-CN" w:bidi="en-US"/>
        </w:rPr>
        <w:t>3</w:t>
      </w:r>
      <w:r>
        <w:rPr>
          <w:rFonts w:hint="eastAsia" w:ascii="仿宋_GB2312" w:hAnsi="Times New Roman" w:cs="Times New Roman"/>
          <w:color w:val="auto"/>
          <w:kern w:val="0"/>
          <w:sz w:val="32"/>
          <w:szCs w:val="32"/>
          <w:highlight w:val="none"/>
          <w:lang w:bidi="en-US"/>
        </w:rPr>
        <w:t>年12月31日</w:t>
      </w:r>
    </w:p>
    <w:p>
      <w:pPr>
        <w:ind w:firstLine="0" w:firstLineChars="0"/>
        <w:rPr>
          <w:color w:val="auto"/>
          <w:szCs w:val="44"/>
          <w:highlight w:val="none"/>
        </w:rPr>
      </w:pPr>
      <w:r>
        <w:rPr>
          <w:rFonts w:hint="eastAsia" w:ascii="仿宋_GB2312" w:hAnsi="Times New Roman" w:cs="Times New Roman"/>
          <w:color w:val="auto"/>
          <w:kern w:val="0"/>
          <w:sz w:val="32"/>
          <w:szCs w:val="32"/>
          <w:highlight w:val="none"/>
          <w:lang w:bidi="en-US"/>
        </w:rPr>
        <w:br w:type="page"/>
      </w:r>
    </w:p>
    <w:p>
      <w:pPr>
        <w:pStyle w:val="19"/>
        <w:tabs>
          <w:tab w:val="right" w:leader="dot" w:pos="8296"/>
        </w:tabs>
        <w:ind w:firstLine="723"/>
        <w:jc w:val="center"/>
        <w:rPr>
          <w:rFonts w:ascii="黑体" w:hAnsi="黑体" w:eastAsia="黑体" w:cs="黑体"/>
          <w:color w:val="auto"/>
          <w:sz w:val="36"/>
          <w:szCs w:val="36"/>
          <w:highlight w:val="none"/>
        </w:rPr>
      </w:pPr>
      <w:bookmarkStart w:id="2" w:name="_Toc22132_WPSOffice_Level1"/>
      <w:bookmarkStart w:id="3" w:name="_Toc17858_WPSOffice_Level1"/>
      <w:r>
        <w:rPr>
          <w:rFonts w:hint="eastAsia" w:ascii="黑体" w:hAnsi="黑体" w:eastAsia="黑体" w:cs="黑体"/>
          <w:color w:val="auto"/>
          <w:sz w:val="36"/>
          <w:szCs w:val="36"/>
          <w:highlight w:val="none"/>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TOC \o "1-2" \h \z \u </w:instrText>
      </w:r>
      <w:r>
        <w:rPr>
          <w:color w:val="auto"/>
          <w:highlight w:val="none"/>
        </w:rPr>
        <w:fldChar w:fldCharType="separate"/>
      </w:r>
      <w:r>
        <w:rPr>
          <w:color w:val="auto"/>
          <w:highlight w:val="none"/>
        </w:rPr>
        <w:fldChar w:fldCharType="begin"/>
      </w:r>
      <w:r>
        <w:rPr>
          <w:color w:val="auto"/>
          <w:highlight w:val="none"/>
        </w:rPr>
        <w:instrText xml:space="preserve"> HYPERLINK \l "_Toc127054583" </w:instrText>
      </w:r>
      <w:r>
        <w:rPr>
          <w:color w:val="auto"/>
          <w:highlight w:val="none"/>
        </w:rPr>
        <w:fldChar w:fldCharType="separate"/>
      </w:r>
      <w:r>
        <w:rPr>
          <w:rStyle w:val="29"/>
          <w:color w:val="auto"/>
          <w:sz w:val="30"/>
          <w:szCs w:val="30"/>
          <w:highlight w:val="none"/>
        </w:rPr>
        <w:t>一、基本情况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_Toc127054583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"_Toc127054584" </w:instrText>
      </w:r>
      <w:r>
        <w:rPr>
          <w:color w:val="auto"/>
          <w:highlight w:val="none"/>
        </w:rPr>
        <w:fldChar w:fldCharType="separate"/>
      </w:r>
      <w:r>
        <w:rPr>
          <w:rStyle w:val="29"/>
          <w:color w:val="auto"/>
          <w:sz w:val="30"/>
          <w:szCs w:val="30"/>
          <w:highlight w:val="none"/>
        </w:rPr>
        <w:t>（一）项目概况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_Toc127054584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"_Toc127054585" </w:instrText>
      </w:r>
      <w:r>
        <w:rPr>
          <w:color w:val="auto"/>
          <w:highlight w:val="none"/>
        </w:rPr>
        <w:fldChar w:fldCharType="separate"/>
      </w:r>
      <w:r>
        <w:rPr>
          <w:rStyle w:val="29"/>
          <w:color w:val="auto"/>
          <w:sz w:val="30"/>
          <w:szCs w:val="30"/>
          <w:highlight w:val="none"/>
        </w:rPr>
        <w:t>（二）项目绩效目标</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_Toc127054585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"_Toc127054586" </w:instrText>
      </w:r>
      <w:r>
        <w:rPr>
          <w:color w:val="auto"/>
          <w:highlight w:val="none"/>
        </w:rPr>
        <w:fldChar w:fldCharType="separate"/>
      </w:r>
      <w:r>
        <w:rPr>
          <w:rStyle w:val="29"/>
          <w:color w:val="auto"/>
          <w:sz w:val="30"/>
          <w:szCs w:val="30"/>
          <w:highlight w:val="none"/>
        </w:rPr>
        <w:t>二、绩效评价工作开展情况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_Toc127054586 \h </w:instrText>
      </w:r>
      <w:r>
        <w:rPr>
          <w:color w:val="auto"/>
          <w:sz w:val="30"/>
          <w:szCs w:val="30"/>
          <w:highlight w:val="none"/>
        </w:rPr>
        <w:fldChar w:fldCharType="separate"/>
      </w:r>
      <w:r>
        <w:rPr>
          <w:color w:val="auto"/>
          <w:sz w:val="30"/>
          <w:szCs w:val="30"/>
          <w:highlight w:val="none"/>
        </w:rPr>
        <w:t>- 5 -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"_Toc127054587" </w:instrText>
      </w:r>
      <w:r>
        <w:rPr>
          <w:color w:val="auto"/>
          <w:highlight w:val="none"/>
        </w:rPr>
        <w:fldChar w:fldCharType="separate"/>
      </w:r>
      <w:r>
        <w:rPr>
          <w:rStyle w:val="29"/>
          <w:rFonts w:ascii="仿宋_GB2312" w:hAnsi="仿宋_GB2312" w:cs="仿宋_GB2312"/>
          <w:color w:val="auto"/>
          <w:sz w:val="30"/>
          <w:szCs w:val="30"/>
          <w:highlight w:val="none"/>
        </w:rPr>
        <w:t>（一）绩效评价目的、对象和范围</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_Toc127054587 \h </w:instrText>
      </w:r>
      <w:r>
        <w:rPr>
          <w:color w:val="auto"/>
          <w:sz w:val="30"/>
          <w:szCs w:val="30"/>
          <w:highlight w:val="none"/>
        </w:rPr>
        <w:fldChar w:fldCharType="separate"/>
      </w:r>
      <w:r>
        <w:rPr>
          <w:color w:val="auto"/>
          <w:sz w:val="30"/>
          <w:szCs w:val="30"/>
          <w:highlight w:val="none"/>
        </w:rPr>
        <w:t>- 5 -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"_Toc127054588" </w:instrText>
      </w:r>
      <w:r>
        <w:rPr>
          <w:color w:val="auto"/>
          <w:highlight w:val="none"/>
        </w:rPr>
        <w:fldChar w:fldCharType="separate"/>
      </w:r>
      <w:r>
        <w:rPr>
          <w:rStyle w:val="29"/>
          <w:rFonts w:ascii="仿宋_GB2312" w:hAnsi="仿宋_GB2312" w:cs="仿宋_GB2312"/>
          <w:color w:val="auto"/>
          <w:sz w:val="30"/>
          <w:szCs w:val="30"/>
          <w:highlight w:val="none"/>
        </w:rPr>
        <w:t>（二）绩效评价原则、评价指标体系、评价方法评价标准</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_Toc127054588 \h </w:instrText>
      </w:r>
      <w:r>
        <w:rPr>
          <w:color w:val="auto"/>
          <w:sz w:val="30"/>
          <w:szCs w:val="30"/>
          <w:highlight w:val="none"/>
        </w:rPr>
        <w:fldChar w:fldCharType="separate"/>
      </w:r>
      <w:r>
        <w:rPr>
          <w:color w:val="auto"/>
          <w:sz w:val="30"/>
          <w:szCs w:val="30"/>
          <w:highlight w:val="none"/>
        </w:rPr>
        <w:t>- 7 -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"_Toc127054589" </w:instrText>
      </w:r>
      <w:r>
        <w:rPr>
          <w:color w:val="auto"/>
          <w:highlight w:val="none"/>
        </w:rPr>
        <w:fldChar w:fldCharType="separate"/>
      </w:r>
      <w:r>
        <w:rPr>
          <w:rStyle w:val="29"/>
          <w:rFonts w:ascii="仿宋_GB2312" w:hAnsi="仿宋_GB2312" w:cs="仿宋_GB2312"/>
          <w:color w:val="auto"/>
          <w:sz w:val="30"/>
          <w:szCs w:val="30"/>
          <w:highlight w:val="none"/>
        </w:rPr>
        <w:t>（三）绩效评价工作过程</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_Toc127054589 \h </w:instrText>
      </w:r>
      <w:r>
        <w:rPr>
          <w:color w:val="auto"/>
          <w:sz w:val="30"/>
          <w:szCs w:val="30"/>
          <w:highlight w:val="none"/>
        </w:rPr>
        <w:fldChar w:fldCharType="separate"/>
      </w:r>
      <w:r>
        <w:rPr>
          <w:color w:val="auto"/>
          <w:sz w:val="30"/>
          <w:szCs w:val="30"/>
          <w:highlight w:val="none"/>
        </w:rPr>
        <w:t>- 10 -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"_Toc127054590" </w:instrText>
      </w:r>
      <w:r>
        <w:rPr>
          <w:color w:val="auto"/>
          <w:highlight w:val="none"/>
        </w:rPr>
        <w:fldChar w:fldCharType="separate"/>
      </w:r>
      <w:r>
        <w:rPr>
          <w:rStyle w:val="29"/>
          <w:color w:val="auto"/>
          <w:sz w:val="30"/>
          <w:szCs w:val="30"/>
          <w:highlight w:val="none"/>
        </w:rPr>
        <w:t>三、综合评价情况及评价结论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_Toc127054590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"_Toc127054591" </w:instrText>
      </w:r>
      <w:r>
        <w:rPr>
          <w:color w:val="auto"/>
          <w:highlight w:val="none"/>
        </w:rPr>
        <w:fldChar w:fldCharType="separate"/>
      </w:r>
      <w:r>
        <w:rPr>
          <w:rStyle w:val="29"/>
          <w:color w:val="auto"/>
          <w:sz w:val="30"/>
          <w:szCs w:val="30"/>
          <w:highlight w:val="none"/>
        </w:rPr>
        <w:t>（一）综合评价情况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_Toc127054591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"_Toc127054592" </w:instrText>
      </w:r>
      <w:r>
        <w:rPr>
          <w:color w:val="auto"/>
          <w:highlight w:val="none"/>
        </w:rPr>
        <w:fldChar w:fldCharType="separate"/>
      </w:r>
      <w:r>
        <w:rPr>
          <w:rStyle w:val="29"/>
          <w:color w:val="auto"/>
          <w:sz w:val="30"/>
          <w:szCs w:val="30"/>
          <w:highlight w:val="none"/>
        </w:rPr>
        <w:t>（二）综合评价结论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_Toc127054592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"_Toc127054593" </w:instrText>
      </w:r>
      <w:r>
        <w:rPr>
          <w:color w:val="auto"/>
          <w:highlight w:val="none"/>
        </w:rPr>
        <w:fldChar w:fldCharType="separate"/>
      </w:r>
      <w:r>
        <w:rPr>
          <w:rStyle w:val="29"/>
          <w:color w:val="auto"/>
          <w:sz w:val="30"/>
          <w:szCs w:val="30"/>
          <w:highlight w:val="none"/>
        </w:rPr>
        <w:t>四、绩效评价指标分析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_Toc127054593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"_Toc127054594" </w:instrText>
      </w:r>
      <w:r>
        <w:rPr>
          <w:color w:val="auto"/>
          <w:highlight w:val="none"/>
        </w:rPr>
        <w:fldChar w:fldCharType="separate"/>
      </w:r>
      <w:r>
        <w:rPr>
          <w:rStyle w:val="29"/>
          <w:rFonts w:ascii="仿宋_GB2312" w:hAnsi="仿宋_GB2312" w:cs="仿宋_GB2312"/>
          <w:color w:val="auto"/>
          <w:sz w:val="30"/>
          <w:szCs w:val="30"/>
          <w:highlight w:val="none"/>
        </w:rPr>
        <w:t>（一）项目决策情况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_Toc127054594 \h </w:instrText>
      </w:r>
      <w:r>
        <w:rPr>
          <w:color w:val="auto"/>
          <w:sz w:val="30"/>
          <w:szCs w:val="30"/>
          <w:highlight w:val="none"/>
        </w:rPr>
        <w:fldChar w:fldCharType="separate"/>
      </w:r>
      <w:r>
        <w:rPr>
          <w:color w:val="auto"/>
          <w:sz w:val="30"/>
          <w:szCs w:val="30"/>
          <w:highlight w:val="none"/>
        </w:rPr>
        <w:t>- 14 -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"_Toc127054595" </w:instrText>
      </w:r>
      <w:r>
        <w:rPr>
          <w:color w:val="auto"/>
          <w:highlight w:val="none"/>
        </w:rPr>
        <w:fldChar w:fldCharType="separate"/>
      </w:r>
      <w:r>
        <w:rPr>
          <w:rStyle w:val="29"/>
          <w:rFonts w:ascii="仿宋_GB2312" w:hAnsi="仿宋_GB2312" w:cs="仿宋_GB2312"/>
          <w:color w:val="auto"/>
          <w:sz w:val="30"/>
          <w:szCs w:val="30"/>
          <w:highlight w:val="none"/>
        </w:rPr>
        <w:t>（二）项目过程情况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_Toc127054595 \h </w:instrText>
      </w:r>
      <w:r>
        <w:rPr>
          <w:color w:val="auto"/>
          <w:sz w:val="30"/>
          <w:szCs w:val="30"/>
          <w:highlight w:val="none"/>
        </w:rPr>
        <w:fldChar w:fldCharType="separate"/>
      </w:r>
      <w:r>
        <w:rPr>
          <w:color w:val="auto"/>
          <w:sz w:val="30"/>
          <w:szCs w:val="30"/>
          <w:highlight w:val="none"/>
        </w:rPr>
        <w:t>- 15 -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"_Toc127054596" </w:instrText>
      </w:r>
      <w:r>
        <w:rPr>
          <w:color w:val="auto"/>
          <w:highlight w:val="none"/>
        </w:rPr>
        <w:fldChar w:fldCharType="separate"/>
      </w:r>
      <w:r>
        <w:rPr>
          <w:rStyle w:val="29"/>
          <w:rFonts w:ascii="仿宋_GB2312" w:hAnsi="仿宋_GB2312" w:cs="仿宋_GB2312"/>
          <w:color w:val="auto"/>
          <w:sz w:val="30"/>
          <w:szCs w:val="30"/>
          <w:highlight w:val="none"/>
        </w:rPr>
        <w:t>（三）项目产出情况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_Toc127054596 \h </w:instrText>
      </w:r>
      <w:r>
        <w:rPr>
          <w:color w:val="auto"/>
          <w:sz w:val="30"/>
          <w:szCs w:val="30"/>
          <w:highlight w:val="none"/>
        </w:rPr>
        <w:fldChar w:fldCharType="separate"/>
      </w:r>
      <w:r>
        <w:rPr>
          <w:color w:val="auto"/>
          <w:sz w:val="30"/>
          <w:szCs w:val="30"/>
          <w:highlight w:val="none"/>
        </w:rPr>
        <w:t>- 17 -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"_Toc127054597" </w:instrText>
      </w:r>
      <w:r>
        <w:rPr>
          <w:color w:val="auto"/>
          <w:highlight w:val="none"/>
        </w:rPr>
        <w:fldChar w:fldCharType="separate"/>
      </w:r>
      <w:r>
        <w:rPr>
          <w:rStyle w:val="29"/>
          <w:rFonts w:ascii="仿宋_GB2312" w:hAnsi="仿宋_GB2312" w:cs="仿宋_GB2312"/>
          <w:color w:val="auto"/>
          <w:sz w:val="30"/>
          <w:szCs w:val="30"/>
          <w:highlight w:val="none"/>
        </w:rPr>
        <w:t>（四）项目效益情况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_Toc127054597 \h </w:instrText>
      </w:r>
      <w:r>
        <w:rPr>
          <w:color w:val="auto"/>
          <w:sz w:val="30"/>
          <w:szCs w:val="30"/>
          <w:highlight w:val="none"/>
        </w:rPr>
        <w:fldChar w:fldCharType="separate"/>
      </w:r>
      <w:r>
        <w:rPr>
          <w:color w:val="auto"/>
          <w:sz w:val="30"/>
          <w:szCs w:val="30"/>
          <w:highlight w:val="none"/>
        </w:rPr>
        <w:t>- 18 -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"_Toc127054598" </w:instrText>
      </w:r>
      <w:r>
        <w:rPr>
          <w:color w:val="auto"/>
          <w:highlight w:val="none"/>
        </w:rPr>
        <w:fldChar w:fldCharType="separate"/>
      </w:r>
      <w:r>
        <w:rPr>
          <w:rStyle w:val="29"/>
          <w:color w:val="auto"/>
          <w:sz w:val="30"/>
          <w:szCs w:val="30"/>
          <w:highlight w:val="none"/>
        </w:rPr>
        <w:t>五、预算执行进度与绩效指标偏差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_Toc127054598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"_Toc127054599" </w:instrText>
      </w:r>
      <w:r>
        <w:rPr>
          <w:color w:val="auto"/>
          <w:highlight w:val="none"/>
        </w:rPr>
        <w:fldChar w:fldCharType="separate"/>
      </w:r>
      <w:r>
        <w:rPr>
          <w:rStyle w:val="29"/>
          <w:color w:val="auto"/>
          <w:sz w:val="30"/>
          <w:szCs w:val="30"/>
          <w:highlight w:val="none"/>
        </w:rPr>
        <w:t>六、主要经验及做法、存在的问题及原因分析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_Toc127054599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"_Toc127054600" </w:instrText>
      </w:r>
      <w:r>
        <w:rPr>
          <w:color w:val="auto"/>
          <w:highlight w:val="none"/>
        </w:rPr>
        <w:fldChar w:fldCharType="separate"/>
      </w:r>
      <w:r>
        <w:rPr>
          <w:rStyle w:val="29"/>
          <w:rFonts w:ascii="仿宋_GB2312" w:hAnsi="仿宋_GB2312" w:cs="仿宋_GB2312"/>
          <w:color w:val="auto"/>
          <w:sz w:val="30"/>
          <w:szCs w:val="30"/>
          <w:highlight w:val="none"/>
        </w:rPr>
        <w:t>（一）主要经验及做法</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_Toc127054600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"_Toc127054601" </w:instrText>
      </w:r>
      <w:r>
        <w:rPr>
          <w:color w:val="auto"/>
          <w:highlight w:val="none"/>
        </w:rPr>
        <w:fldChar w:fldCharType="separate"/>
      </w:r>
      <w:r>
        <w:rPr>
          <w:rStyle w:val="29"/>
          <w:rFonts w:ascii="仿宋_GB2312" w:hAnsi="仿宋_GB2312" w:cs="仿宋_GB2312"/>
          <w:color w:val="auto"/>
          <w:sz w:val="30"/>
          <w:szCs w:val="30"/>
          <w:highlight w:val="none"/>
        </w:rPr>
        <w:t>（二）存在问题及原因分析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_Toc127054601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"_Toc127054602" </w:instrText>
      </w:r>
      <w:r>
        <w:rPr>
          <w:color w:val="auto"/>
          <w:highlight w:val="none"/>
        </w:rPr>
        <w:fldChar w:fldCharType="separate"/>
      </w:r>
      <w:r>
        <w:rPr>
          <w:rStyle w:val="29"/>
          <w:color w:val="auto"/>
          <w:sz w:val="30"/>
          <w:szCs w:val="30"/>
          <w:highlight w:val="none"/>
        </w:rPr>
        <w:t>七、有关建议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_Toc127054602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"_Toc127054603" </w:instrText>
      </w:r>
      <w:r>
        <w:rPr>
          <w:color w:val="auto"/>
          <w:highlight w:val="none"/>
        </w:rPr>
        <w:fldChar w:fldCharType="separate"/>
      </w:r>
      <w:r>
        <w:rPr>
          <w:rStyle w:val="29"/>
          <w:color w:val="auto"/>
          <w:sz w:val="30"/>
          <w:szCs w:val="30"/>
          <w:highlight w:val="none"/>
        </w:rPr>
        <w:t>八、其他需要说明的问题</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_Toc127054603 \h </w:instrText>
      </w:r>
      <w:r>
        <w:rPr>
          <w:color w:val="auto"/>
          <w:sz w:val="30"/>
          <w:szCs w:val="30"/>
          <w:highlight w:val="none"/>
        </w:rPr>
        <w:fldChar w:fldCharType="separate"/>
      </w:r>
      <w:r>
        <w:rPr>
          <w:color w:val="auto"/>
          <w:sz w:val="30"/>
          <w:szCs w:val="30"/>
          <w:highlight w:val="none"/>
        </w:rPr>
        <w:t>- 22 -</w:t>
      </w:r>
      <w:r>
        <w:rPr>
          <w:color w:val="auto"/>
          <w:sz w:val="30"/>
          <w:szCs w:val="30"/>
          <w:highlight w:val="none"/>
        </w:rPr>
        <w:fldChar w:fldCharType="end"/>
      </w:r>
      <w:r>
        <w:rPr>
          <w:color w:val="auto"/>
          <w:sz w:val="30"/>
          <w:szCs w:val="30"/>
          <w:highlight w:val="none"/>
        </w:rPr>
        <w:fldChar w:fldCharType="end"/>
      </w:r>
    </w:p>
    <w:p>
      <w:pPr>
        <w:pStyle w:val="31"/>
        <w:keepNext w:val="0"/>
        <w:keepLines w:val="0"/>
        <w:spacing w:line="520" w:lineRule="exact"/>
        <w:ind w:firstLine="640" w:firstLineChars="200"/>
        <w:jc w:val="both"/>
        <w:rPr>
          <w:color w:val="auto"/>
          <w:highlight w:val="none"/>
        </w:r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rPr>
          <w:color w:val="auto"/>
          <w:highlight w:val="none"/>
        </w:rPr>
        <w:fldChar w:fldCharType="end"/>
      </w:r>
      <w:bookmarkStart w:id="4" w:name="_Toc32254_WPSOffice_Level1"/>
      <w:bookmarkStart w:id="5" w:name="_Toc11547"/>
      <w:bookmarkStart w:id="6" w:name="_Toc127054583"/>
      <w:bookmarkStart w:id="7" w:name="_Toc14304"/>
      <w:bookmarkStart w:id="8" w:name="_Toc17118"/>
    </w:p>
    <w:p>
      <w:pPr>
        <w:pStyle w:val="31"/>
        <w:keepNext w:val="0"/>
        <w:keepLines w:val="0"/>
        <w:spacing w:line="520" w:lineRule="exact"/>
        <w:ind w:firstLine="640" w:firstLineChars="200"/>
        <w:jc w:val="both"/>
        <w:rPr>
          <w:color w:val="auto"/>
          <w:highlight w:val="none"/>
        </w:rPr>
      </w:pPr>
      <w:r>
        <w:rPr>
          <w:rFonts w:hint="eastAsia"/>
          <w:color w:val="auto"/>
          <w:highlight w:val="none"/>
        </w:rPr>
        <w:t>一、基本情况</w:t>
      </w:r>
      <w:bookmarkEnd w:id="2"/>
      <w:bookmarkEnd w:id="3"/>
      <w:bookmarkEnd w:id="4"/>
      <w:bookmarkEnd w:id="5"/>
      <w:bookmarkEnd w:id="6"/>
      <w:bookmarkEnd w:id="7"/>
      <w:bookmarkEnd w:id="8"/>
    </w:p>
    <w:p>
      <w:pPr>
        <w:pStyle w:val="52"/>
        <w:keepNext w:val="0"/>
        <w:keepLines w:val="0"/>
        <w:spacing w:line="520" w:lineRule="exact"/>
        <w:ind w:left="560"/>
        <w:jc w:val="both"/>
        <w:rPr>
          <w:color w:val="auto"/>
          <w:highlight w:val="none"/>
        </w:rPr>
      </w:pPr>
      <w:bookmarkStart w:id="9" w:name="_Toc6398"/>
      <w:bookmarkStart w:id="10" w:name="_Toc17504"/>
      <w:bookmarkStart w:id="11" w:name="_Toc12560_WPSOffice_Level2"/>
      <w:bookmarkStart w:id="12" w:name="_Toc24286"/>
      <w:bookmarkStart w:id="13" w:name="_Toc127054584"/>
      <w:bookmarkStart w:id="14" w:name="_Toc1545_WPSOffice_Level2"/>
      <w:bookmarkStart w:id="15" w:name="_Toc31410"/>
      <w:bookmarkStart w:id="16" w:name="_Toc17283"/>
      <w:bookmarkStart w:id="17" w:name="_Toc5769"/>
      <w:bookmarkStart w:id="18" w:name="_Toc32174_WPSOffice_Level2"/>
      <w:r>
        <w:rPr>
          <w:rFonts w:hint="eastAsia"/>
          <w:color w:val="auto"/>
          <w:highlight w:val="none"/>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1.项目背景</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农机购置补贴项目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color w:val="auto"/>
          <w:highlight w:val="none"/>
        </w:rPr>
        <w:t>使用的效率及效益。</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党中央“三农”工作决策部署和《国务院关于加快推进农业机械化和农机装备产业转型升级的指导意见》(国发〔2018〕42号)和农业农村部办公厅财政部办公厅《关于印发&lt;2021—2023年农机购置补贴实施指导意见&gt;的通知》(农办计财〔2021〕8号)等文件的精神指导，为进一步推进农业机械购置补贴政策规范、高效、廉洁实施，充分发挥政策引导作用，促进岳普湖县农机化全面快速发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岳普湖县立足自身情况，以满足本地农民对机械化生产的需要为目标，以稳定实施政策、最大限度发挥政策效益为主线，落实构建新发展格局要求，破除制约要素合理流动的堵点，进一步畅通农业机械化发展各个环节，支持引导农民购置使用先进适用的农业机械，引领推动农业机械化向全程全面高质高效转型升级，加快提升农业机械化产业链现代化水平，为实施乡村振兴战略、推进农业农村现代化提供坚实支撑。</w:t>
      </w:r>
    </w:p>
    <w:p>
      <w:pPr>
        <w:pStyle w:val="32"/>
        <w:spacing w:line="520" w:lineRule="exact"/>
        <w:rPr>
          <w:rFonts w:ascii="仿宋_GB2312" w:hAnsi="仿宋_GB2312" w:cs="仿宋_GB2312"/>
          <w:b/>
          <w:bCs/>
          <w:color w:val="auto"/>
          <w:highlight w:val="none"/>
        </w:rPr>
      </w:pPr>
      <w:r>
        <w:rPr>
          <w:rFonts w:hint="eastAsia" w:ascii="仿宋_GB2312" w:hAnsi="仿宋_GB2312" w:cs="仿宋_GB2312"/>
          <w:b/>
          <w:bCs/>
          <w:color w:val="auto"/>
          <w:highlight w:val="none"/>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eastAsia"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岳普湖县2023年农机购置补贴机具总数不少于1777台，农作物耕种收综合机械化率不低于90%，受益户数1119户。</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color w:val="auto"/>
          <w:highlight w:val="none"/>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苑贵宝</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color w:val="auto"/>
          <w:highlight w:val="none"/>
        </w:rPr>
        <w:t>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w:t>
      </w:r>
      <w:r>
        <w:rPr>
          <w:rFonts w:hint="eastAsia" w:ascii="仿宋_GB2312" w:hAnsi="仿宋_GB2312" w:cs="仿宋_GB2312"/>
          <w:color w:val="auto"/>
          <w:highlight w:val="none"/>
          <w:lang w:val="en-US" w:eastAsia="zh-CN"/>
        </w:rPr>
        <w:t>2023年1月-10月。</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该项目实施单位为</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2019年根据地委、行署批准的《岳普湖县机构改革方案》（喀党办字〔2019〕6号）和《关于印发&lt;岳普湖县机构改革方案实施意见&gt;的通知》（岳党办发〔2019〕15号）文件精神，岳普湖县将县委农村工作领导小组办公室、县农业局、县畜牧兽医局、县农牧机械局4个正科级单位及相关部门整合组建成立了岳普湖县农业农村局，并于2019年3月3日宣布成立。将县农业综合开发办公室、农牧机械管理局、农机安全监理站、农村经济经营管理局、种子管理站、农业技术推广中心、农产品检验检测中心、动物卫生监督所、畜牧兽医站承担的行政职能划归县农业农村局，县委农村工作领导小组办公室设在县农业农村局，接受县委农村工作领导小组的直接领导，承担县委农村工作领导小组具体工作。县农业农村局设有农业综合行政执法大队，农业综合服务中心、种业发展中心、农村合作经济发展中心、农业农村机械化发展中心、动物卫生服务站等6个参公机构，畜牧兽医站、良繁中心、农业产业发展中心、农业技术推广中心、农产品质量安全检测中心、人工影响天气服务站、瓜（菜）果产业发展中心、种苗培育服务中心、农牧机械推广站等9个事业机构。</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单位主要职能是：</w:t>
      </w:r>
      <w:r>
        <w:rPr>
          <w:rFonts w:hint="eastAsia" w:ascii="仿宋_GB2312" w:hAnsi="仿宋_GB2312" w:cs="仿宋_GB2312"/>
          <w:color w:val="auto"/>
          <w:highlight w:val="none"/>
          <w:lang w:eastAsia="zh-CN"/>
        </w:rPr>
        <w:t>（1）组织实施全县“三农”工作及畜牧兽医工作的发展战略、中长期规划、重大政策。（2）统筹推动发展农村社会事业、农村公共服务、农村文化、农村基础设施和乡村治理。（3）贯彻深化农村经济体制改革和巩固完善农村基本经营制度的政策。（4）指导乡村特色产业、农产品加工业、休闲农业和乡镇企业发展工作。（5）负责种植业、县国有农场、农业机械化等农业各产业的监督管理。（6）负责农产品质量安全监督管理，组织农业资源区划工作。（7）负责全县有关农业生产资料和农业投入品的监督管理。（8）负责农业防灾减灾、农作物重大病虫害防治工作。（9）负责农业投资管理。提出农业投融资体制机制改革建议。（10）承担农业科技体制改革和农业科技创新体系建设。（11）指导农业农村人才工作，牵头开展农业对外合作工作，负责组织实施畜牧兽医工作。（12）负责和监督动物疫病防治和疫情管理工作。（13）完成县委、县人民政府和县委农村工作领导小组交办的其他任务。</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实施主体编制情况：岳普湖县农业农村局编制内实有在职人员人数103人。其中：行政编制人员56人，行政工勤编制人员2人，事业编制人员45人。</w:t>
      </w:r>
    </w:p>
    <w:p>
      <w:pPr>
        <w:pStyle w:val="32"/>
        <w:spacing w:line="520" w:lineRule="exact"/>
        <w:ind w:firstLine="562"/>
        <w:rPr>
          <w:rFonts w:hint="eastAsia" w:ascii="仿宋_GB2312" w:hAnsi="仿宋_GB2312" w:eastAsia="仿宋_GB2312" w:cs="仿宋_GB2312"/>
          <w:b/>
          <w:bCs/>
          <w:color w:val="auto"/>
          <w:highlight w:val="none"/>
          <w:lang w:eastAsia="zh-CN"/>
        </w:rPr>
      </w:pPr>
      <w:r>
        <w:rPr>
          <w:rFonts w:hint="eastAsia" w:ascii="仿宋_GB2312" w:hAnsi="仿宋_GB2312" w:cs="仿宋_GB2312"/>
          <w:b/>
          <w:bCs/>
          <w:color w:val="auto"/>
          <w:highlight w:val="none"/>
          <w:lang w:eastAsia="zh-CN"/>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rPr>
        <w:t>《关于提前下达2023年中央农业生产发展资金（农机购置补贴）预算的通知》（喀地财农〔2022〕30号）</w:t>
      </w:r>
      <w:r>
        <w:rPr>
          <w:rFonts w:hint="eastAsia" w:ascii="仿宋_GB2312" w:hAnsi="仿宋_GB2312" w:cs="仿宋_GB2312"/>
          <w:color w:val="auto"/>
          <w:highlight w:val="none"/>
          <w:lang w:eastAsia="zh-CN"/>
        </w:rPr>
        <w:t>、《关于下达2023年自治区农机购置与应用补贴资金预算预算的通知》（喀地财农〔2023〕2号）、《关于下达2023年中央农业产业发展资金预算的通知》(喀地财农〔2023〕11号)、《关于下达2023年自治区农机购置与应用补贴资金预算的通知》（喀地财农〔2023〕21号）</w:t>
      </w:r>
      <w:r>
        <w:rPr>
          <w:rFonts w:hint="eastAsia" w:ascii="仿宋_GB2312" w:hAnsi="仿宋_GB2312" w:cs="仿宋_GB2312"/>
          <w:color w:val="auto"/>
          <w:highlight w:val="none"/>
        </w:rPr>
        <w:t>等文件，年初批复部门预算数</w:t>
      </w:r>
      <w:r>
        <w:rPr>
          <w:rFonts w:hint="eastAsia" w:ascii="仿宋_GB2312" w:hAnsi="仿宋_GB2312" w:cs="仿宋_GB2312"/>
          <w:color w:val="auto"/>
          <w:highlight w:val="none"/>
          <w:lang w:val="en-US" w:eastAsia="zh-CN"/>
        </w:rPr>
        <w:t>2266.00</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rPr>
        <w:t>万元，其他资金</w:t>
      </w:r>
      <w:r>
        <w:rPr>
          <w:rFonts w:hint="eastAsia" w:ascii="仿宋_GB2312" w:hAnsi="仿宋_GB2312" w:cs="仿宋_GB2312"/>
          <w:color w:val="auto"/>
          <w:highlight w:val="none"/>
        </w:rPr>
        <w:t>0.00</w:t>
      </w:r>
      <w:r>
        <w:rPr>
          <w:rFonts w:hint="eastAsia" w:ascii="仿宋_GB2312" w:hAnsi="仿宋_GB2312" w:cs="仿宋_GB2312"/>
          <w:color w:val="auto"/>
          <w:highlight w:val="none"/>
        </w:rPr>
        <w:t>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rPr>
        <w:t>预算资金到位率为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农机购置补贴</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127054585"/>
      <w:bookmarkStart w:id="20" w:name="_Toc23928_WPSOffice_Level2"/>
      <w:bookmarkStart w:id="21" w:name="_Toc23149"/>
      <w:bookmarkStart w:id="22" w:name="_Toc18631"/>
      <w:bookmarkStart w:id="23" w:name="_Toc19378"/>
      <w:bookmarkStart w:id="24" w:name="_Toc32607_WPSOffice_Level2"/>
      <w:bookmarkStart w:id="25" w:name="_Toc20532"/>
      <w:bookmarkStart w:id="26" w:name="_Toc18974"/>
      <w:bookmarkStart w:id="27" w:name="_Toc13569"/>
      <w:bookmarkStart w:id="28" w:name="_Toc1686_WPSOffice_Level2"/>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1.项目总体目标</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岳普湖县2023年农机购置补贴机具总数不少于1777台，农作物耕种收综合机械化率不低于90%，受益户数1119户。通过项目的实施减轻农户购买农机的经济负担，促进农业机械化生产社会化服务水平稳步提升、增强农机促进科技进步作用，调动农民购买、使用农机积极性，建立并执行农机购置补贴信息公开机制，杜绝补贴资金使用过程中发生重大违规违纪问题。</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2.项目阶段性目标</w:t>
      </w:r>
      <w:bookmarkStart w:id="29" w:name="_Toc24349"/>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项目投入：本项目预算安排总额为</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lang w:val="en-US" w:eastAsia="zh-CN"/>
        </w:rPr>
        <w:t>中央资金：2526.07万元，自治区资金：243.96万元。</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项目产出：</w:t>
      </w:r>
      <w:r>
        <w:rPr>
          <w:rFonts w:hint="eastAsia" w:ascii="仿宋_GB2312" w:hAnsi="仿宋_GB2312" w:cs="仿宋_GB2312"/>
          <w:color w:val="auto"/>
          <w:highlight w:val="none"/>
          <w:lang w:val="en-US" w:eastAsia="zh-CN"/>
        </w:rPr>
        <w:t>岳普湖县2023年农机购置补贴机具总数1777台。</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项目效果：</w:t>
      </w:r>
      <w:r>
        <w:rPr>
          <w:rFonts w:hint="eastAsia" w:ascii="仿宋_GB2312" w:hAnsi="仿宋_GB2312" w:cs="仿宋_GB2312"/>
          <w:color w:val="auto"/>
          <w:highlight w:val="none"/>
          <w:lang w:val="en-US" w:eastAsia="zh-CN"/>
        </w:rPr>
        <w:t>受益户数1119户，减轻农户购买农机的经济负担，促进农业机械化生产社会化服务水平稳步提升、增强农机促进科技进步作用，调动农民购买、使用农机积极性，建立并执行农机购置补贴信息公开机制，杜绝补贴资金使用过程中发生重大违规违纪问题。</w:t>
      </w:r>
    </w:p>
    <w:p>
      <w:pPr>
        <w:pStyle w:val="31"/>
        <w:keepNext w:val="0"/>
        <w:keepLines w:val="0"/>
        <w:spacing w:line="520" w:lineRule="exact"/>
        <w:ind w:firstLine="640" w:firstLineChars="200"/>
        <w:jc w:val="both"/>
        <w:rPr>
          <w:color w:val="auto"/>
          <w:highlight w:val="none"/>
        </w:rPr>
      </w:pPr>
      <w:bookmarkStart w:id="30" w:name="_Toc32174_WPSOffice_Level1"/>
      <w:bookmarkStart w:id="31" w:name="_Toc17863"/>
      <w:bookmarkStart w:id="32" w:name="_Toc3608"/>
      <w:bookmarkStart w:id="33" w:name="_Toc9278"/>
      <w:bookmarkStart w:id="34" w:name="_Toc10478"/>
      <w:bookmarkStart w:id="35" w:name="_Toc1545_WPSOffice_Level1"/>
      <w:bookmarkStart w:id="36" w:name="_Toc127054586"/>
      <w:bookmarkStart w:id="37" w:name="_Toc8160"/>
      <w:bookmarkStart w:id="38" w:name="_Toc12560_WPSOffice_Level1"/>
      <w:r>
        <w:rPr>
          <w:rFonts w:hint="eastAsia"/>
          <w:color w:val="auto"/>
          <w:highlight w:val="none"/>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color w:val="auto"/>
          <w:highlight w:val="none"/>
        </w:rPr>
      </w:pPr>
      <w:bookmarkStart w:id="39" w:name="_Toc10259_WPSOffice_Level2"/>
      <w:bookmarkStart w:id="40" w:name="_Toc15466"/>
      <w:bookmarkStart w:id="41" w:name="_Toc1092"/>
      <w:bookmarkStart w:id="42" w:name="_Toc127054587"/>
      <w:bookmarkStart w:id="43" w:name="_Toc27953"/>
      <w:bookmarkStart w:id="44" w:name="_Toc25691"/>
      <w:bookmarkStart w:id="45" w:name="_Toc1997"/>
      <w:bookmarkStart w:id="46" w:name="_Toc20761"/>
      <w:bookmarkStart w:id="47" w:name="_Toc14202_WPSOffice_Level2"/>
      <w:bookmarkStart w:id="48" w:name="_Toc17696_WPSOffice_Level2"/>
      <w:r>
        <w:rPr>
          <w:rFonts w:hint="eastAsia" w:ascii="仿宋_GB2312" w:hAnsi="仿宋_GB2312" w:cs="仿宋_GB2312"/>
          <w:color w:val="auto"/>
          <w:highlight w:val="none"/>
        </w:rPr>
        <w:t>（一）绩效评价目的、对象</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时间</w:t>
      </w:r>
      <w:r>
        <w:rPr>
          <w:rFonts w:hint="eastAsia" w:ascii="仿宋_GB2312" w:hAnsi="仿宋_GB2312" w:cs="仿宋_GB2312"/>
          <w:color w:val="auto"/>
          <w:highlight w:val="none"/>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bCs/>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color w:val="auto"/>
          <w:highlight w:val="none"/>
        </w:rPr>
      </w:pPr>
      <w:r>
        <w:rPr>
          <w:rFonts w:hint="eastAsia" w:ascii="仿宋_GB2312" w:hAnsi="仿宋_GB2312" w:cs="仿宋_GB2312"/>
          <w:b w:val="0"/>
          <w:snapToGrid/>
          <w:color w:val="auto"/>
          <w:highlight w:val="none"/>
        </w:rPr>
        <w:t>本次绩效评价遵循财政部《项目支出绩效评价管理办法》（财预〔2020〕10号）和自治区财政厅《自治区财</w:t>
      </w:r>
      <w:r>
        <w:rPr>
          <w:rFonts w:hint="eastAsia" w:ascii="仿宋_GB2312" w:hAnsi="仿宋_GB2312" w:cs="仿宋_GB2312"/>
          <w:b w:val="0"/>
          <w:snapToGrid/>
          <w:color w:val="auto"/>
          <w:highlight w:val="none"/>
        </w:rPr>
        <w:t>政支出绩效评价管理暂行办法》（新财预〔2018〕189号）等相关政策文件的规定，对</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lang w:val="en-US" w:eastAsia="zh-CN"/>
        </w:rPr>
        <w:t>农机购置补贴项目</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rPr>
        <w:t>开展本次部门项目支出绩效评价工作旨在评价财政项目实施前期、过程及效果，评价财政预算资金使用</w:t>
      </w:r>
      <w:r>
        <w:rPr>
          <w:rFonts w:hint="eastAsia" w:ascii="仿宋_GB2312" w:hAnsi="仿宋_GB2312" w:cs="仿宋_GB2312"/>
          <w:b w:val="0"/>
          <w:snapToGrid/>
          <w:color w:val="auto"/>
          <w:highlight w:val="none"/>
        </w:rPr>
        <w:t>的效率及效益。</w:t>
      </w:r>
    </w:p>
    <w:p>
      <w:pPr>
        <w:pStyle w:val="46"/>
        <w:widowControl w:val="0"/>
        <w:spacing w:line="520" w:lineRule="exact"/>
        <w:ind w:left="0" w:leftChars="0" w:firstLine="560" w:firstLineChars="200"/>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color w:val="auto"/>
          <w:highlight w:val="none"/>
          <w:lang w:val="en-US" w:eastAsia="zh-CN"/>
        </w:rPr>
        <w:t>具体绩效评价的目的如下：</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.绩效评价对象</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治区财政支出绩效评价管理暂行办法》（新财预〔2018〕189号）等相关政策文件的规定，以</w:t>
      </w:r>
      <w:r>
        <w:rPr>
          <w:rFonts w:hint="eastAsia" w:ascii="仿宋_GB2312" w:hAnsi="仿宋_GB2312" w:cs="仿宋_GB2312"/>
          <w:color w:val="auto"/>
          <w:highlight w:val="none"/>
          <w:lang w:eastAsia="zh-CN"/>
        </w:rPr>
        <w:t>“农机购置补贴项目”</w:t>
      </w:r>
      <w:r>
        <w:rPr>
          <w:rFonts w:hint="eastAsia" w:ascii="仿宋_GB2312" w:hAnsi="仿宋_GB2312" w:cs="仿宋_GB2312"/>
          <w:color w:val="auto"/>
          <w:highlight w:val="none"/>
        </w:rPr>
        <w:t>支出为对象所对应的预</w:t>
      </w:r>
      <w:r>
        <w:rPr>
          <w:rFonts w:hint="eastAsia" w:ascii="仿宋_GB2312" w:hAnsi="仿宋_GB2312" w:cs="仿宋_GB2312"/>
          <w:color w:val="auto"/>
          <w:highlight w:val="none"/>
        </w:rPr>
        <w:t>算资金，以</w:t>
      </w:r>
      <w:r>
        <w:rPr>
          <w:rFonts w:hint="eastAsia" w:ascii="仿宋_GB2312" w:hAnsi="仿宋_GB2312" w:cs="仿宋_GB2312"/>
          <w:color w:val="auto"/>
          <w:highlight w:val="none"/>
          <w:lang w:val="en-US" w:eastAsia="zh-CN"/>
        </w:rPr>
        <w:t>本</w:t>
      </w:r>
      <w:r>
        <w:rPr>
          <w:rFonts w:hint="eastAsia" w:ascii="仿宋_GB2312" w:hAnsi="仿宋_GB2312" w:cs="仿宋_GB2312"/>
          <w:color w:val="auto"/>
          <w:highlight w:val="none"/>
        </w:rPr>
        <w:t>项目实施所带来的产出和效果为主要内容，以促进预算单位完成特定工作任务目标所组织开展的绩效评价。</w:t>
      </w:r>
    </w:p>
    <w:p>
      <w:pPr>
        <w:pStyle w:val="46"/>
        <w:widowControl w:val="0"/>
        <w:spacing w:line="520" w:lineRule="exact"/>
        <w:ind w:left="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4.绩效评价时间</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.绩效评价范围</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color w:val="auto"/>
          <w:highlight w:val="none"/>
        </w:rPr>
      </w:pPr>
      <w:bookmarkStart w:id="49" w:name="_Toc127054588"/>
      <w:bookmarkStart w:id="50" w:name="_Toc2200"/>
      <w:bookmarkStart w:id="51" w:name="_Toc5010"/>
      <w:bookmarkStart w:id="52" w:name="_Toc7586"/>
      <w:bookmarkStart w:id="53" w:name="_Toc18827"/>
      <w:bookmarkStart w:id="54" w:name="_Toc10463_WPSOffice_Level2"/>
      <w:bookmarkStart w:id="55" w:name="_Toc2006_WPSOffice_Level2"/>
      <w:bookmarkStart w:id="56" w:name="_Toc5510"/>
      <w:bookmarkStart w:id="57" w:name="_Toc6151"/>
      <w:bookmarkStart w:id="58" w:name="_Toc10930_WPSOffice_Level2"/>
      <w:r>
        <w:rPr>
          <w:rFonts w:hint="eastAsia" w:ascii="仿宋_GB2312" w:hAnsi="仿宋_GB2312" w:cs="仿宋_GB2312"/>
          <w:color w:val="auto"/>
          <w:highlight w:val="none"/>
        </w:rPr>
        <w:t>（二）绩效评价原则、评价指标体系、评价方法</w:t>
      </w:r>
      <w:r>
        <w:rPr>
          <w:rFonts w:hint="eastAsia" w:ascii="仿宋_GB2312" w:hAnsi="仿宋_GB2312" w:cs="仿宋_GB2312"/>
          <w:color w:val="auto"/>
          <w:highlight w:val="none"/>
          <w:lang w:val="en-US" w:eastAsia="zh-CN"/>
        </w:rPr>
        <w:t>和</w:t>
      </w:r>
      <w:r>
        <w:rPr>
          <w:rFonts w:hint="eastAsia" w:ascii="仿宋_GB2312" w:hAnsi="仿宋_GB2312" w:cs="仿宋_GB2312"/>
          <w:color w:val="auto"/>
          <w:highlight w:val="none"/>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1.绩效评价原则</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本次绩效评价遵循的原则包括：</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（4）公开透明。绩效评价结果应依法依规公开，并自觉接受社会监督。</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2.绩效评价指标体系</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一级指标为：决策、过程、产出、效益。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hAnsi="仿宋_GB2312" w:cs="仿宋_GB2312"/>
          <w:color w:val="auto"/>
          <w:highlight w:val="none"/>
        </w:rPr>
        <w:t>项目实施管理规范性</w:t>
      </w:r>
      <w:r>
        <w:rPr>
          <w:rFonts w:hint="eastAsia" w:ascii="仿宋_GB2312" w:hAnsi="仿宋_GB2312" w:cs="仿宋_GB2312"/>
          <w:color w:val="auto"/>
          <w:highlight w:val="none"/>
          <w:lang w:eastAsia="zh-CN"/>
        </w:rPr>
        <w:t>、农机购置补贴机具数、农作物耕种收综合机械化率、资金使用合规性、农机购置补贴年度资金兑付率、年度补助任务完成时间、农机购置平均补贴标准、受益户数、提升农业机械化生产社会化服务水平、减轻农户购买农机的经济负担</w:t>
      </w:r>
      <w:r>
        <w:rPr>
          <w:rFonts w:hint="eastAsia" w:ascii="仿宋_GB2312" w:hAnsi="仿宋_GB2312" w:cs="仿宋_GB2312"/>
          <w:color w:val="auto"/>
          <w:highlight w:val="none"/>
        </w:rPr>
        <w:t>、满意度。</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3.绩效评价方法</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本次评价采用定量与定性评价相结合的比较法、</w:t>
      </w:r>
      <w:r>
        <w:rPr>
          <w:rFonts w:hint="eastAsia" w:ascii="仿宋_GB2312" w:hAnsi="仿宋_GB2312" w:cs="仿宋_GB2312"/>
          <w:color w:val="auto"/>
          <w:highlight w:val="none"/>
          <w:lang w:val="en-US" w:eastAsia="zh-CN"/>
        </w:rPr>
        <w:t>文献法、</w:t>
      </w:r>
      <w:r>
        <w:rPr>
          <w:rFonts w:hint="eastAsia" w:ascii="仿宋_GB2312" w:hAnsi="仿宋_GB2312" w:cs="仿宋_GB2312"/>
          <w:color w:val="auto"/>
          <w:highlight w:val="none"/>
        </w:rPr>
        <w:t>公众评判法</w:t>
      </w:r>
      <w:r>
        <w:rPr>
          <w:rFonts w:hint="eastAsia" w:ascii="仿宋_GB2312" w:hAnsi="仿宋_GB2312" w:cs="仿宋_GB2312"/>
          <w:color w:val="auto"/>
          <w:highlight w:val="none"/>
          <w:lang w:val="en-US" w:eastAsia="zh-CN"/>
        </w:rPr>
        <w:t>等方法</w:t>
      </w:r>
      <w:r>
        <w:rPr>
          <w:rFonts w:hint="eastAsia" w:ascii="仿宋_GB2312" w:hAnsi="仿宋_GB2312" w:cs="仿宋_GB2312"/>
          <w:color w:val="auto"/>
          <w:highlight w:val="none"/>
        </w:rPr>
        <w:t>，总分由各项指标得分汇总形成。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项目决策</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预算编制科学性：成本效益分析法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项目过程</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预算执行率：比较法，预算执行率预期指标值应为100%，通过实际计算，分析实际完成值和预期指标值之间的差距和原因。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项目产出</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4）项目效益方面</w:t>
      </w:r>
    </w:p>
    <w:p>
      <w:pPr>
        <w:pStyle w:val="32"/>
        <w:spacing w:line="520" w:lineRule="exact"/>
        <w:ind w:firstLine="560"/>
        <w:rPr>
          <w:rFonts w:hint="eastAsia" w:ascii="仿宋_GB2312" w:hAnsi="仿宋_GB2312" w:eastAsia="仿宋_GB2312" w:cs="仿宋_GB2312"/>
          <w:color w:val="auto"/>
          <w:highlight w:val="none"/>
          <w:lang w:eastAsia="zh-CN"/>
        </w:rPr>
      </w:pPr>
      <w:r>
        <w:rPr>
          <w:rFonts w:hint="eastAsia" w:ascii="仿宋_GB2312" w:hAnsi="仿宋_GB2312" w:cs="仿宋_GB2312"/>
          <w:color w:val="auto"/>
          <w:highlight w:val="none"/>
          <w:lang w:eastAsia="zh-CN"/>
        </w:rPr>
        <w:t>公众评判法、实地勘察法，通过实地勘察、问卷及抽样调查等方式评价本项目实施后社会公众或服务对象对项目实施效果的满意程度。</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4.绩效评价标准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计划标准：指以预先制定的目标、计划、预算、定额等作为评价标准。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行业标准：指参照国家公布的行业指标数据制定的评价标准。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农机购置补贴项目</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采用的是计划标准，以事先制定的目标、计划、预算、定额等预计数据作为评价财政支出绩效的标准。通过将实际完成值与预定数据进行对比，发现偏差及时通知实施单位进行限期整改并反馈整改情况。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color w:val="auto"/>
          <w:highlight w:val="none"/>
        </w:rPr>
      </w:pPr>
      <w:bookmarkStart w:id="59" w:name="_Toc17200"/>
      <w:bookmarkStart w:id="60" w:name="_Toc26233_WPSOffice_Level2"/>
      <w:bookmarkStart w:id="61" w:name="_Toc26838"/>
      <w:bookmarkStart w:id="62" w:name="_Toc19104_WPSOffice_Level2"/>
      <w:bookmarkStart w:id="63" w:name="_Toc22357"/>
      <w:bookmarkStart w:id="64" w:name="_Toc20415"/>
      <w:bookmarkStart w:id="65" w:name="_Toc31508"/>
      <w:bookmarkStart w:id="66" w:name="_Toc127054589"/>
      <w:bookmarkStart w:id="67" w:name="_Toc12894"/>
      <w:bookmarkStart w:id="68" w:name="_Toc12413_WPSOffice_Level2"/>
      <w:r>
        <w:rPr>
          <w:rFonts w:hint="eastAsia" w:ascii="仿宋_GB2312" w:hAnsi="仿宋_GB2312" w:cs="仿宋_GB2312"/>
          <w:color w:val="auto"/>
          <w:highlight w:val="none"/>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本次评价设计了评价方案、评价指标体系，通过资料分析、调研、访谈满意度调查等方式形成评价结论，在与项目单位沟通后确定评价意见，并出具评价报告。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1.前期准备</w:t>
      </w:r>
      <w:r>
        <w:rPr>
          <w:rFonts w:hint="eastAsia" w:ascii="仿宋_GB2312" w:hAnsi="仿宋_GB2312" w:cs="仿宋_GB2312"/>
          <w:b/>
          <w:bCs/>
          <w:color w:val="auto"/>
          <w:highlight w:val="none"/>
          <w:lang w:val="en-US" w:eastAsia="zh-CN"/>
        </w:rPr>
        <w:t>阶段（2024年1月3日—1月10日）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苑贵宝</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阿力木·穆萨、买买提艾力·依明、何江霞</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2.组织实施</w:t>
      </w:r>
      <w:r>
        <w:rPr>
          <w:rFonts w:hint="eastAsia" w:ascii="仿宋_GB2312" w:hAnsi="仿宋_GB2312" w:cs="仿宋_GB2312"/>
          <w:b/>
          <w:bCs/>
          <w:color w:val="auto"/>
          <w:highlight w:val="none"/>
          <w:lang w:val="en-US" w:eastAsia="zh-CN"/>
        </w:rPr>
        <w:t>阶段（2024年1月11日—2月1日）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3.分析评价</w:t>
      </w:r>
      <w:r>
        <w:rPr>
          <w:rFonts w:hint="eastAsia" w:ascii="仿宋_GB2312" w:hAnsi="仿宋_GB2312" w:cs="仿宋_GB2312"/>
          <w:b/>
          <w:bCs/>
          <w:color w:val="auto"/>
          <w:highlight w:val="none"/>
          <w:lang w:val="en-US" w:eastAsia="zh-CN"/>
        </w:rPr>
        <w:t>阶段（2024年2月2日—2月29日）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4.撰写与提交评价报告</w:t>
      </w:r>
      <w:r>
        <w:rPr>
          <w:rFonts w:hint="eastAsia" w:ascii="仿宋_GB2312" w:hAnsi="仿宋_GB2312" w:cs="仿宋_GB2312"/>
          <w:b/>
          <w:bCs/>
          <w:color w:val="auto"/>
          <w:highlight w:val="none"/>
          <w:lang w:val="en-US" w:eastAsia="zh-CN"/>
        </w:rPr>
        <w:t>阶段（2024年3月1日-3月7日）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绩效评价组根据收集项目评价资料撰写绩效评价报告。按照新疆维吾尔自治区财政绩效管理信息系统绩效评价模块中</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统一格式</w:t>
      </w:r>
      <w:r>
        <w:rPr>
          <w:rFonts w:hint="eastAsia" w:ascii="仿宋_GB2312" w:hAnsi="仿宋_GB2312" w:cs="仿宋_GB2312"/>
          <w:color w:val="auto"/>
          <w:highlight w:val="none"/>
          <w:lang w:val="en-US" w:eastAsia="zh-CN"/>
        </w:rPr>
        <w:t>及</w:t>
      </w:r>
      <w:r>
        <w:rPr>
          <w:rFonts w:hint="eastAsia" w:ascii="仿宋_GB2312" w:hAnsi="仿宋_GB2312" w:cs="仿宋_GB2312"/>
          <w:color w:val="auto"/>
          <w:highlight w:val="none"/>
        </w:rPr>
        <w:t>文本框架撰写绩效评价报告并提交审核。</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5.归集档案</w:t>
      </w:r>
      <w:r>
        <w:rPr>
          <w:rFonts w:hint="eastAsia" w:ascii="仿宋_GB2312" w:hAnsi="仿宋_GB2312" w:cs="仿宋_GB2312"/>
          <w:b/>
          <w:bCs/>
          <w:color w:val="auto"/>
          <w:highlight w:val="none"/>
          <w:lang w:val="en-US" w:eastAsia="zh-CN"/>
        </w:rPr>
        <w:t>阶段（2024年3月8日-3月15日）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rPr>
          <w:color w:val="auto"/>
          <w:highlight w:val="none"/>
        </w:rPr>
      </w:pPr>
      <w:bookmarkStart w:id="69" w:name="_Toc32607_WPSOffice_Level1"/>
      <w:bookmarkStart w:id="70" w:name="_Toc1597"/>
      <w:bookmarkStart w:id="71" w:name="_Toc4810"/>
      <w:bookmarkStart w:id="72" w:name="_Toc1686_WPSOffice_Level1"/>
      <w:bookmarkStart w:id="73" w:name="_Toc5081"/>
      <w:bookmarkStart w:id="74" w:name="_Toc127054590"/>
      <w:bookmarkStart w:id="75" w:name="_Toc7014"/>
      <w:bookmarkStart w:id="76" w:name="_Toc23928_WPSOffice_Level1"/>
      <w:bookmarkStart w:id="77" w:name="_Toc25359"/>
      <w:bookmarkStart w:id="78" w:name="_Toc16646"/>
      <w:r>
        <w:rPr>
          <w:rFonts w:hint="eastAsia"/>
          <w:color w:val="auto"/>
          <w:highlight w:val="none"/>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rPr>
          <w:color w:val="auto"/>
          <w:highlight w:val="none"/>
        </w:rPr>
      </w:pPr>
      <w:bookmarkStart w:id="79" w:name="_Toc30078"/>
      <w:bookmarkStart w:id="80" w:name="_Toc1796"/>
      <w:bookmarkStart w:id="81" w:name="_Toc6425"/>
      <w:bookmarkStart w:id="82" w:name="_Toc127054591"/>
      <w:bookmarkStart w:id="83" w:name="_Toc15650_WPSOffice_Level2"/>
      <w:bookmarkStart w:id="84" w:name="_Toc28208_WPSOffice_Level2"/>
      <w:bookmarkStart w:id="85" w:name="_Toc22637"/>
      <w:bookmarkStart w:id="86" w:name="_Toc5941_WPSOffice_Level2"/>
      <w:bookmarkStart w:id="87" w:name="_Toc4710"/>
      <w:bookmarkStart w:id="88" w:name="_Toc24395"/>
      <w:r>
        <w:rPr>
          <w:rFonts w:hint="eastAsia"/>
          <w:color w:val="auto"/>
          <w:highlight w:val="none"/>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rPr>
          <w:color w:val="auto"/>
          <w:highlight w:val="none"/>
        </w:rPr>
      </w:pPr>
      <w:r>
        <w:rPr>
          <w:rFonts w:hint="eastAsia"/>
          <w:color w:val="auto"/>
          <w:highlight w:val="none"/>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在项目决策方面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2770.03</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岳普湖县2023年农机购置补贴机具总数达到了1777台，农作物耕种收综合机械化率达到了90.58%，受益户数达到了1119户。补贴资金严格按照专项资金使用规定按期支付，项目预算执行率为100%。通过项目的实施有效减轻了农户购买农机的经济负担，促进了农业机械化生产社会化服务水平稳步提升，进一步增强了农机促进科技进步作用，调动了农民购买、使用农机的积极性，建立并执行了农机购置补贴信息公开机制。购置补贴受益户满意度达到了100%。</w:t>
      </w:r>
    </w:p>
    <w:p>
      <w:pPr>
        <w:pStyle w:val="52"/>
        <w:keepNext w:val="0"/>
        <w:keepLines w:val="0"/>
        <w:spacing w:line="520" w:lineRule="exact"/>
        <w:ind w:left="560"/>
        <w:jc w:val="both"/>
        <w:rPr>
          <w:color w:val="auto"/>
          <w:highlight w:val="none"/>
        </w:rPr>
      </w:pPr>
      <w:bookmarkStart w:id="89" w:name="_Toc19466"/>
      <w:bookmarkStart w:id="90" w:name="_Toc25689_WPSOffice_Level2"/>
      <w:bookmarkStart w:id="91" w:name="_Toc7246"/>
      <w:bookmarkStart w:id="92" w:name="_Toc20924_WPSOffice_Level2"/>
      <w:bookmarkStart w:id="93" w:name="_Toc30582_WPSOffice_Level2"/>
      <w:bookmarkStart w:id="94" w:name="_Toc6175"/>
      <w:bookmarkStart w:id="95" w:name="_Toc24314"/>
      <w:bookmarkStart w:id="96" w:name="_Toc5518"/>
      <w:bookmarkStart w:id="97" w:name="_Toc5858"/>
      <w:bookmarkStart w:id="98" w:name="_Toc127054592"/>
      <w:r>
        <w:rPr>
          <w:rFonts w:hint="eastAsia"/>
          <w:color w:val="auto"/>
          <w:highlight w:val="none"/>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运用绩效评价组制定的评价指标体系以及财政部《项目支出绩效评价管理办法》（财预〔2020〕10号）文件的评分标准，通过数据采集、问</w:t>
      </w:r>
      <w:r>
        <w:rPr>
          <w:rFonts w:hint="eastAsia" w:ascii="仿宋_GB2312" w:hAnsi="仿宋_GB2312" w:cs="仿宋_GB2312"/>
          <w:color w:val="auto"/>
          <w:highlight w:val="none"/>
        </w:rPr>
        <w:t>卷调查及访谈等方式，对本项目进行客观评价，总分一般设置为100分，其中项目决策20分、项目过程</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分、项目产出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分、项目效益</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本项目</w:t>
      </w:r>
      <w:r>
        <w:rPr>
          <w:rFonts w:hint="eastAsia" w:ascii="仿宋_GB2312" w:hAnsi="仿宋_GB2312" w:cs="仿宋_GB2312"/>
          <w:color w:val="auto"/>
          <w:highlight w:val="none"/>
        </w:rPr>
        <w:t>最终评分结果：总得分为</w:t>
      </w:r>
      <w:r>
        <w:rPr>
          <w:rFonts w:hint="eastAsia" w:ascii="仿宋_GB2312" w:hAnsi="仿宋_GB2312" w:cs="仿宋_GB2312"/>
          <w:color w:val="auto"/>
          <w:highlight w:val="none"/>
        </w:rPr>
        <w:t>100分</w:t>
      </w:r>
      <w:r>
        <w:rPr>
          <w:rFonts w:hint="eastAsia" w:ascii="仿宋_GB2312" w:hAnsi="仿宋_GB2312" w:cs="仿宋_GB2312"/>
          <w:color w:val="auto"/>
          <w:highlight w:val="none"/>
        </w:rPr>
        <w:t>，绩效评级为</w:t>
      </w:r>
      <w:r>
        <w:rPr>
          <w:rFonts w:hint="eastAsia" w:ascii="仿宋_GB2312" w:hAnsi="仿宋_GB2312" w:cs="仿宋_GB2312"/>
          <w:color w:val="auto"/>
          <w:highlight w:val="none"/>
        </w:rPr>
        <w:t>“优”</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具体得分情况</w:t>
      </w:r>
      <w:r>
        <w:rPr>
          <w:rFonts w:hint="eastAsia" w:ascii="仿宋_GB2312" w:hAnsi="仿宋_GB2312" w:cs="仿宋_GB2312"/>
          <w:color w:val="auto"/>
          <w:highlight w:val="none"/>
          <w:lang w:val="en-US" w:eastAsia="zh-CN"/>
        </w:rPr>
        <w:t>如下</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1.项目决策指标权重为20分，得分为20分，得分率为100%。</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2.项目过程指标权重为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3.项目产出指标权重为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4.项目效益指标权重为30分，</w:t>
      </w:r>
      <w:r>
        <w:rPr>
          <w:rFonts w:hint="eastAsia" w:ascii="仿宋_GB2312" w:hAnsi="仿宋_GB2312" w:cs="仿宋_GB2312"/>
          <w:color w:val="auto"/>
          <w:highlight w:val="none"/>
        </w:rPr>
        <w:t>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13636_WPSOffice_Level2"/>
      <w:bookmarkStart w:id="100" w:name="_Toc25446_WPSOffice_Level2"/>
      <w:bookmarkStart w:id="101" w:name="_Toc12641_WPSOffice_Level2"/>
      <w:bookmarkStart w:id="102" w:name="_Toc21991"/>
      <w:bookmarkStart w:id="103" w:name="_Toc23593"/>
      <w:bookmarkStart w:id="104" w:name="_Toc127054593"/>
      <w:bookmarkStart w:id="105" w:name="_Toc19284"/>
      <w:bookmarkStart w:id="106" w:name="_Toc10259_WPSOffice_Level1"/>
      <w:bookmarkStart w:id="107" w:name="_Toc31634"/>
      <w:bookmarkStart w:id="108" w:name="_Toc27609"/>
      <w:bookmarkStart w:id="109" w:name="_Toc4090"/>
      <w:bookmarkStart w:id="110" w:name="_Toc14202_WPSOffice_Level1"/>
      <w:bookmarkStart w:id="111" w:name="_Toc17696_WPSOffice_Level1"/>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color w:val="auto"/>
                <w:sz w:val="21"/>
                <w:szCs w:val="21"/>
                <w:highlight w:val="none"/>
              </w:rPr>
            </w:pPr>
            <w:r>
              <w:rPr>
                <w:rFonts w:hint="eastAsia" w:ascii="仿宋_GB2312" w:cs="Times New Roman"/>
                <w:b w:val="0"/>
                <w:color w:val="auto"/>
                <w:sz w:val="21"/>
                <w:szCs w:val="21"/>
                <w:highlight w:val="none"/>
              </w:rPr>
              <w:t>权  重</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color w:val="auto"/>
                <w:sz w:val="21"/>
                <w:szCs w:val="21"/>
                <w:highlight w:val="none"/>
                <w:lang w:eastAsia="zh-CN"/>
              </w:rPr>
            </w:pPr>
            <w:r>
              <w:rPr>
                <w:rFonts w:hint="eastAsia" w:ascii="仿宋_GB2312" w:cs="Times New Roman"/>
                <w:b w:val="0"/>
                <w:color w:val="auto"/>
                <w:sz w:val="21"/>
                <w:szCs w:val="21"/>
                <w:highlight w:val="none"/>
                <w:lang w:val="en-US" w:eastAsia="zh-CN"/>
              </w:rPr>
              <w:t>得</w:t>
            </w:r>
            <w:r>
              <w:rPr>
                <w:rFonts w:hint="eastAsia" w:ascii="仿宋_GB2312" w:cs="Times New Roman"/>
                <w:b w:val="0"/>
                <w:color w:val="auto"/>
                <w:sz w:val="21"/>
                <w:szCs w:val="21"/>
                <w:highlight w:val="none"/>
              </w:rPr>
              <w:t xml:space="preserve">  </w:t>
            </w:r>
            <w:r>
              <w:rPr>
                <w:rFonts w:hint="eastAsia" w:ascii="仿宋_GB2312" w:cs="Times New Roman"/>
                <w:b w:val="0"/>
                <w:color w:val="auto"/>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color w:val="auto"/>
                <w:sz w:val="21"/>
                <w:szCs w:val="21"/>
                <w:highlight w:val="none"/>
              </w:rPr>
            </w:pPr>
            <w:r>
              <w:rPr>
                <w:rFonts w:hint="eastAsia" w:ascii="仿宋_GB2312" w:cs="Times New Roman"/>
                <w:bCs/>
                <w:color w:val="auto"/>
                <w:sz w:val="21"/>
                <w:szCs w:val="21"/>
                <w:highlight w:val="none"/>
              </w:rPr>
              <w:t>得分率</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458"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p>
        </w:tc>
      </w:tr>
    </w:tbl>
    <w:p>
      <w:pPr>
        <w:pStyle w:val="31"/>
        <w:keepNext w:val="0"/>
        <w:keepLines w:val="0"/>
        <w:spacing w:line="520" w:lineRule="exact"/>
        <w:ind w:firstLine="640" w:firstLineChars="200"/>
        <w:jc w:val="both"/>
        <w:rPr>
          <w:color w:val="auto"/>
          <w:highlight w:val="none"/>
        </w:rPr>
      </w:pPr>
      <w:r>
        <w:rPr>
          <w:rFonts w:hint="eastAsia"/>
          <w:color w:val="auto"/>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color w:val="auto"/>
          <w:highlight w:val="none"/>
        </w:rPr>
      </w:pPr>
      <w:bookmarkStart w:id="112" w:name="_Toc24898"/>
      <w:bookmarkStart w:id="113" w:name="_Toc30064_WPSOffice_Level2"/>
      <w:bookmarkStart w:id="114" w:name="_Toc1351"/>
      <w:bookmarkStart w:id="115" w:name="_Toc13717_WPSOffice_Level2"/>
      <w:bookmarkStart w:id="116" w:name="_Toc127054594"/>
      <w:bookmarkStart w:id="117" w:name="_Toc15622"/>
      <w:bookmarkStart w:id="118" w:name="_Toc23212"/>
      <w:bookmarkStart w:id="119" w:name="_Toc23471_WPSOffice_Level2"/>
      <w:bookmarkStart w:id="120" w:name="_Toc12537"/>
      <w:bookmarkStart w:id="121" w:name="_Toc17002"/>
      <w:r>
        <w:rPr>
          <w:rFonts w:hint="eastAsia" w:ascii="仿宋_GB2312" w:hAnsi="仿宋_GB2312" w:cs="仿宋_GB2312"/>
          <w:color w:val="auto"/>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决策类指标包括项目立项、绩效目标和资金投入三方面的内容，由6个三级指标构成，权重分值为20分，实际得分20分，得分率为</w:t>
      </w:r>
      <w:r>
        <w:rPr>
          <w:rFonts w:hint="eastAsia" w:ascii="仿宋_GB2312" w:hAnsi="仿宋_GB2312" w:cs="仿宋_GB2312"/>
          <w:color w:val="auto"/>
          <w:highlight w:val="none"/>
        </w:rPr>
        <w:t>100%。</w:t>
      </w:r>
    </w:p>
    <w:p>
      <w:pPr>
        <w:pStyle w:val="32"/>
        <w:spacing w:line="520" w:lineRule="exact"/>
        <w:ind w:firstLine="562"/>
        <w:rPr>
          <w:rFonts w:ascii="仿宋_GB2312" w:hAnsi="仿宋_GB2312" w:cs="仿宋_GB2312"/>
          <w:b/>
          <w:bCs/>
          <w:color w:val="auto"/>
          <w:highlight w:val="none"/>
        </w:rPr>
      </w:pPr>
      <w:bookmarkStart w:id="122" w:name="_Toc25023_WPSOffice_Level2"/>
      <w:r>
        <w:rPr>
          <w:rFonts w:hint="eastAsia" w:ascii="仿宋_GB2312" w:hAnsi="仿宋_GB2312" w:cs="仿宋_GB2312"/>
          <w:b/>
          <w:bCs/>
          <w:color w:val="auto"/>
          <w:highlight w:val="none"/>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w:t>
      </w:r>
      <w:r>
        <w:rPr>
          <w:rFonts w:hint="eastAsia" w:ascii="仿宋_GB2312" w:hAnsi="仿宋_GB2312" w:cs="仿宋_GB2312"/>
          <w:color w:val="auto"/>
          <w:highlight w:val="none"/>
        </w:rPr>
        <w:t>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22525_WPSOffice_Level2"/>
      <w:bookmarkStart w:id="126" w:name="_Toc4615_WPSOffice_Level2"/>
      <w:bookmarkStart w:id="127" w:name="_Toc18771"/>
      <w:bookmarkStart w:id="128" w:name="_Toc18592"/>
      <w:bookmarkStart w:id="129" w:name="_Toc127054595"/>
      <w:bookmarkStart w:id="130" w:name="_Toc804"/>
      <w:bookmarkStart w:id="131" w:name="_Toc30208"/>
      <w:bookmarkStart w:id="132" w:name="_Toc15035_WPSOffice_Level2"/>
      <w:bookmarkStart w:id="133" w:name="_Toc30315"/>
      <w:bookmarkStart w:id="134" w:name="_Toc21518"/>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过程类指标包括资金管理和组织实施两方面的内容，由6个三级指标构成，权重分值为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w:t>
      </w:r>
      <w:r>
        <w:rPr>
          <w:rFonts w:hint="eastAsia" w:ascii="仿宋_GB2312" w:hAnsi="仿宋_GB2312" w:cs="仿宋_GB2312"/>
          <w:color w:val="auto"/>
          <w:highlight w:val="none"/>
        </w:rPr>
        <w:t>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w:t>
      </w:r>
      <w:r>
        <w:rPr>
          <w:rFonts w:hint="eastAsia" w:ascii="仿宋_GB2312" w:hAnsi="仿宋_GB2312" w:cs="仿宋_GB2312"/>
          <w:color w:val="auto"/>
          <w:highlight w:val="none"/>
        </w:rPr>
        <w:t>预算执行率为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根据评分标准，</w:t>
      </w:r>
      <w:r>
        <w:rPr>
          <w:rFonts w:hint="eastAsia" w:ascii="仿宋_GB2312" w:hAnsi="仿宋_GB2312" w:cs="仿宋_GB2312"/>
          <w:color w:val="auto"/>
          <w:highlight w:val="none"/>
        </w:rPr>
        <w:t>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①承接主体项目管理制度健全，项目实施符合相关项目管理规定；</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②建立了实施领导机制并建立了完善的实施方案；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③建立了项目台账，台账记录全面、完整；</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④能接受和配合相关部门的监督检查及绩效评价</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12847"/>
      <w:bookmarkStart w:id="136" w:name="_Toc28623"/>
      <w:bookmarkStart w:id="137" w:name="_Toc127054596"/>
      <w:bookmarkStart w:id="138" w:name="_Toc3716"/>
      <w:bookmarkStart w:id="139" w:name="_Toc28910"/>
      <w:bookmarkStart w:id="140" w:name="_Toc19500"/>
      <w:bookmarkStart w:id="141" w:name="_Toc13773_WPSOffice_Level2"/>
      <w:bookmarkStart w:id="142" w:name="_Toc10055_WPSOffice_Level2"/>
      <w:bookmarkStart w:id="143" w:name="_Toc10585"/>
      <w:bookmarkStart w:id="144" w:name="_Toc15778_WPSOffice_Level2"/>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农机购置补贴机具数年度指标值为大于等于1777台，实际完成值为1777台，完成预期目标，根据评分标准，该指标不扣分。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个，指标从实际完成情况方面进行评价，权重分值9分，实际得分9分。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2.产出质量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农作物耕种收综合机械化率年度指标值为大于等于90%，实际完成值为90.58%，完成预期目标，根据评分标准，该指标不扣分。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偏差原因：预期值设定偏低，造成项目实际完成超出预期，指标完成率出现正偏差。</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改进措施：首先是加强年初项目预算管理。其次是根据项目执行的实际情况，重新评估未来的预期目标，确保指标实际可行。</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资金使用合规性年度指标值为等于100%，实际完成值为100%，完成预期目标，根据评分标准，该指标不扣分。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个，指标从质量达标方面进行评价，权重分值9分，实际得分9分。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农机购置补贴年度资金兑付率年度指标值为等于100%，实际完成值为100%，完成预期目标，根据评分标准，该指标不扣分。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年度补助任务完成时间年度指标值为2023年10月16日前，实际完成值为2023年10月13日，完成预期目标，根据评分标准，该指标不扣分。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个，指标从完成及时性方面进行评价，权重分值8分，实际得分8分。</w:t>
      </w:r>
    </w:p>
    <w:p>
      <w:pPr>
        <w:pStyle w:val="32"/>
        <w:spacing w:line="520" w:lineRule="exact"/>
        <w:ind w:firstLine="562"/>
        <w:rPr>
          <w:rFonts w:ascii="仿宋_GB2312" w:hAnsi="仿宋_GB2312" w:cs="仿宋_GB2312"/>
          <w:b/>
          <w:bCs/>
          <w:color w:val="auto"/>
          <w:highlight w:val="none"/>
        </w:rPr>
      </w:pPr>
      <w:bookmarkStart w:id="145" w:name="_Toc32262_WPSOffice_Level2"/>
      <w:bookmarkStart w:id="146" w:name="_Toc21869"/>
      <w:bookmarkStart w:id="147" w:name="_Toc20923_WPSOffice_Level2"/>
      <w:bookmarkStart w:id="148" w:name="_Toc17557"/>
      <w:bookmarkStart w:id="149" w:name="_Toc4222"/>
      <w:bookmarkStart w:id="150" w:name="_Toc26374_WPSOffice_Level2"/>
      <w:bookmarkStart w:id="151" w:name="_Toc25428"/>
      <w:bookmarkStart w:id="152" w:name="_Toc1244"/>
      <w:bookmarkStart w:id="153" w:name="_Toc127054597"/>
      <w:bookmarkStart w:id="154" w:name="_Toc646"/>
      <w:r>
        <w:rPr>
          <w:rFonts w:hint="eastAsia" w:ascii="仿宋_GB2312" w:hAnsi="仿宋_GB2312" w:cs="仿宋_GB2312"/>
          <w:color w:val="auto"/>
          <w:highlight w:val="none"/>
          <w:lang w:val="en-US" w:eastAsia="zh-CN"/>
        </w:rPr>
        <w:t>4</w:t>
      </w:r>
      <w:r>
        <w:rPr>
          <w:rFonts w:hint="eastAsia" w:ascii="仿宋_GB2312" w:hAnsi="仿宋_GB2312" w:cs="仿宋_GB2312"/>
          <w:b/>
          <w:bCs/>
          <w:color w:val="auto"/>
          <w:highlight w:val="none"/>
        </w:rPr>
        <w:t>.产出成本</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农机购置平均补贴标准年度指标值为小于等于15588.23元/台，实际完成值为15588.23元/台，完成预期目标，根据评分标准，该指标不扣分。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产出成本三级指标共计</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个，指标从成本节约情况进行评价，权重分值9分，实际得分9分。</w:t>
      </w:r>
    </w:p>
    <w:p>
      <w:pPr>
        <w:pStyle w:val="52"/>
        <w:keepNext w:val="0"/>
        <w:keepLines w:val="0"/>
        <w:spacing w:line="520" w:lineRule="exact"/>
        <w:ind w:left="560"/>
        <w:jc w:val="both"/>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四</w:t>
      </w:r>
      <w:r>
        <w:rPr>
          <w:rFonts w:hint="eastAsia" w:ascii="仿宋_GB2312" w:hAnsi="仿宋_GB2312" w:cs="仿宋_GB2312"/>
          <w:color w:val="auto"/>
          <w:highlight w:val="none"/>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lang w:val="en-US" w:eastAsia="zh-CN"/>
        </w:rPr>
        <w:t>4</w:t>
      </w:r>
      <w:r>
        <w:rPr>
          <w:rFonts w:hint="eastAsia" w:ascii="仿宋_GB2312" w:hAnsi="仿宋_GB2312" w:cs="仿宋_GB2312"/>
          <w:color w:val="auto"/>
          <w:highlight w:val="none"/>
        </w:rPr>
        <w:t>个</w:t>
      </w:r>
      <w:r>
        <w:rPr>
          <w:rFonts w:hint="eastAsia" w:ascii="仿宋_GB2312" w:hAnsi="仿宋_GB2312" w:cs="仿宋_GB2312"/>
          <w:color w:val="auto"/>
          <w:highlight w:val="none"/>
        </w:rPr>
        <w:t>三级指标构成，权重分为30分，实际得分</w:t>
      </w:r>
      <w:r>
        <w:rPr>
          <w:rFonts w:hint="eastAsia" w:ascii="仿宋_GB2312" w:hAnsi="仿宋_GB2312" w:cs="仿宋_GB2312"/>
          <w:color w:val="auto"/>
          <w:highlight w:val="none"/>
        </w:rPr>
        <w:t>30分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（1）实施效益指标</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实施效益指标从项目实施所产生的效益</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进行评价，权重分值</w:t>
      </w:r>
      <w:r>
        <w:rPr>
          <w:rFonts w:hint="eastAsia" w:ascii="仿宋_GB2312" w:hAnsi="仿宋_GB2312" w:cs="仿宋_GB2312"/>
          <w:color w:val="auto"/>
          <w:highlight w:val="none"/>
        </w:rPr>
        <w:t>20</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rPr>
        <w:t>20</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①项目实施的经济效益分析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②项目实施的社会效益分析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受益户数年度指标值为大于等于1119户，实际完成值为1119户，完成预期目标，根据评分标准，该指标不扣分。实际得7分。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提升农业机械化生产社会化服务水平年度指标值为有效提升，实际完成值为有效提升，完成预期目标，根据评分标准，该指标不扣分。实际得7分。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减轻农户购买农机的经济负担年度指标值为有效减轻，实际完成值为有效减轻，完成预期目标，根据评分标准，该指标不扣分。实际得6分。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③项目实施的生态效益分析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④项目实施的可持续影响分析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（2）满意度指标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满意度指标完成情况分析从关注社会公众或服务对象对项目实施效果的满意程度方面进行评价，权重分值10分，实际得分10分。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个问题，本项目总体满意度的计算公式=∑</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个问题的满意度/</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评分规则设定为：满意度大于等于98%得10分；不足98%的大于等于8</w:t>
      </w:r>
      <w:r>
        <w:rPr>
          <w:rFonts w:hint="eastAsia" w:ascii="仿宋_GB2312" w:hAnsi="仿宋_GB2312" w:cs="仿宋_GB2312"/>
          <w:color w:val="auto"/>
          <w:highlight w:val="none"/>
          <w:lang w:val="en-US" w:eastAsia="zh-CN"/>
        </w:rPr>
        <w:t>0</w:t>
      </w:r>
      <w:r>
        <w:rPr>
          <w:rFonts w:hint="eastAsia" w:ascii="仿宋_GB2312" w:hAnsi="仿宋_GB2312" w:cs="仿宋_GB2312"/>
          <w:color w:val="auto"/>
          <w:highlight w:val="none"/>
        </w:rPr>
        <w:t>%得8分；不足</w:t>
      </w:r>
      <w:r>
        <w:rPr>
          <w:rFonts w:hint="eastAsia" w:ascii="仿宋_GB2312" w:hAnsi="仿宋_GB2312" w:cs="仿宋_GB2312"/>
          <w:color w:val="auto"/>
          <w:highlight w:val="none"/>
          <w:lang w:val="en-US" w:eastAsia="zh-CN"/>
        </w:rPr>
        <w:t>80</w:t>
      </w:r>
      <w:r>
        <w:rPr>
          <w:rFonts w:hint="eastAsia" w:ascii="仿宋_GB2312" w:hAnsi="仿宋_GB2312" w:cs="仿宋_GB2312"/>
          <w:color w:val="auto"/>
          <w:highlight w:val="none"/>
        </w:rPr>
        <w:t>%的大于等于</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0%得5分；不足</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0%的不得分。该指标得分=满意度*该指标权重分值。</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综合来看，受访对象的满意度分析结果为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r>
        <w:rPr>
          <w:rFonts w:hint="eastAsia" w:ascii="仿宋_GB2312" w:hAnsi="仿宋_GB2312" w:cs="仿宋_GB2312"/>
          <w:color w:val="auto"/>
          <w:highlight w:val="none"/>
        </w:rPr>
        <w:t>。</w:t>
      </w:r>
      <w:r>
        <w:rPr>
          <w:rFonts w:hint="eastAsia" w:ascii="仿宋_GB2312" w:hAnsi="仿宋_GB2312" w:cs="仿宋_GB2312"/>
          <w:color w:val="auto"/>
          <w:highlight w:val="none"/>
        </w:rPr>
        <w:t>因此按满意度权重计分：</w:t>
      </w:r>
      <w:r>
        <w:rPr>
          <w:rFonts w:hint="eastAsia" w:ascii="仿宋_GB2312" w:hAnsi="仿宋_GB2312" w:cs="仿宋_GB2312"/>
          <w:color w:val="auto"/>
          <w:highlight w:val="none"/>
        </w:rPr>
        <w:t>100%*10分=10</w:t>
      </w:r>
      <w:r>
        <w:rPr>
          <w:rFonts w:hint="eastAsia" w:ascii="仿宋_GB2312" w:hAnsi="仿宋_GB2312" w:cs="仿宋_GB2312"/>
          <w:color w:val="auto"/>
          <w:highlight w:val="none"/>
        </w:rPr>
        <w:t>分，满意度指标实际得分</w:t>
      </w:r>
      <w:r>
        <w:rPr>
          <w:rFonts w:hint="eastAsia" w:ascii="仿宋_GB2312" w:hAnsi="仿宋_GB2312" w:cs="仿宋_GB2312"/>
          <w:color w:val="auto"/>
          <w:highlight w:val="none"/>
        </w:rPr>
        <w:t>10</w:t>
      </w:r>
      <w:r>
        <w:rPr>
          <w:rFonts w:hint="eastAsia" w:ascii="仿宋_GB2312" w:hAnsi="仿宋_GB2312" w:cs="仿宋_GB2312"/>
          <w:color w:val="auto"/>
          <w:highlight w:val="none"/>
        </w:rPr>
        <w:t>分。</w:t>
      </w:r>
    </w:p>
    <w:p>
      <w:pPr>
        <w:pStyle w:val="31"/>
        <w:keepNext w:val="0"/>
        <w:keepLines w:val="0"/>
        <w:spacing w:line="520" w:lineRule="exact"/>
        <w:ind w:firstLine="640" w:firstLineChars="200"/>
        <w:jc w:val="both"/>
        <w:rPr>
          <w:color w:val="auto"/>
          <w:highlight w:val="none"/>
        </w:rPr>
      </w:pPr>
      <w:bookmarkStart w:id="155" w:name="_Toc10934"/>
      <w:bookmarkStart w:id="156" w:name="_Toc15802"/>
      <w:bookmarkStart w:id="157" w:name="_Toc18449"/>
      <w:bookmarkStart w:id="158" w:name="_Toc10463_WPSOffice_Level1"/>
      <w:bookmarkStart w:id="159" w:name="_Toc127054598"/>
      <w:bookmarkStart w:id="160" w:name="_Toc24849"/>
      <w:bookmarkStart w:id="161" w:name="_Toc10930_WPSOffice_Level1"/>
      <w:bookmarkStart w:id="162" w:name="_Toc17211"/>
      <w:bookmarkStart w:id="163" w:name="_Toc24579"/>
      <w:bookmarkStart w:id="164" w:name="_Toc2006_WPSOffice_Level1"/>
      <w:r>
        <w:rPr>
          <w:rFonts w:hint="eastAsia"/>
          <w:color w:val="auto"/>
          <w:highlight w:val="none"/>
        </w:rPr>
        <w:t>五、预算执行进度与绩效指标偏差</w:t>
      </w:r>
      <w:bookmarkEnd w:id="155"/>
      <w:bookmarkEnd w:id="156"/>
      <w:bookmarkEnd w:id="157"/>
      <w:bookmarkEnd w:id="158"/>
      <w:bookmarkEnd w:id="159"/>
    </w:p>
    <w:p>
      <w:pPr>
        <w:pStyle w:val="32"/>
        <w:rPr>
          <w:rFonts w:hint="eastAsia" w:ascii="仿宋_GB2312" w:hAnsi="仿宋_GB2312" w:cs="仿宋_GB2312"/>
          <w:color w:val="auto"/>
          <w:sz w:val="28"/>
          <w:szCs w:val="28"/>
          <w:highlight w:val="none"/>
          <w:lang w:val="en-US" w:eastAsia="zh-CN"/>
        </w:rPr>
      </w:pPr>
      <w:bookmarkStart w:id="165" w:name="_Toc19104_WPSOffice_Level1"/>
      <w:bookmarkStart w:id="166" w:name="_Toc12278"/>
      <w:bookmarkStart w:id="167" w:name="_Toc24452"/>
      <w:bookmarkStart w:id="168" w:name="_Toc28884"/>
      <w:bookmarkStart w:id="169" w:name="_Toc127054599"/>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农机购置补贴项目</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预算执行率与绩效指标完成率存在偏差，项目预算执行率为100%，项目绩效指标总体完成率100.3%，偏差率为0.3%。</w:t>
      </w:r>
    </w:p>
    <w:p>
      <w:pPr>
        <w:pStyle w:val="3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1.质量指标下“农作物耕种收综合机械化率”指标实际完成值优于预期值，指标实际完成较预期出现正偏差。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年初制定的目标基于往年的完成情况和预期的发展趋势。然而，在实际执行过程中，由于政策支持、农民积极性提高以及农机服务体系的完善等因素，农作物耕种收综合机械化率的实际提升速度超过了本年预期。</w:t>
      </w:r>
    </w:p>
    <w:p>
      <w:pPr>
        <w:pStyle w:val="3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改进措施：针对不同地区的农业特点和需求，推广适宜的农业机械装备，提高机械装备的适配性和使用效率。通过财政补贴、税收优惠等方式，鼓励农民和农业企业使用先进的农业机械设备，继续提高农作物耕种收综合机械化率。</w:t>
      </w:r>
    </w:p>
    <w:p>
      <w:pPr>
        <w:pStyle w:val="3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2.满意度指标实际完成值优于预期值，指标实际完成较预期出现正偏差。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偏差原因：首先，项目初期，对受益对象需求的理解存在偏差，导致预期值设置偏低。其次，项目在实际执行过程中有效地满足了项目预期目标，造成实际完成情况超出受益对象的期望。</w:t>
      </w:r>
    </w:p>
    <w:p>
      <w:pPr>
        <w:pStyle w:val="32"/>
        <w:rPr>
          <w:rFonts w:hint="eastAsia"/>
          <w:color w:val="auto"/>
          <w:highlight w:val="none"/>
          <w:lang w:val="en-US" w:eastAsia="zh-CN"/>
        </w:rPr>
      </w:pPr>
      <w:r>
        <w:rPr>
          <w:rFonts w:hint="eastAsia" w:ascii="仿宋_GB2312" w:hAnsi="仿宋_GB2312" w:cs="仿宋_GB2312"/>
          <w:color w:val="auto"/>
          <w:sz w:val="28"/>
          <w:szCs w:val="28"/>
          <w:highlight w:val="none"/>
          <w:lang w:val="en-US" w:eastAsia="zh-CN"/>
        </w:rPr>
        <w:t>改进措施：对偏差进行深入分析，充分了解受益对象的需求变化，明确造成实际完成值高于预期的具体原因，以便在未来的项目中更好地把握和预测。</w:t>
      </w:r>
    </w:p>
    <w:p>
      <w:pPr>
        <w:pStyle w:val="31"/>
        <w:keepNext w:val="0"/>
        <w:keepLines w:val="0"/>
        <w:spacing w:line="520" w:lineRule="exact"/>
        <w:ind w:firstLine="640" w:firstLineChars="200"/>
        <w:jc w:val="both"/>
        <w:rPr>
          <w:rFonts w:hint="default" w:eastAsia="黑体"/>
          <w:color w:val="auto"/>
          <w:highlight w:val="none"/>
          <w:lang w:val="en-US" w:eastAsia="zh-CN"/>
        </w:rPr>
      </w:pPr>
      <w:r>
        <w:rPr>
          <w:rFonts w:hint="eastAsia"/>
          <w:color w:val="auto"/>
          <w:highlight w:val="none"/>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color w:val="auto"/>
          <w:highlight w:val="none"/>
          <w:lang w:eastAsia="zh-CN"/>
        </w:rPr>
        <w:t>、</w:t>
      </w:r>
      <w:r>
        <w:rPr>
          <w:rFonts w:hint="eastAsia"/>
          <w:color w:val="auto"/>
          <w:highlight w:val="none"/>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auto"/>
          <w:highlight w:val="none"/>
          <w:lang w:val="en-US" w:eastAsia="zh-CN"/>
        </w:rPr>
      </w:pPr>
      <w:bookmarkStart w:id="170" w:name="_Toc5442_WPSOffice_Level2"/>
      <w:bookmarkStart w:id="171" w:name="_Toc28921"/>
      <w:bookmarkStart w:id="172" w:name="_Toc18033"/>
      <w:bookmarkStart w:id="173" w:name="_Toc16717"/>
      <w:bookmarkStart w:id="174" w:name="_Toc23806_WPSOffice_Level2"/>
      <w:bookmarkStart w:id="175" w:name="_Toc127054600"/>
      <w:bookmarkStart w:id="176" w:name="_Toc14218"/>
      <w:bookmarkStart w:id="177" w:name="_Toc6806_WPSOffice_Level2"/>
      <w:bookmarkStart w:id="178" w:name="_Toc12587"/>
      <w:bookmarkStart w:id="179" w:name="_Toc19554"/>
      <w:r>
        <w:rPr>
          <w:rFonts w:hint="eastAsia" w:ascii="仿宋_GB2312" w:hAnsi="仿宋_GB2312" w:cs="仿宋_GB2312"/>
          <w:color w:val="auto"/>
          <w:highlight w:val="none"/>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1.项目管理规范。建立完善的管理机制，明确各方的职责和权利，加强内部协调和沟通，确保项目实施的顺利进行。同时，注重项目的过程管理和监督，及时发现和解决问题，确保项目的质量。</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val="en-US" w:eastAsia="zh-CN"/>
        </w:rPr>
        <w:t>2.精心组织，落实责任。农业和财政部门对全县农业机械发展现状和需求进行深入分析，科学制定补贴规划，确保补贴政策的针对性和有效性。农机、财政部门明确任务，精心组织实施，确保补贴政策的顺利实施。</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3.资金监管与信息公开。建立严格的资金使用监管机制，对农机购置补助资金的申请、审批、发放等环节进行全程监控，确保资金安全、合规使用。推行信息公开制度，公布农机购置补助的使用情况、受益对象等信息，接受社会监督。</w:t>
      </w:r>
    </w:p>
    <w:p>
      <w:pPr>
        <w:pStyle w:val="52"/>
        <w:keepNext w:val="0"/>
        <w:keepLines w:val="0"/>
        <w:spacing w:line="520" w:lineRule="exact"/>
        <w:ind w:left="560"/>
        <w:jc w:val="both"/>
        <w:rPr>
          <w:rFonts w:ascii="仿宋_GB2312" w:hAnsi="仿宋_GB2312" w:cs="仿宋_GB2312"/>
          <w:color w:val="auto"/>
          <w:sz w:val="18"/>
          <w:szCs w:val="18"/>
          <w:highlight w:val="none"/>
        </w:rPr>
      </w:pPr>
      <w:bookmarkStart w:id="180" w:name="_Toc14241"/>
      <w:bookmarkStart w:id="181" w:name="_Toc29645_WPSOffice_Level2"/>
      <w:bookmarkStart w:id="182" w:name="_Toc127054601"/>
      <w:bookmarkStart w:id="183" w:name="_Toc2377_WPSOffice_Level2"/>
      <w:bookmarkStart w:id="184" w:name="_Toc16479"/>
      <w:bookmarkStart w:id="185" w:name="_Toc30239"/>
      <w:bookmarkStart w:id="186" w:name="_Toc14455"/>
      <w:bookmarkStart w:id="187" w:name="_Toc22757"/>
      <w:bookmarkStart w:id="188" w:name="_Toc22477"/>
      <w:bookmarkStart w:id="189" w:name="_Toc27136_WPSOffice_Level2"/>
      <w:r>
        <w:rPr>
          <w:rFonts w:hint="eastAsia" w:ascii="仿宋_GB2312" w:hAnsi="仿宋_GB2312" w:cs="仿宋_GB2312"/>
          <w:color w:val="auto"/>
          <w:highlight w:val="none"/>
        </w:rPr>
        <w:t>（二）存在</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default" w:ascii="仿宋_GB2312" w:hAnsi="仿宋_GB2312" w:cs="仿宋_GB2312"/>
          <w:color w:val="auto"/>
          <w:highlight w:val="none"/>
          <w:lang w:val="en-US" w:eastAsia="zh-CN"/>
        </w:rPr>
      </w:pPr>
      <w:bookmarkStart w:id="190" w:name="_Toc12413_WPSOffice_Level1"/>
      <w:bookmarkStart w:id="191" w:name="_Toc127054602"/>
      <w:bookmarkStart w:id="192" w:name="_Toc15650_WPSOffice_Level1"/>
      <w:bookmarkStart w:id="193" w:name="_Toc26233_WPSOffice_Level1"/>
      <w:bookmarkStart w:id="194" w:name="_Toc8075"/>
      <w:bookmarkStart w:id="195" w:name="_Toc16264"/>
      <w:bookmarkStart w:id="196" w:name="_Toc20951"/>
      <w:bookmarkStart w:id="197" w:name="_Toc25046"/>
      <w:bookmarkStart w:id="198" w:name="_Toc31693"/>
      <w:bookmarkStart w:id="199" w:name="_Toc13442"/>
      <w:r>
        <w:rPr>
          <w:rFonts w:hint="eastAsia" w:ascii="仿宋_GB2312" w:hAnsi="仿宋_GB2312" w:cs="仿宋_GB2312"/>
          <w:color w:val="auto"/>
          <w:highlight w:val="none"/>
          <w:lang w:val="en-US" w:eastAsia="zh-CN"/>
        </w:rPr>
        <w:t>1.农机装备结构不合理。农机装备更新换代缓慢，老旧设备占比较大，不利于农业现代化发展。部分地区农机装备结构单一，缺乏多样化、高效化的农机设备，影响了农业生产效率。</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2.农民购机意愿不强。部分农民对现代化农机的认知不足，缺乏购机意愿，即使有补贴政策，也不愿投入资金购买先进农机设备。</w:t>
      </w:r>
    </w:p>
    <w:p>
      <w:pPr>
        <w:pStyle w:val="52"/>
        <w:keepNext w:val="0"/>
        <w:keepLines w:val="0"/>
        <w:spacing w:line="520" w:lineRule="exact"/>
        <w:ind w:left="560"/>
        <w:jc w:val="both"/>
        <w:rPr>
          <w:rFonts w:hint="eastAsia" w:ascii="仿宋_GB2312" w:hAnsi="仿宋_GB2312" w:cs="仿宋_GB2312"/>
          <w:color w:val="auto"/>
          <w:sz w:val="21"/>
          <w:szCs w:val="21"/>
          <w:highlight w:val="none"/>
          <w:lang w:val="en-US" w:eastAsia="zh-CN"/>
        </w:rPr>
      </w:pPr>
      <w:r>
        <w:rPr>
          <w:rFonts w:hint="eastAsia" w:ascii="仿宋_GB2312" w:hAnsi="仿宋_GB2312" w:cs="仿宋_GB2312"/>
          <w:color w:val="auto"/>
          <w:highlight w:val="none"/>
          <w:lang w:val="en-US" w:eastAsia="zh-CN"/>
        </w:rPr>
        <w:t>（三）下一步改进措施</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highlight w:val="none"/>
        </w:rPr>
        <w:t>1.优化农机装备结构</w:t>
      </w:r>
      <w:r>
        <w:rPr>
          <w:rFonts w:hint="eastAsia" w:ascii="仿宋_GB2312" w:hAnsi="仿宋_GB2312" w:cs="仿宋_GB2312"/>
          <w:color w:val="auto"/>
          <w:highlight w:val="none"/>
          <w:lang w:val="en-US" w:eastAsia="zh-CN"/>
        </w:rPr>
        <w:t>。</w:t>
      </w:r>
      <w:r>
        <w:rPr>
          <w:rFonts w:hint="eastAsia" w:ascii="仿宋_GB2312" w:hAnsi="仿宋_GB2312" w:cs="仿宋_GB2312"/>
          <w:color w:val="auto"/>
          <w:highlight w:val="none"/>
        </w:rPr>
        <w:t>加大对高效、智能化农机设备的补贴力度，引导农民购置先进适用的农机装备。鼓励农机装备更新换代，对老旧农机设备进行淘汰和更新，提高农业生产效率。</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kern w:val="0"/>
          <w:sz w:val="28"/>
          <w:szCs w:val="28"/>
          <w:highlight w:val="none"/>
          <w:lang w:val="en-US" w:eastAsia="zh-CN" w:bidi="ar-SA"/>
        </w:rPr>
        <w:t>2.加强农机农技培训指导</w:t>
      </w:r>
      <w:r>
        <w:rPr>
          <w:rFonts w:hint="eastAsia" w:ascii="仿宋_GB2312" w:hAnsi="仿宋_GB2312" w:cs="仿宋_GB2312"/>
          <w:color w:val="auto"/>
          <w:highlight w:val="none"/>
          <w:lang w:val="en-US" w:eastAsia="zh-CN"/>
        </w:rPr>
        <w:t>。</w:t>
      </w:r>
      <w:r>
        <w:rPr>
          <w:rFonts w:hint="eastAsia" w:ascii="仿宋_GB2312" w:hAnsi="仿宋_GB2312" w:cs="仿宋_GB2312"/>
          <w:color w:val="auto"/>
          <w:kern w:val="0"/>
          <w:sz w:val="28"/>
          <w:szCs w:val="28"/>
          <w:highlight w:val="none"/>
          <w:lang w:val="en-US" w:eastAsia="zh-CN" w:bidi="ar-SA"/>
        </w:rPr>
        <w:t>组织专家和技术人员，深入乡村开展农机使用培训和技术指导，提高农民对现代化农机的认知和使用能力。</w:t>
      </w:r>
    </w:p>
    <w:p>
      <w:pPr>
        <w:pStyle w:val="31"/>
        <w:keepNext w:val="0"/>
        <w:keepLines w:val="0"/>
        <w:spacing w:line="520" w:lineRule="exact"/>
        <w:ind w:firstLine="640" w:firstLineChars="200"/>
        <w:jc w:val="both"/>
        <w:rPr>
          <w:color w:val="auto"/>
          <w:sz w:val="21"/>
          <w:szCs w:val="21"/>
          <w:highlight w:val="none"/>
        </w:rPr>
      </w:pPr>
      <w:r>
        <w:rPr>
          <w:rFonts w:hint="eastAsia"/>
          <w:color w:val="auto"/>
          <w:highlight w:val="none"/>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default" w:ascii="仿宋_GB2312" w:hAnsi="仿宋_GB2312" w:cs="仿宋_GB2312"/>
          <w:color w:val="auto"/>
          <w:highlight w:val="none"/>
          <w:lang w:val="en-US" w:eastAsia="zh-CN"/>
        </w:rPr>
      </w:pPr>
      <w:bookmarkStart w:id="200" w:name="_Toc30131"/>
      <w:bookmarkStart w:id="201" w:name="_Toc6873"/>
      <w:bookmarkStart w:id="202" w:name="_Toc28208_WPSOffice_Level1"/>
      <w:bookmarkStart w:id="203" w:name="_Toc7041"/>
      <w:bookmarkStart w:id="204" w:name="_Toc127054603"/>
      <w:bookmarkStart w:id="205" w:name="_Toc5941_WPSOffice_Level1"/>
      <w:bookmarkStart w:id="206" w:name="_Toc17796"/>
      <w:bookmarkStart w:id="207" w:name="_Toc20924_WPSOffice_Level1"/>
      <w:bookmarkStart w:id="208" w:name="_Toc29208"/>
      <w:bookmarkStart w:id="209" w:name="_Toc23889"/>
      <w:r>
        <w:rPr>
          <w:rFonts w:hint="eastAsia" w:ascii="仿宋_GB2312" w:hAnsi="仿宋_GB2312" w:cs="仿宋_GB2312"/>
          <w:color w:val="auto"/>
          <w:highlight w:val="none"/>
        </w:rPr>
        <w:t>1.</w:t>
      </w:r>
      <w:r>
        <w:rPr>
          <w:rFonts w:hint="eastAsia" w:ascii="仿宋_GB2312" w:hAnsi="仿宋_GB2312" w:cs="仿宋_GB2312"/>
          <w:color w:val="auto"/>
          <w:highlight w:val="none"/>
          <w:lang w:val="en-US" w:eastAsia="zh-CN"/>
        </w:rPr>
        <w:t>建议强化宣传，扩大政策影响力。利用媒体宣传，包括宣传册、横幅、电视广告、微信公众号等多种渠道，广泛宣传农机购置补贴政策，增强农民购机积极性。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2.建议简化流程，优化服务。推行“一站式”服务，整合农机购置补贴申请、审核、发放等环节，减少农民跑腿次数，提高办事效率。</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3.建议实地了解农业生产需求。组织专业人员，深入各乡镇、村庄，与农民面对面交流，了解当地农业生产需求、农机装备现状及农民购机意愿，确保补贴政策与实际需求紧密结合。</w:t>
      </w:r>
    </w:p>
    <w:p>
      <w:pPr>
        <w:pStyle w:val="31"/>
        <w:keepNext w:val="0"/>
        <w:keepLines w:val="0"/>
        <w:spacing w:line="520" w:lineRule="exact"/>
        <w:ind w:firstLine="640" w:firstLineChars="200"/>
        <w:jc w:val="both"/>
        <w:rPr>
          <w:color w:val="auto"/>
          <w:highlight w:val="none"/>
        </w:rPr>
      </w:pPr>
      <w:r>
        <w:rPr>
          <w:rFonts w:hint="eastAsia"/>
          <w:color w:val="auto"/>
          <w:highlight w:val="none"/>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pPr>
        <w:pStyle w:val="32"/>
        <w:ind w:firstLine="560"/>
        <w:rPr>
          <w:color w:val="auto"/>
          <w:highlight w:val="none"/>
        </w:rPr>
      </w:pPr>
      <w:bookmarkStart w:id="210" w:name="_Toc25689_WPSOffice_Level1"/>
      <w:bookmarkStart w:id="211" w:name="_Toc30582_WPSOffice_Level1"/>
    </w:p>
    <w:p>
      <w:pPr>
        <w:pStyle w:val="32"/>
        <w:ind w:firstLine="560"/>
        <w:rPr>
          <w:color w:val="auto"/>
          <w:highlight w:val="none"/>
        </w:rPr>
      </w:pPr>
      <w:bookmarkStart w:id="212" w:name="_Toc13636_WPSOffice_Level1"/>
      <w:r>
        <w:rPr>
          <w:rFonts w:hint="eastAsia"/>
          <w:color w:val="auto"/>
          <w:highlight w:val="none"/>
        </w:rPr>
        <w:t>附件1：综合评分表</w:t>
      </w:r>
      <w:bookmarkEnd w:id="210"/>
      <w:bookmarkEnd w:id="211"/>
      <w:bookmarkEnd w:id="212"/>
    </w:p>
    <w:p>
      <w:pPr>
        <w:pStyle w:val="32"/>
        <w:ind w:firstLine="560"/>
        <w:rPr>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32"/>
        <w:ind w:firstLine="0" w:firstLineChars="0"/>
        <w:rPr>
          <w:rFonts w:ascii="仿宋_GB2312" w:hAnsi="仿宋_GB2312" w:cs="仿宋_GB2312"/>
          <w:b/>
          <w:bCs/>
          <w:color w:val="auto"/>
          <w:highlight w:val="none"/>
        </w:rPr>
      </w:pPr>
      <w:bookmarkStart w:id="213" w:name="_Toc12641_WPSOffice_Level1"/>
      <w:bookmarkStart w:id="214" w:name="_Toc13717_WPSOffice_Level1"/>
      <w:bookmarkStart w:id="215" w:name="_Toc25446_WPSOffice_Level1"/>
      <w:r>
        <w:rPr>
          <w:rFonts w:hint="eastAsia" w:ascii="仿宋_GB2312" w:hAnsi="仿宋_GB2312" w:cs="仿宋_GB2312"/>
          <w:b/>
          <w:bCs/>
          <w:color w:val="auto"/>
          <w:highlight w:val="none"/>
        </w:rPr>
        <w:t>附件1：综合评分表</w:t>
      </w:r>
      <w:bookmarkEnd w:id="213"/>
      <w:bookmarkEnd w:id="214"/>
      <w:bookmarkEnd w:id="215"/>
    </w:p>
    <w:p>
      <w:pPr>
        <w:pStyle w:val="32"/>
        <w:ind w:firstLine="562"/>
        <w:jc w:val="center"/>
        <w:rPr>
          <w:b/>
          <w:bCs/>
          <w:color w:val="auto"/>
          <w:highlight w:val="none"/>
        </w:rPr>
      </w:pPr>
      <w:bookmarkStart w:id="216" w:name="_Toc30064_WPSOffice_Level1"/>
      <w:bookmarkStart w:id="217" w:name="_Toc12492_WPSOffice_Level2"/>
      <w:bookmarkStart w:id="218" w:name="_Toc26499_WPSOffice_Level2"/>
      <w:r>
        <w:rPr>
          <w:rFonts w:hint="eastAsia"/>
          <w:b/>
          <w:bCs/>
          <w:color w:val="auto"/>
          <w:highlight w:val="none"/>
          <w:lang w:eastAsia="zh-CN"/>
        </w:rPr>
        <w:t>农机购置补贴项目</w:t>
      </w:r>
      <w:r>
        <w:rPr>
          <w:rFonts w:hint="eastAsia"/>
          <w:b/>
          <w:bCs/>
          <w:color w:val="auto"/>
          <w:highlight w:val="none"/>
        </w:rPr>
        <w:t>绩效评价指标体系及综合评分表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321"/>
        <w:gridCol w:w="1005"/>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trPr>
        <w:tc>
          <w:tcPr>
            <w:tcW w:w="953" w:type="dxa"/>
            <w:shd w:val="clear" w:color="auto" w:fill="FFFFFF"/>
            <w:vAlign w:val="center"/>
          </w:tcPr>
          <w:p>
            <w:pPr>
              <w:ind w:firstLine="0" w:firstLineChars="0"/>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一级指标</w:t>
            </w:r>
          </w:p>
        </w:tc>
        <w:tc>
          <w:tcPr>
            <w:tcW w:w="132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二级指标</w:t>
            </w:r>
          </w:p>
        </w:tc>
        <w:tc>
          <w:tcPr>
            <w:tcW w:w="100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三级指标</w:t>
            </w:r>
          </w:p>
        </w:tc>
        <w:tc>
          <w:tcPr>
            <w:tcW w:w="231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指标解释</w:t>
            </w:r>
          </w:p>
        </w:tc>
        <w:tc>
          <w:tcPr>
            <w:tcW w:w="75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分值</w:t>
            </w:r>
          </w:p>
        </w:tc>
        <w:tc>
          <w:tcPr>
            <w:tcW w:w="6140" w:type="dxa"/>
            <w:shd w:val="clear" w:color="auto" w:fill="FFFFFF"/>
            <w:vAlign w:val="center"/>
          </w:tcPr>
          <w:p>
            <w:pPr>
              <w:ind w:firstLine="361"/>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指标说明</w:t>
            </w:r>
          </w:p>
        </w:tc>
        <w:tc>
          <w:tcPr>
            <w:tcW w:w="717" w:type="dxa"/>
            <w:noWrap/>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得分</w:t>
            </w:r>
          </w:p>
        </w:tc>
        <w:tc>
          <w:tcPr>
            <w:tcW w:w="963" w:type="dxa"/>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决策</w:t>
            </w:r>
          </w:p>
          <w:p>
            <w:pPr>
              <w:ind w:firstLine="0" w:firstLineChars="0"/>
              <w:jc w:val="center"/>
              <w:textAlignment w:val="center"/>
              <w:rPr>
                <w:rFonts w:hint="default" w:eastAsia="仿宋_GB2312"/>
                <w:color w:val="auto"/>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20分）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决策</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20分）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项目立项</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立项依据充分性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项目立项是否符合法律法规、相关政策、发展规划以及部门职责，用以反映和考核项目立项依据情况。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①项目立项符合国家法律法规、国民经济发展规划和相关政策（1分）；否则，不得分。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②项目立项符合行业发展规划和政策要求（1分）否则，不得分；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③项目立项与部门职责范围相符，属于部门履职所需（1分）否则，不得分；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④项目属于公共财政支持范围，符合中央、地方事权支出责任划分原则（1分）否则，不得分；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立项程序规范性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项目申请、设立过程是否符合相关要求，用以反映和考核项目立项的规范情况。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①项目按照规定的程序申请设立（1分）否则，不得分；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②审批文件、材料符合相关要求（1分）否则，不得分；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绩效目标</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5分）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绩效目标合理性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项目所设定的绩效目标是否依据充分，是否符合客观实际，用以反映和考核项目绩效目标与项目实施的相符情况。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①项目有绩效目标，（1分），否则，不得分；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②项目绩效目标与实际工作内容具有相关性，预期产出效益和效果符合正常的业绩水平，否则，不得分（1分）；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绩效指标明确性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依据绩效目标设定的绩效指标是否清晰、细化、可衡量等，用以反映和考核项目绩效目标的明细化情况。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①项目绩效目标细化分解为具体的绩效指标，（1分）否则，不得分；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资金投入</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预算编制科学性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项目预算编制是否经过科学论证、有明确标准，资金额度与年度目标是否相适应，用以反映和考核项目预算编制的科学性、合理性情况。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①预算编制经过科学论证（1分）否则，不得分；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②预算内容与项目内容匹配（1.5分）否则，不得分；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③预算额度测算依据充分，按照标准编制（1.5分）否则，不得分；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资金分配合理性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项目预算资金分配是否有测算依据，与补助单位或地方实际是否相适应，用以反映和考核项目预算资金分配的科学性、合理性情况。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①预算资金分配依据充分（1分）否则，不得分；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过程</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15分）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过程</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15分）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资金管理</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资金到位率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实际到位资金与预算资金的比率，用以反映和考核资金落实情况对项目实施的总体保障程度。</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①资金到位率为100%的，得满分。（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 xml:space="preserve">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②资金未全额到位的，按照满分乘以到位率计算得分。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预算执行率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项目预算资金是否按照计划执行，用以反映或考核项目预算执行情况</w:t>
            </w:r>
            <w:r>
              <w:rPr>
                <w:rFonts w:hint="eastAsia" w:ascii="仿宋_GB2312" w:hAnsi="仿宋_GB2312" w:cs="仿宋_GB2312"/>
                <w:color w:val="auto"/>
                <w:kern w:val="0"/>
                <w:sz w:val="18"/>
                <w:szCs w:val="18"/>
                <w:highlight w:val="none"/>
                <w:lang w:bidi="ar"/>
              </w:rPr>
              <w:t>。</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①预算执行率为100%的，得满分（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eastAsia="zh-CN" w:bidi="ar"/>
              </w:rPr>
              <w:t>②资金未执行完毕的，按照满分乘以执行率计算得分。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（预算执行率=（实际支出资金/实际到位资金）×100%）。</w:t>
            </w:r>
          </w:p>
        </w:tc>
        <w:tc>
          <w:tcPr>
            <w:tcW w:w="717"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资金使用合规性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项目资金使用是否符合相关的财务管理制度规定，用以反映和考核项目资金的规范运行情况。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①符合国家财经法规和财务管理制度以及有关专项资金管理办法的规定（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②资金的拨付有完整的审批程序和手续（</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③符合项目预算批复或合同规定的用途（</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④不存在截留、挤占、挪用、虚列支出等情况（</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组织实施</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管理制度健全性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项目实施单位的财务和业务管理制度是否健全，用以反映和考核财务和业务管理制度对项目顺利实施的保障情况。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①已制定或具有相应的财务和业务管理制度（</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②财务和业务管理制度合法、合规、完整（</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bidi="ar"/>
              </w:rPr>
              <w:t>制度执行有效性</w:t>
            </w:r>
          </w:p>
        </w:tc>
        <w:tc>
          <w:tcPr>
            <w:tcW w:w="231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项目实施是否符合相关管理规定，用以反映和考核相关管理制度的有效执行情况。</w:t>
            </w:r>
          </w:p>
        </w:tc>
        <w:tc>
          <w:tcPr>
            <w:tcW w:w="751"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①遵守相关法律法规和相关管理规定（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②项目调整及支出调整手续完备（</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③项目合同书、验收报告、技术鉴定等资料齐全并及时归档（</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④项目实施的人员条件、场地设备、信息支撑等落实到位（</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firstLineChars="20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项目实施管理规范性</w:t>
            </w:r>
          </w:p>
        </w:tc>
        <w:tc>
          <w:tcPr>
            <w:tcW w:w="2315" w:type="dxa"/>
            <w:shd w:val="clear" w:color="auto" w:fill="FFFFFF"/>
            <w:vAlign w:val="center"/>
          </w:tcPr>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color w:val="auto"/>
                <w:kern w:val="0"/>
                <w:sz w:val="18"/>
                <w:szCs w:val="18"/>
                <w:highlight w:val="none"/>
                <w:lang w:eastAsia="zh-CN" w:bidi="ar"/>
              </w:rPr>
              <w:t>。</w:t>
            </w:r>
          </w:p>
        </w:tc>
        <w:tc>
          <w:tcPr>
            <w:tcW w:w="751" w:type="dxa"/>
            <w:shd w:val="clear" w:color="auto" w:fill="FFFFFF"/>
            <w:vAlign w:val="center"/>
          </w:tcPr>
          <w:p>
            <w:pPr>
              <w:ind w:firstLine="0" w:firstLineChars="0"/>
              <w:jc w:val="center"/>
              <w:textAlignment w:val="center"/>
              <w:rPr>
                <w:rFonts w:hint="default"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3</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①承接主体项目管理制度健全，项目实施符合相关项目管理规定</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②建立了实施领导机制并建立了完善的实施方案</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③建立了项目台账，台账记录全面、完整</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④能接受和配合相关部门的监督检查及绩效评价</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r>
              <w:rPr>
                <w:rFonts w:hint="eastAsia" w:ascii="仿宋_GB2312" w:hAnsi="仿宋_GB2312" w:cs="仿宋_GB2312"/>
                <w:color w:val="auto"/>
                <w:kern w:val="0"/>
                <w:sz w:val="18"/>
                <w:szCs w:val="18"/>
                <w:highlight w:val="none"/>
                <w:lang w:eastAsia="zh-CN" w:bidi="ar"/>
              </w:rPr>
              <w:t>。</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tc>
        <w:tc>
          <w:tcPr>
            <w:tcW w:w="132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产出数量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农机购置补贴机具数</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项目实施的实际产出数与计划产出数的比率，用以反映和考核项目产出数量目标的实现程度</w:t>
            </w:r>
            <w:r>
              <w:rPr>
                <w:rFonts w:hint="eastAsia" w:ascii="仿宋_GB2312" w:hAnsi="仿宋_GB2312" w:cs="仿宋_GB2312"/>
                <w:color w:val="auto"/>
                <w:kern w:val="0"/>
                <w:sz w:val="18"/>
                <w:szCs w:val="18"/>
                <w:highlight w:val="none"/>
                <w:lang w:bidi="ar"/>
              </w:rPr>
              <w:t>。</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农机购置补贴机具数年度指标值为大于等于1777台，实际完成值为1777台，完成预期目标，根据评分标准，该指标不扣分。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产出质量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农作物耕种收综合机械化率</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项目完成的质量达标产出数与实际产出数的比率，用以反映和考核项目产出质量目标的实现程度。</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农作物耕种收综合机械化率年度指标值为大于等于90%，实际完成值为90.58%，完成预期目标，根据评分标准，该指标不扣分。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资金使用合规性</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资金使用合规性年度指标值为等于100%，实际完成值为100%，完成预期目标，根据评分标准，该指标不扣分。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产出时效</w:t>
            </w: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农机购置补贴年度资金兑付率</w:t>
            </w:r>
          </w:p>
        </w:tc>
        <w:tc>
          <w:tcPr>
            <w:tcW w:w="2315" w:type="dxa"/>
            <w:vMerge w:val="restart"/>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项目实际完成时间与计划完成时间的比较，用以反映和考核项目产出时效目标的实现程度。</w:t>
            </w:r>
          </w:p>
        </w:tc>
        <w:tc>
          <w:tcPr>
            <w:tcW w:w="751" w:type="dxa"/>
            <w:vMerge w:val="restart"/>
            <w:vAlign w:val="center"/>
          </w:tcPr>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8</w:t>
            </w: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农机购置补贴年度资金兑付率年度指标值为等于100%，实际完成值为100%，完成预期目标，根据评分标准，该指标不扣分。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8</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年度补助任务完成时间</w:t>
            </w:r>
          </w:p>
        </w:tc>
        <w:tc>
          <w:tcPr>
            <w:tcW w:w="2315" w:type="dxa"/>
            <w:vMerge w:val="continue"/>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年度补助任务完成时间年度指标值为2023年10月16日前，实际完成值为2023年10月13日，完成预期目标，根据评分标准，该指标不扣分。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产出成本</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农机购置平均补贴标准</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完成项目计划工作目标的实际节约成本与计划成本的比率，用以反映和考核项目的成本节约程度。</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农机购置平均补贴标准年度指标值为小于等于15588.23元/台，实际完成值为15588.23元/台，完成预期目标，根据评分标准，该指标不扣分。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效益</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30分）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项目效益</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受益户数</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社会</w:t>
            </w:r>
            <w:r>
              <w:rPr>
                <w:rFonts w:hint="eastAsia" w:ascii="仿宋_GB2312" w:hAnsi="仿宋_GB2312" w:cs="仿宋_GB2312"/>
                <w:color w:val="auto"/>
                <w:kern w:val="0"/>
                <w:sz w:val="18"/>
                <w:szCs w:val="18"/>
                <w:highlight w:val="none"/>
                <w:lang w:bidi="ar"/>
              </w:rPr>
              <w:t>效益。</w:t>
            </w:r>
          </w:p>
        </w:tc>
        <w:tc>
          <w:tcPr>
            <w:tcW w:w="751" w:type="dxa"/>
            <w:vMerge w:val="restart"/>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20</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受益户数年度指标值为大于等于1119户，实际完成值为1119户，完成预期目标，根据评分标准，该指标不扣分。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提升农业机械化生产社会化服务水平</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提升农业机械化生产社会化服务水平年度指标值为有效提升，实际完成值为有效提升，完成预期目标，根据评分标准，该指标不扣分。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减轻农户购买农机的经济负担</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减轻农户购买农机的经济负担年度指标值为有效减轻，实际完成值为有效减轻，完成预期目标，根据评分标准，该指标不扣分。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满意度</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社会公众或服务对象对项目实施效果的满意程度。</w:t>
            </w:r>
          </w:p>
        </w:tc>
        <w:tc>
          <w:tcPr>
            <w:tcW w:w="751" w:type="dxa"/>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根据问卷调查，受益群众满意度达到满意的人数：                                      ①人数大于等于98%，得</w:t>
            </w:r>
            <w:r>
              <w:rPr>
                <w:rFonts w:hint="eastAsia" w:ascii="仿宋_GB2312" w:hAnsi="仿宋_GB2312" w:cs="仿宋_GB2312"/>
                <w:color w:val="auto"/>
                <w:kern w:val="0"/>
                <w:sz w:val="18"/>
                <w:szCs w:val="18"/>
                <w:highlight w:val="none"/>
                <w:lang w:bidi="ar"/>
              </w:rPr>
              <w:t>10分</w:t>
            </w:r>
            <w:r>
              <w:rPr>
                <w:rFonts w:hint="eastAsia" w:ascii="仿宋_GB2312" w:hAnsi="仿宋_GB2312" w:cs="仿宋_GB2312"/>
                <w:color w:val="auto"/>
                <w:kern w:val="0"/>
                <w:sz w:val="18"/>
                <w:szCs w:val="18"/>
                <w:highlight w:val="none"/>
                <w:lang w:bidi="ar"/>
              </w:rPr>
              <w:t>；</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②人数小于98%大于等于8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%，得8分；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③人数小于8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%大于等于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0%，得5分；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④人数小于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合计</w:t>
            </w:r>
          </w:p>
        </w:tc>
        <w:tc>
          <w:tcPr>
            <w:tcW w:w="2315" w:type="dxa"/>
            <w:noWrap/>
            <w:vAlign w:val="center"/>
          </w:tcPr>
          <w:p>
            <w:pPr>
              <w:ind w:firstLine="360"/>
              <w:jc w:val="left"/>
              <w:rPr>
                <w:rFonts w:ascii="仿宋_GB2312" w:hAnsi="仿宋_GB2312" w:cs="仿宋_GB2312"/>
                <w:color w:val="auto"/>
                <w:sz w:val="18"/>
                <w:szCs w:val="18"/>
                <w:highlight w:val="none"/>
              </w:rPr>
            </w:pPr>
          </w:p>
        </w:tc>
        <w:tc>
          <w:tcPr>
            <w:tcW w:w="751" w:type="dxa"/>
            <w:noWrap/>
            <w:vAlign w:val="center"/>
          </w:tcPr>
          <w:p>
            <w:pPr>
              <w:ind w:firstLine="180" w:firstLineChars="10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100</w:t>
            </w:r>
          </w:p>
        </w:tc>
        <w:tc>
          <w:tcPr>
            <w:tcW w:w="6140" w:type="dxa"/>
            <w:vAlign w:val="center"/>
          </w:tcPr>
          <w:p>
            <w:pPr>
              <w:ind w:firstLine="360"/>
              <w:jc w:val="left"/>
              <w:rPr>
                <w:rFonts w:ascii="仿宋_GB2312" w:hAnsi="仿宋_GB2312" w:cs="仿宋_GB2312"/>
                <w:color w:val="auto"/>
                <w:sz w:val="18"/>
                <w:szCs w:val="18"/>
                <w:highlight w:val="none"/>
              </w:rPr>
            </w:pP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w:t>
            </w:r>
          </w:p>
        </w:tc>
        <w:tc>
          <w:tcPr>
            <w:tcW w:w="963" w:type="dxa"/>
            <w:vAlign w:val="center"/>
          </w:tcPr>
          <w:p>
            <w:pPr>
              <w:ind w:firstLine="360"/>
              <w:jc w:val="left"/>
              <w:rPr>
                <w:rFonts w:ascii="宋体" w:hAnsi="宋体" w:eastAsia="宋体" w:cs="宋体"/>
                <w:color w:val="auto"/>
                <w:sz w:val="18"/>
                <w:szCs w:val="18"/>
                <w:highlight w:val="none"/>
              </w:rPr>
            </w:pPr>
          </w:p>
        </w:tc>
      </w:tr>
    </w:tbl>
    <w:p>
      <w:pPr>
        <w:pStyle w:val="24"/>
        <w:ind w:firstLine="0" w:firstLineChars="0"/>
        <w:jc w:val="both"/>
        <w:rPr>
          <w:color w:val="auto"/>
          <w:highlight w:val="none"/>
        </w:rPr>
      </w:pPr>
    </w:p>
    <w:bookmarkEnd w:id="219"/>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4195445</wp:posOffset>
              </wp:positionH>
              <wp:positionV relativeFrom="paragraph">
                <wp:posOffset>0</wp:posOffset>
              </wp:positionV>
              <wp:extent cx="114871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871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30.35pt;margin-top:0pt;height:15.5pt;width:90.45pt;mso-position-horizontal-relative:margin;z-index:251659264;mso-width-relative:page;mso-height-relative:page;" filled="f" stroked="f" coordsize="21600,21600" o:gfxdata="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TsImdUAAAAHAQAADwAAAAAAAAAB&#10;ACAAAAAiAAAAZHJzL2Rvd25yZXYueG1sUEsBAhQAFAAAAAgAh07iQPehocETAgAACAQAAA4AAAAA&#10;AAAAAQAgAAAAJAEAAGRycy9lMm9Eb2MueG1sUEsFBgAAAAAGAAYAWQEAAKkFAAAAAA==&#10;">
              <v:fill on="f" focussize="0,0"/>
              <v:stroke on="f" weight="0.5pt"/>
              <v:imagedata o:title=""/>
              <o:lock v:ext="edit" aspectratio="f"/>
              <v:textbox inset="0mm,0mm,0mm,0mm">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B6D9E"/>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86998"/>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815D5E"/>
    <w:rsid w:val="026A2F69"/>
    <w:rsid w:val="030B1AB8"/>
    <w:rsid w:val="034D6604"/>
    <w:rsid w:val="036209C0"/>
    <w:rsid w:val="036A7E50"/>
    <w:rsid w:val="037312A7"/>
    <w:rsid w:val="03782F41"/>
    <w:rsid w:val="03986262"/>
    <w:rsid w:val="03A70114"/>
    <w:rsid w:val="04253A19"/>
    <w:rsid w:val="04BB38C6"/>
    <w:rsid w:val="04BC3B3D"/>
    <w:rsid w:val="0525476D"/>
    <w:rsid w:val="05CE3E3D"/>
    <w:rsid w:val="05E90F90"/>
    <w:rsid w:val="06865D48"/>
    <w:rsid w:val="06B83EB3"/>
    <w:rsid w:val="07262D78"/>
    <w:rsid w:val="075F25AF"/>
    <w:rsid w:val="078B51EA"/>
    <w:rsid w:val="07E826EC"/>
    <w:rsid w:val="0801065A"/>
    <w:rsid w:val="08707776"/>
    <w:rsid w:val="089A5E49"/>
    <w:rsid w:val="08A600F6"/>
    <w:rsid w:val="08E65835"/>
    <w:rsid w:val="08ED117F"/>
    <w:rsid w:val="08F35599"/>
    <w:rsid w:val="09573B92"/>
    <w:rsid w:val="0ADC3B93"/>
    <w:rsid w:val="0B0172C5"/>
    <w:rsid w:val="0B1E67E7"/>
    <w:rsid w:val="0B2A1D37"/>
    <w:rsid w:val="0BB1581B"/>
    <w:rsid w:val="0C3F5E8D"/>
    <w:rsid w:val="0C4A7742"/>
    <w:rsid w:val="0C7A4A86"/>
    <w:rsid w:val="0C8C684D"/>
    <w:rsid w:val="0DAC1116"/>
    <w:rsid w:val="0E3007B9"/>
    <w:rsid w:val="0E56363C"/>
    <w:rsid w:val="0E6517F4"/>
    <w:rsid w:val="0E78758A"/>
    <w:rsid w:val="0E8D7DD7"/>
    <w:rsid w:val="0E9A44F7"/>
    <w:rsid w:val="10034C86"/>
    <w:rsid w:val="103E1EFA"/>
    <w:rsid w:val="10682E2F"/>
    <w:rsid w:val="11BB2DC7"/>
    <w:rsid w:val="11F25929"/>
    <w:rsid w:val="12875D39"/>
    <w:rsid w:val="12A8713D"/>
    <w:rsid w:val="12C741DF"/>
    <w:rsid w:val="12CD50A0"/>
    <w:rsid w:val="12D969C7"/>
    <w:rsid w:val="13662317"/>
    <w:rsid w:val="13DE719D"/>
    <w:rsid w:val="13F95FF0"/>
    <w:rsid w:val="140E2CEA"/>
    <w:rsid w:val="14321435"/>
    <w:rsid w:val="14660571"/>
    <w:rsid w:val="14871C95"/>
    <w:rsid w:val="14C60177"/>
    <w:rsid w:val="14DA4EE2"/>
    <w:rsid w:val="15807D50"/>
    <w:rsid w:val="16D01E15"/>
    <w:rsid w:val="173172B7"/>
    <w:rsid w:val="181E3BC4"/>
    <w:rsid w:val="18B70293"/>
    <w:rsid w:val="18CD18BA"/>
    <w:rsid w:val="18D1673A"/>
    <w:rsid w:val="18F93760"/>
    <w:rsid w:val="19295C24"/>
    <w:rsid w:val="192C294F"/>
    <w:rsid w:val="199C6668"/>
    <w:rsid w:val="1A4F2C08"/>
    <w:rsid w:val="1AFF4AC2"/>
    <w:rsid w:val="1B360920"/>
    <w:rsid w:val="1BC25682"/>
    <w:rsid w:val="1BCA74A1"/>
    <w:rsid w:val="1CB056F3"/>
    <w:rsid w:val="1D1A32A6"/>
    <w:rsid w:val="1DC72C65"/>
    <w:rsid w:val="1DFB36BD"/>
    <w:rsid w:val="1E4A43F1"/>
    <w:rsid w:val="1EB64BE4"/>
    <w:rsid w:val="1ED34B0D"/>
    <w:rsid w:val="1EF10375"/>
    <w:rsid w:val="2084503B"/>
    <w:rsid w:val="21382C5B"/>
    <w:rsid w:val="215C7CD8"/>
    <w:rsid w:val="21CF4E39"/>
    <w:rsid w:val="21E617A3"/>
    <w:rsid w:val="225B2CEC"/>
    <w:rsid w:val="23361BDA"/>
    <w:rsid w:val="233D00DC"/>
    <w:rsid w:val="237839A5"/>
    <w:rsid w:val="23CF57A2"/>
    <w:rsid w:val="23ED4D27"/>
    <w:rsid w:val="24306342"/>
    <w:rsid w:val="243C5236"/>
    <w:rsid w:val="24676B71"/>
    <w:rsid w:val="25005BCA"/>
    <w:rsid w:val="255432B0"/>
    <w:rsid w:val="25846970"/>
    <w:rsid w:val="25952EAF"/>
    <w:rsid w:val="26C624DB"/>
    <w:rsid w:val="27313E46"/>
    <w:rsid w:val="27542688"/>
    <w:rsid w:val="27644139"/>
    <w:rsid w:val="27B72D34"/>
    <w:rsid w:val="27C301A8"/>
    <w:rsid w:val="28476855"/>
    <w:rsid w:val="28774F9F"/>
    <w:rsid w:val="288C3648"/>
    <w:rsid w:val="28DC038E"/>
    <w:rsid w:val="291B5757"/>
    <w:rsid w:val="294316F0"/>
    <w:rsid w:val="299F0137"/>
    <w:rsid w:val="29B569A1"/>
    <w:rsid w:val="2A854665"/>
    <w:rsid w:val="2AE37295"/>
    <w:rsid w:val="2AF44640"/>
    <w:rsid w:val="2B6C4490"/>
    <w:rsid w:val="2B900752"/>
    <w:rsid w:val="2C80637A"/>
    <w:rsid w:val="2CCB7E6F"/>
    <w:rsid w:val="2D2931D0"/>
    <w:rsid w:val="2D3D66BF"/>
    <w:rsid w:val="2D3F2AFD"/>
    <w:rsid w:val="2DD47EDE"/>
    <w:rsid w:val="2DD64A48"/>
    <w:rsid w:val="2DF41696"/>
    <w:rsid w:val="30D47661"/>
    <w:rsid w:val="30E407FF"/>
    <w:rsid w:val="30EA3D2D"/>
    <w:rsid w:val="31860484"/>
    <w:rsid w:val="31FA693D"/>
    <w:rsid w:val="33740FF7"/>
    <w:rsid w:val="342406A4"/>
    <w:rsid w:val="344A4AD6"/>
    <w:rsid w:val="34A73850"/>
    <w:rsid w:val="34B025B3"/>
    <w:rsid w:val="34F756BE"/>
    <w:rsid w:val="35305CED"/>
    <w:rsid w:val="35892A39"/>
    <w:rsid w:val="368A557D"/>
    <w:rsid w:val="36A01808"/>
    <w:rsid w:val="36C00853"/>
    <w:rsid w:val="39EA684A"/>
    <w:rsid w:val="39F21286"/>
    <w:rsid w:val="3A4A3800"/>
    <w:rsid w:val="3B153A51"/>
    <w:rsid w:val="3B1D71FC"/>
    <w:rsid w:val="3BDA7521"/>
    <w:rsid w:val="3C0D491A"/>
    <w:rsid w:val="3C0E4831"/>
    <w:rsid w:val="3C3A5021"/>
    <w:rsid w:val="3C8D4949"/>
    <w:rsid w:val="3DA13A8D"/>
    <w:rsid w:val="3E700B1D"/>
    <w:rsid w:val="3EA34F7D"/>
    <w:rsid w:val="3EB51EFF"/>
    <w:rsid w:val="3EEE2141"/>
    <w:rsid w:val="3EEE6C7A"/>
    <w:rsid w:val="3F882048"/>
    <w:rsid w:val="40117628"/>
    <w:rsid w:val="40623EE5"/>
    <w:rsid w:val="40D44C2B"/>
    <w:rsid w:val="40D57049"/>
    <w:rsid w:val="40F01F9B"/>
    <w:rsid w:val="40F059CE"/>
    <w:rsid w:val="412D32C3"/>
    <w:rsid w:val="41760F4B"/>
    <w:rsid w:val="425526D1"/>
    <w:rsid w:val="42A15600"/>
    <w:rsid w:val="42A47E22"/>
    <w:rsid w:val="442527BE"/>
    <w:rsid w:val="447B6718"/>
    <w:rsid w:val="44B3058D"/>
    <w:rsid w:val="46305EEF"/>
    <w:rsid w:val="4712413C"/>
    <w:rsid w:val="475A53B1"/>
    <w:rsid w:val="47627A8B"/>
    <w:rsid w:val="47FB7B22"/>
    <w:rsid w:val="480F2C59"/>
    <w:rsid w:val="48866984"/>
    <w:rsid w:val="49367249"/>
    <w:rsid w:val="49684A6B"/>
    <w:rsid w:val="4A49536A"/>
    <w:rsid w:val="4A734A00"/>
    <w:rsid w:val="4AF27D97"/>
    <w:rsid w:val="4B4B29E7"/>
    <w:rsid w:val="4B510F83"/>
    <w:rsid w:val="4C1F4C1C"/>
    <w:rsid w:val="4C5B3031"/>
    <w:rsid w:val="4C8A6D5F"/>
    <w:rsid w:val="4CDF72E7"/>
    <w:rsid w:val="4D7771C5"/>
    <w:rsid w:val="4D967117"/>
    <w:rsid w:val="4DB9364D"/>
    <w:rsid w:val="4E175B2C"/>
    <w:rsid w:val="4EBE28E6"/>
    <w:rsid w:val="4F251034"/>
    <w:rsid w:val="4F941A96"/>
    <w:rsid w:val="4FD86355"/>
    <w:rsid w:val="506D36BD"/>
    <w:rsid w:val="515C74AA"/>
    <w:rsid w:val="51CF5CA2"/>
    <w:rsid w:val="52564BB1"/>
    <w:rsid w:val="52F365D4"/>
    <w:rsid w:val="53351ABA"/>
    <w:rsid w:val="53710365"/>
    <w:rsid w:val="537F1959"/>
    <w:rsid w:val="540F0DC9"/>
    <w:rsid w:val="5432344B"/>
    <w:rsid w:val="547B0F25"/>
    <w:rsid w:val="555C721A"/>
    <w:rsid w:val="55BC2DF8"/>
    <w:rsid w:val="565F6ADC"/>
    <w:rsid w:val="56701BD7"/>
    <w:rsid w:val="56731585"/>
    <w:rsid w:val="56763536"/>
    <w:rsid w:val="56A83F23"/>
    <w:rsid w:val="56D354B1"/>
    <w:rsid w:val="57091A8F"/>
    <w:rsid w:val="57ED177C"/>
    <w:rsid w:val="582F079F"/>
    <w:rsid w:val="586D7CFE"/>
    <w:rsid w:val="58D04078"/>
    <w:rsid w:val="590D0351"/>
    <w:rsid w:val="59AA626B"/>
    <w:rsid w:val="5A933D1A"/>
    <w:rsid w:val="5B035412"/>
    <w:rsid w:val="5B8F71CA"/>
    <w:rsid w:val="5B953CF9"/>
    <w:rsid w:val="5BA22700"/>
    <w:rsid w:val="5BE21C5E"/>
    <w:rsid w:val="5BEC58E5"/>
    <w:rsid w:val="5C000295"/>
    <w:rsid w:val="5CB42434"/>
    <w:rsid w:val="5E325339"/>
    <w:rsid w:val="5E9F211E"/>
    <w:rsid w:val="5EDE2286"/>
    <w:rsid w:val="5EF41E15"/>
    <w:rsid w:val="5F180766"/>
    <w:rsid w:val="5F3B1337"/>
    <w:rsid w:val="5F484798"/>
    <w:rsid w:val="5F8C10DD"/>
    <w:rsid w:val="5F8E19CC"/>
    <w:rsid w:val="605A6CFF"/>
    <w:rsid w:val="607148A4"/>
    <w:rsid w:val="60CA47EE"/>
    <w:rsid w:val="615023E1"/>
    <w:rsid w:val="6171471A"/>
    <w:rsid w:val="61891CD9"/>
    <w:rsid w:val="61E03B18"/>
    <w:rsid w:val="61E20949"/>
    <w:rsid w:val="61FF39CE"/>
    <w:rsid w:val="62090E67"/>
    <w:rsid w:val="622D6731"/>
    <w:rsid w:val="624D0B19"/>
    <w:rsid w:val="6264349F"/>
    <w:rsid w:val="628F3915"/>
    <w:rsid w:val="62B5389A"/>
    <w:rsid w:val="638D4E26"/>
    <w:rsid w:val="63F03131"/>
    <w:rsid w:val="647B71F4"/>
    <w:rsid w:val="64E55908"/>
    <w:rsid w:val="64ED2B67"/>
    <w:rsid w:val="657468FE"/>
    <w:rsid w:val="65CC3419"/>
    <w:rsid w:val="6632657B"/>
    <w:rsid w:val="66B65FAB"/>
    <w:rsid w:val="674715B5"/>
    <w:rsid w:val="680B1872"/>
    <w:rsid w:val="684B59F0"/>
    <w:rsid w:val="68523522"/>
    <w:rsid w:val="69562AA3"/>
    <w:rsid w:val="696B6384"/>
    <w:rsid w:val="6A1A7E11"/>
    <w:rsid w:val="6A8244F2"/>
    <w:rsid w:val="6AB75A50"/>
    <w:rsid w:val="6AE17242"/>
    <w:rsid w:val="6C0D7820"/>
    <w:rsid w:val="6C413F96"/>
    <w:rsid w:val="6C4A591D"/>
    <w:rsid w:val="6D040273"/>
    <w:rsid w:val="6D803915"/>
    <w:rsid w:val="6E454B16"/>
    <w:rsid w:val="6E791155"/>
    <w:rsid w:val="6ED64600"/>
    <w:rsid w:val="6FB3099B"/>
    <w:rsid w:val="7006249D"/>
    <w:rsid w:val="71621F05"/>
    <w:rsid w:val="71FB2C72"/>
    <w:rsid w:val="72A76BA4"/>
    <w:rsid w:val="73AB5FD2"/>
    <w:rsid w:val="745B2D85"/>
    <w:rsid w:val="74737187"/>
    <w:rsid w:val="74DF127F"/>
    <w:rsid w:val="752C576D"/>
    <w:rsid w:val="75CE25D8"/>
    <w:rsid w:val="75F8227C"/>
    <w:rsid w:val="76666A44"/>
    <w:rsid w:val="76C8710A"/>
    <w:rsid w:val="76E104BD"/>
    <w:rsid w:val="776960E4"/>
    <w:rsid w:val="777F0E7A"/>
    <w:rsid w:val="77EE1CF2"/>
    <w:rsid w:val="78310583"/>
    <w:rsid w:val="78C1024B"/>
    <w:rsid w:val="790D3DD7"/>
    <w:rsid w:val="79385EE5"/>
    <w:rsid w:val="793C1E75"/>
    <w:rsid w:val="7940056C"/>
    <w:rsid w:val="798346DE"/>
    <w:rsid w:val="79AF458E"/>
    <w:rsid w:val="79E42561"/>
    <w:rsid w:val="7A5B019D"/>
    <w:rsid w:val="7A983BE6"/>
    <w:rsid w:val="7AE604A8"/>
    <w:rsid w:val="7AEE220D"/>
    <w:rsid w:val="7B7C6845"/>
    <w:rsid w:val="7BF6241B"/>
    <w:rsid w:val="7C063663"/>
    <w:rsid w:val="7C1B054B"/>
    <w:rsid w:val="7CE1111E"/>
    <w:rsid w:val="7DA074C1"/>
    <w:rsid w:val="7DAA2194"/>
    <w:rsid w:val="7DFB5BD3"/>
    <w:rsid w:val="7E3B1E33"/>
    <w:rsid w:val="7E3D798C"/>
    <w:rsid w:val="7EAD4426"/>
    <w:rsid w:val="7F631714"/>
    <w:rsid w:val="7FAF7967"/>
    <w:rsid w:val="7FC90C53"/>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4</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Lenovo</cp:lastModifiedBy>
  <cp:lastPrinted>2022-01-30T02:30:00Z</cp:lastPrinted>
  <dcterms:modified xsi:type="dcterms:W3CDTF">2024-06-27T03:23:24Z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