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pStyle w:val="34"/>
      </w:pPr>
    </w:p>
    <w:p>
      <w:pPr>
        <w:pStyle w:val="34"/>
      </w:pPr>
    </w:p>
    <w:p>
      <w:pPr>
        <w:pStyle w:val="32"/>
        <w:ind w:left="0" w:leftChars="0" w:firstLine="0" w:firstLineChars="0"/>
        <w:jc w:val="center"/>
        <w:rPr>
          <w:rFonts w:ascii="仿宋_GB2312" w:hAnsi="Arial"/>
          <w:b/>
          <w:szCs w:val="44"/>
        </w:rPr>
      </w:pPr>
      <w:bookmarkStart w:id="0" w:name="_Toc10470"/>
      <w:bookmarkStart w:id="1" w:name="_Toc4267"/>
      <w:r>
        <w:rPr>
          <w:rFonts w:hint="eastAsia"/>
          <w:b/>
          <w:bCs/>
          <w:sz w:val="44"/>
          <w:szCs w:val="44"/>
          <w:lang w:val="en-US" w:eastAsia="zh-CN"/>
        </w:rPr>
        <w:t>部门单位</w:t>
      </w:r>
      <w:r>
        <w:rPr>
          <w:rFonts w:hint="eastAsia"/>
          <w:b/>
          <w:bCs/>
          <w:sz w:val="44"/>
          <w:szCs w:val="44"/>
        </w:rPr>
        <w:t>项目支出绩效评价报告</w:t>
      </w:r>
      <w:bookmarkEnd w:id="0"/>
      <w:bookmarkEnd w:id="1"/>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hint="eastAsia" w:ascii="仿宋" w:hAnsi="仿宋" w:eastAsia="仿宋" w:cs="仿宋"/>
          <w:b/>
          <w:kern w:val="0"/>
          <w:sz w:val="28"/>
          <w:szCs w:val="28"/>
          <w:lang w:val="en-US" w:eastAsia="zh-CN" w:bidi="en-US"/>
        </w:rPr>
      </w:pPr>
      <w:r>
        <w:rPr>
          <w:rFonts w:hint="eastAsia" w:ascii="仿宋" w:hAnsi="仿宋" w:eastAsia="仿宋" w:cs="仿宋"/>
          <w:b/>
          <w:kern w:val="0"/>
          <w:sz w:val="28"/>
          <w:szCs w:val="28"/>
          <w:lang w:eastAsia="zh-CN" w:bidi="en-US"/>
        </w:rPr>
        <w:t>（</w:t>
      </w:r>
      <w:r>
        <w:rPr>
          <w:rFonts w:hint="eastAsia" w:ascii="仿宋" w:hAnsi="仿宋" w:eastAsia="仿宋" w:cs="仿宋"/>
          <w:b/>
          <w:kern w:val="0"/>
          <w:sz w:val="28"/>
          <w:szCs w:val="28"/>
          <w:lang w:val="en-US" w:eastAsia="zh-CN" w:bidi="en-US"/>
        </w:rPr>
        <w:t>2023年度）</w:t>
      </w: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pStyle w:val="34"/>
        <w:rPr>
          <w:rFonts w:ascii="Times New Roman" w:hAnsi="Times New Roman" w:eastAsia="黑体"/>
          <w:b/>
          <w:kern w:val="0"/>
          <w:sz w:val="50"/>
          <w:szCs w:val="50"/>
          <w:lang w:bidi="en-US"/>
        </w:rPr>
      </w:pPr>
    </w:p>
    <w:p>
      <w:pPr>
        <w:pStyle w:val="34"/>
        <w:rPr>
          <w:rFonts w:ascii="Times New Roman" w:hAnsi="Times New Roman" w:eastAsia="黑体"/>
          <w:b/>
          <w:kern w:val="0"/>
          <w:sz w:val="50"/>
          <w:szCs w:val="50"/>
          <w:lang w:bidi="en-US"/>
        </w:rPr>
      </w:pPr>
    </w:p>
    <w:p>
      <w:pPr>
        <w:pStyle w:val="34"/>
        <w:rPr>
          <w:rFonts w:ascii="Times New Roman" w:hAnsi="Times New Roman" w:eastAsia="黑体"/>
          <w:b/>
          <w:kern w:val="0"/>
          <w:sz w:val="50"/>
          <w:szCs w:val="50"/>
          <w:lang w:bidi="en-US"/>
        </w:rPr>
      </w:pPr>
    </w:p>
    <w:p>
      <w:pPr>
        <w:pStyle w:val="34"/>
        <w:rPr>
          <w:rFonts w:ascii="Times New Roman" w:hAnsi="Times New Roman" w:eastAsia="黑体"/>
          <w:b/>
          <w:kern w:val="0"/>
          <w:sz w:val="50"/>
          <w:szCs w:val="50"/>
          <w:lang w:bidi="en-US"/>
        </w:rPr>
      </w:pPr>
    </w:p>
    <w:p>
      <w:pPr>
        <w:spacing w:line="480" w:lineRule="auto"/>
        <w:ind w:left="2532" w:leftChars="300" w:hanging="1692" w:hangingChars="529"/>
        <w:jc w:val="left"/>
        <w:rPr>
          <w:rFonts w:hint="eastAsia" w:ascii="仿宋_GB2312" w:hAnsi="Times New Roman" w:eastAsia="仿宋_GB2312" w:cs="Times New Roman"/>
          <w:kern w:val="0"/>
          <w:sz w:val="32"/>
          <w:szCs w:val="32"/>
          <w:highlight w:val="none"/>
          <w:lang w:eastAsia="zh-CN" w:bidi="en-US"/>
        </w:rPr>
      </w:pPr>
      <w:r>
        <w:rPr>
          <w:rFonts w:hint="eastAsia" w:ascii="仿宋_GB2312" w:hAnsi="Times New Roman" w:cs="Times New Roman"/>
          <w:kern w:val="0"/>
          <w:sz w:val="32"/>
          <w:szCs w:val="32"/>
          <w:highlight w:val="none"/>
          <w:lang w:bidi="en-US"/>
        </w:rPr>
        <w:t>项目名称：</w:t>
      </w:r>
      <w:r>
        <w:rPr>
          <w:rFonts w:hint="eastAsia" w:ascii="仿宋_GB2312" w:hAnsi="Times New Roman" w:cs="Times New Roman"/>
          <w:kern w:val="0"/>
          <w:sz w:val="32"/>
          <w:szCs w:val="32"/>
          <w:highlight w:val="none"/>
          <w:lang w:eastAsia="zh-CN" w:bidi="en-US"/>
        </w:rPr>
        <w:t>喀什地区30口地下水监测井站岳普湖县8口井项目</w:t>
      </w:r>
    </w:p>
    <w:p>
      <w:pPr>
        <w:spacing w:line="480" w:lineRule="auto"/>
        <w:ind w:left="2875" w:leftChars="300" w:hanging="2035" w:hangingChars="636"/>
        <w:jc w:val="left"/>
        <w:rPr>
          <w:rFonts w:hint="eastAsia" w:ascii="仿宋_GB2312" w:hAnsi="Times New Roman" w:eastAsia="仿宋_GB2312" w:cs="Times New Roman"/>
          <w:kern w:val="0"/>
          <w:sz w:val="32"/>
          <w:szCs w:val="32"/>
          <w:highlight w:val="none"/>
          <w:lang w:eastAsia="zh-CN" w:bidi="en-US"/>
        </w:rPr>
      </w:pPr>
      <w:r>
        <w:rPr>
          <w:rFonts w:hint="eastAsia" w:ascii="仿宋_GB2312" w:hAnsi="Times New Roman" w:cs="Times New Roman"/>
          <w:kern w:val="0"/>
          <w:sz w:val="32"/>
          <w:szCs w:val="32"/>
          <w:highlight w:val="none"/>
          <w:lang w:bidi="en-US"/>
        </w:rPr>
        <w:t>项目单位：</w:t>
      </w:r>
      <w:r>
        <w:rPr>
          <w:rFonts w:hint="eastAsia" w:ascii="仿宋_GB2312" w:hAnsi="Times New Roman" w:cs="Times New Roman"/>
          <w:kern w:val="0"/>
          <w:sz w:val="32"/>
          <w:szCs w:val="32"/>
          <w:highlight w:val="none"/>
          <w:lang w:eastAsia="zh-CN" w:bidi="en-US"/>
        </w:rPr>
        <w:t>岳普湖县水利局</w:t>
      </w:r>
    </w:p>
    <w:p>
      <w:pPr>
        <w:spacing w:line="480" w:lineRule="auto"/>
        <w:ind w:left="2875" w:leftChars="300" w:hanging="2035" w:hangingChars="636"/>
        <w:jc w:val="left"/>
        <w:rPr>
          <w:rFonts w:hint="eastAsia" w:ascii="仿宋_GB2312" w:hAnsi="Times New Roman" w:eastAsia="仿宋_GB2312" w:cs="Times New Roman"/>
          <w:kern w:val="0"/>
          <w:sz w:val="32"/>
          <w:szCs w:val="32"/>
          <w:highlight w:val="none"/>
          <w:lang w:eastAsia="zh-CN" w:bidi="en-US"/>
        </w:rPr>
      </w:pPr>
      <w:r>
        <w:rPr>
          <w:rFonts w:hint="eastAsia" w:ascii="仿宋_GB2312" w:hAnsi="Times New Roman" w:cs="Times New Roman"/>
          <w:kern w:val="0"/>
          <w:sz w:val="32"/>
          <w:szCs w:val="32"/>
          <w:highlight w:val="none"/>
          <w:lang w:bidi="en-US"/>
        </w:rPr>
        <w:t>主管部门：</w:t>
      </w:r>
      <w:r>
        <w:rPr>
          <w:rFonts w:hint="eastAsia" w:ascii="仿宋_GB2312" w:hAnsi="Times New Roman" w:cs="Times New Roman"/>
          <w:kern w:val="0"/>
          <w:sz w:val="32"/>
          <w:szCs w:val="32"/>
          <w:highlight w:val="none"/>
          <w:lang w:eastAsia="zh-CN" w:bidi="en-US"/>
        </w:rPr>
        <w:t>岳普湖县水利局</w:t>
      </w:r>
    </w:p>
    <w:p>
      <w:pPr>
        <w:spacing w:line="480" w:lineRule="auto"/>
        <w:ind w:left="2875" w:leftChars="300" w:hanging="2035" w:hangingChars="636"/>
        <w:jc w:val="left"/>
        <w:rPr>
          <w:rFonts w:hint="eastAsia" w:ascii="仿宋_GB2312" w:hAnsi="Times New Roman" w:eastAsia="仿宋_GB2312" w:cs="Times New Roman"/>
          <w:kern w:val="0"/>
          <w:sz w:val="32"/>
          <w:szCs w:val="32"/>
          <w:highlight w:val="none"/>
          <w:lang w:eastAsia="zh-CN" w:bidi="en-US"/>
        </w:rPr>
      </w:pPr>
      <w:r>
        <w:rPr>
          <w:rFonts w:hint="eastAsia" w:ascii="仿宋_GB2312" w:hAnsi="Times New Roman" w:cs="Times New Roman"/>
          <w:kern w:val="0"/>
          <w:sz w:val="32"/>
          <w:szCs w:val="32"/>
          <w:highlight w:val="none"/>
          <w:lang w:bidi="en-US"/>
        </w:rPr>
        <w:t>项目负责人：</w:t>
      </w:r>
      <w:r>
        <w:rPr>
          <w:rFonts w:hint="eastAsia" w:ascii="仿宋_GB2312" w:hAnsi="Times New Roman" w:cs="Times New Roman"/>
          <w:kern w:val="0"/>
          <w:sz w:val="32"/>
          <w:szCs w:val="32"/>
          <w:highlight w:val="none"/>
          <w:lang w:eastAsia="zh-CN" w:bidi="en-US"/>
        </w:rPr>
        <w:t>买买提·肉苏力</w:t>
      </w:r>
    </w:p>
    <w:p>
      <w:pPr>
        <w:spacing w:line="480" w:lineRule="auto"/>
        <w:ind w:left="2875" w:leftChars="300" w:hanging="2035" w:hangingChars="636"/>
        <w:jc w:val="left"/>
        <w:rPr>
          <w:rFonts w:ascii="仿宋_GB2312" w:hAnsi="Times New Roman" w:cs="Times New Roman"/>
          <w:kern w:val="0"/>
          <w:sz w:val="32"/>
          <w:szCs w:val="32"/>
          <w:highlight w:val="none"/>
          <w:lang w:bidi="en-US"/>
        </w:rPr>
      </w:pPr>
      <w:r>
        <w:rPr>
          <w:rFonts w:hint="eastAsia" w:ascii="仿宋_GB2312" w:hAnsi="Times New Roman" w:cs="Times New Roman"/>
          <w:kern w:val="0"/>
          <w:sz w:val="32"/>
          <w:szCs w:val="32"/>
          <w:highlight w:val="none"/>
          <w:lang w:bidi="en-US"/>
        </w:rPr>
        <w:t>填报时间：202</w:t>
      </w:r>
      <w:r>
        <w:rPr>
          <w:rFonts w:hint="eastAsia" w:ascii="仿宋_GB2312" w:hAnsi="Times New Roman" w:cs="Times New Roman"/>
          <w:kern w:val="0"/>
          <w:sz w:val="32"/>
          <w:szCs w:val="32"/>
          <w:highlight w:val="none"/>
          <w:lang w:val="en-US" w:eastAsia="zh-CN" w:bidi="en-US"/>
        </w:rPr>
        <w:t>3</w:t>
      </w:r>
      <w:r>
        <w:rPr>
          <w:rFonts w:hint="eastAsia" w:ascii="仿宋_GB2312" w:hAnsi="Times New Roman" w:cs="Times New Roman"/>
          <w:kern w:val="0"/>
          <w:sz w:val="32"/>
          <w:szCs w:val="32"/>
          <w:highlight w:val="none"/>
          <w:lang w:bidi="en-US"/>
        </w:rPr>
        <w:t>年12月31日</w:t>
      </w:r>
    </w:p>
    <w:p>
      <w:pPr>
        <w:ind w:firstLine="0" w:firstLineChars="0"/>
        <w:rPr>
          <w:szCs w:val="44"/>
        </w:rPr>
      </w:pPr>
      <w:r>
        <w:rPr>
          <w:rFonts w:hint="eastAsia" w:ascii="仿宋_GB2312" w:hAnsi="Times New Roman" w:cs="Times New Roman"/>
          <w:kern w:val="0"/>
          <w:sz w:val="32"/>
          <w:szCs w:val="32"/>
          <w:lang w:bidi="en-US"/>
        </w:rPr>
        <w:br w:type="page"/>
      </w:r>
    </w:p>
    <w:p>
      <w:pPr>
        <w:pStyle w:val="19"/>
        <w:tabs>
          <w:tab w:val="right" w:leader="dot" w:pos="8296"/>
        </w:tabs>
        <w:ind w:firstLine="723"/>
        <w:jc w:val="center"/>
        <w:rPr>
          <w:rFonts w:ascii="黑体" w:hAnsi="黑体" w:eastAsia="黑体" w:cs="黑体"/>
          <w:sz w:val="36"/>
          <w:szCs w:val="36"/>
        </w:rPr>
      </w:pPr>
      <w:bookmarkStart w:id="2" w:name="_Toc22132_WPSOffice_Level1"/>
      <w:bookmarkStart w:id="3" w:name="_Toc17858_WPSOffice_Level1"/>
      <w:r>
        <w:rPr>
          <w:rFonts w:hint="eastAsia" w:ascii="黑体" w:hAnsi="黑体" w:eastAsia="黑体" w:cs="黑体"/>
          <w:sz w:val="36"/>
          <w:szCs w:val="36"/>
        </w:rPr>
        <w:t>目   录</w:t>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sz w:val="30"/>
          <w:szCs w:val="30"/>
        </w:rPr>
      </w:pPr>
      <w:r>
        <w:fldChar w:fldCharType="begin"/>
      </w:r>
      <w:r>
        <w:instrText xml:space="preserve"> TOC \o "1-2" \h \z \u </w:instrText>
      </w:r>
      <w:r>
        <w:fldChar w:fldCharType="separate"/>
      </w:r>
      <w:r>
        <w:fldChar w:fldCharType="begin"/>
      </w:r>
      <w:r>
        <w:instrText xml:space="preserve"> HYPERLINK \l "_Toc127054583" </w:instrText>
      </w:r>
      <w:r>
        <w:fldChar w:fldCharType="separate"/>
      </w:r>
      <w:r>
        <w:rPr>
          <w:rStyle w:val="29"/>
          <w:sz w:val="30"/>
          <w:szCs w:val="30"/>
        </w:rPr>
        <w:t>一、基本情况</w:t>
      </w:r>
      <w:r>
        <w:rPr>
          <w:sz w:val="30"/>
          <w:szCs w:val="30"/>
        </w:rPr>
        <w:tab/>
      </w:r>
      <w:r>
        <w:rPr>
          <w:sz w:val="30"/>
          <w:szCs w:val="30"/>
        </w:rPr>
        <w:fldChar w:fldCharType="begin"/>
      </w:r>
      <w:r>
        <w:rPr>
          <w:sz w:val="30"/>
          <w:szCs w:val="30"/>
        </w:rPr>
        <w:instrText xml:space="preserve"> PAGEREF _Toc127054583 \h </w:instrText>
      </w:r>
      <w:r>
        <w:rPr>
          <w:sz w:val="30"/>
          <w:szCs w:val="30"/>
        </w:rPr>
        <w:fldChar w:fldCharType="separate"/>
      </w:r>
      <w:r>
        <w:rPr>
          <w:sz w:val="30"/>
          <w:szCs w:val="30"/>
        </w:rPr>
        <w:t>- 1 -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"_Toc127054584" </w:instrText>
      </w:r>
      <w:r>
        <w:fldChar w:fldCharType="separate"/>
      </w:r>
      <w:r>
        <w:rPr>
          <w:rStyle w:val="29"/>
          <w:sz w:val="30"/>
          <w:szCs w:val="30"/>
        </w:rPr>
        <w:t>（一）项目概况</w:t>
      </w:r>
      <w:r>
        <w:rPr>
          <w:sz w:val="30"/>
          <w:szCs w:val="30"/>
        </w:rPr>
        <w:tab/>
      </w:r>
      <w:r>
        <w:rPr>
          <w:sz w:val="30"/>
          <w:szCs w:val="30"/>
        </w:rPr>
        <w:fldChar w:fldCharType="begin"/>
      </w:r>
      <w:r>
        <w:rPr>
          <w:sz w:val="30"/>
          <w:szCs w:val="30"/>
        </w:rPr>
        <w:instrText xml:space="preserve"> PAGEREF _Toc127054584 \h </w:instrText>
      </w:r>
      <w:r>
        <w:rPr>
          <w:sz w:val="30"/>
          <w:szCs w:val="30"/>
        </w:rPr>
        <w:fldChar w:fldCharType="separate"/>
      </w:r>
      <w:r>
        <w:rPr>
          <w:sz w:val="30"/>
          <w:szCs w:val="30"/>
        </w:rPr>
        <w:t>- 1 -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jc w:val="both"/>
        <w:rPr>
          <w:rFonts w:asciiTheme="minorHAnsi" w:hAnsiTheme="minorHAnsi" w:eastAsiaTheme="minorEastAsia" w:cstheme="minorBidi"/>
          <w:smallCaps w:val="0"/>
          <w:sz w:val="30"/>
          <w:szCs w:val="30"/>
        </w:rPr>
      </w:pPr>
      <w:r>
        <w:fldChar w:fldCharType="begin"/>
      </w:r>
      <w:r>
        <w:instrText xml:space="preserve"> HYPERLINK \l "_Toc127054585" </w:instrText>
      </w:r>
      <w:r>
        <w:fldChar w:fldCharType="separate"/>
      </w:r>
      <w:r>
        <w:rPr>
          <w:rStyle w:val="29"/>
          <w:sz w:val="30"/>
          <w:szCs w:val="30"/>
        </w:rPr>
        <w:t>（二）项目绩效目标</w:t>
      </w:r>
      <w:r>
        <w:rPr>
          <w:sz w:val="30"/>
          <w:szCs w:val="30"/>
        </w:rPr>
        <w:tab/>
      </w:r>
      <w:r>
        <w:rPr>
          <w:sz w:val="30"/>
          <w:szCs w:val="30"/>
        </w:rPr>
        <w:fldChar w:fldCharType="begin"/>
      </w:r>
      <w:r>
        <w:rPr>
          <w:sz w:val="30"/>
          <w:szCs w:val="30"/>
        </w:rPr>
        <w:instrText xml:space="preserve"> PAGEREF _Toc127054585 \h </w:instrText>
      </w:r>
      <w:r>
        <w:rPr>
          <w:sz w:val="30"/>
          <w:szCs w:val="30"/>
        </w:rPr>
        <w:fldChar w:fldCharType="separate"/>
      </w:r>
      <w:r>
        <w:rPr>
          <w:sz w:val="30"/>
          <w:szCs w:val="30"/>
        </w:rPr>
        <w:t>- 3 -</w:t>
      </w:r>
      <w:r>
        <w:rPr>
          <w:sz w:val="30"/>
          <w:szCs w:val="30"/>
        </w:rPr>
        <w:fldChar w:fldCharType="end"/>
      </w:r>
      <w:r>
        <w:rPr>
          <w:sz w:val="30"/>
          <w:szCs w:val="30"/>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sz w:val="30"/>
          <w:szCs w:val="30"/>
        </w:rPr>
      </w:pPr>
      <w:r>
        <w:fldChar w:fldCharType="begin"/>
      </w:r>
      <w:r>
        <w:instrText xml:space="preserve"> HYPERLINK \l "_Toc127054586" </w:instrText>
      </w:r>
      <w:r>
        <w:fldChar w:fldCharType="separate"/>
      </w:r>
      <w:r>
        <w:rPr>
          <w:rStyle w:val="29"/>
          <w:sz w:val="30"/>
          <w:szCs w:val="30"/>
        </w:rPr>
        <w:t>二、绩效评价工作开展情况</w:t>
      </w:r>
      <w:r>
        <w:rPr>
          <w:sz w:val="30"/>
          <w:szCs w:val="30"/>
        </w:rPr>
        <w:tab/>
      </w:r>
      <w:r>
        <w:rPr>
          <w:sz w:val="30"/>
          <w:szCs w:val="30"/>
        </w:rPr>
        <w:fldChar w:fldCharType="begin"/>
      </w:r>
      <w:r>
        <w:rPr>
          <w:sz w:val="30"/>
          <w:szCs w:val="30"/>
        </w:rPr>
        <w:instrText xml:space="preserve"> PAGEREF _Toc127054586 \h </w:instrText>
      </w:r>
      <w:r>
        <w:rPr>
          <w:sz w:val="30"/>
          <w:szCs w:val="30"/>
        </w:rPr>
        <w:fldChar w:fldCharType="separate"/>
      </w:r>
      <w:r>
        <w:rPr>
          <w:sz w:val="30"/>
          <w:szCs w:val="30"/>
        </w:rPr>
        <w:t>- 4 -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"_Toc127054587" </w:instrText>
      </w:r>
      <w:r>
        <w:fldChar w:fldCharType="separate"/>
      </w:r>
      <w:r>
        <w:rPr>
          <w:rStyle w:val="29"/>
          <w:rFonts w:ascii="仿宋_GB2312" w:hAnsi="仿宋_GB2312" w:cs="仿宋_GB2312"/>
          <w:sz w:val="30"/>
          <w:szCs w:val="30"/>
        </w:rPr>
        <w:t>（一）绩效评价目的、对象和范围</w:t>
      </w:r>
      <w:r>
        <w:rPr>
          <w:sz w:val="30"/>
          <w:szCs w:val="30"/>
        </w:rPr>
        <w:tab/>
      </w:r>
      <w:r>
        <w:rPr>
          <w:sz w:val="30"/>
          <w:szCs w:val="30"/>
        </w:rPr>
        <w:fldChar w:fldCharType="begin"/>
      </w:r>
      <w:r>
        <w:rPr>
          <w:sz w:val="30"/>
          <w:szCs w:val="30"/>
        </w:rPr>
        <w:instrText xml:space="preserve"> PAGEREF _Toc127054587 \h </w:instrText>
      </w:r>
      <w:r>
        <w:rPr>
          <w:sz w:val="30"/>
          <w:szCs w:val="30"/>
        </w:rPr>
        <w:fldChar w:fldCharType="separate"/>
      </w:r>
      <w:r>
        <w:rPr>
          <w:sz w:val="30"/>
          <w:szCs w:val="30"/>
        </w:rPr>
        <w:t>- 4 -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"_Toc127054588" </w:instrText>
      </w:r>
      <w:r>
        <w:fldChar w:fldCharType="separate"/>
      </w:r>
      <w:r>
        <w:rPr>
          <w:rStyle w:val="29"/>
          <w:rFonts w:ascii="仿宋_GB2312" w:hAnsi="仿宋_GB2312" w:cs="仿宋_GB2312"/>
          <w:sz w:val="30"/>
          <w:szCs w:val="30"/>
        </w:rPr>
        <w:t>（二）绩效评价原则、评价指标体系、评价方法评价标准</w:t>
      </w:r>
      <w:r>
        <w:rPr>
          <w:sz w:val="30"/>
          <w:szCs w:val="30"/>
        </w:rPr>
        <w:tab/>
      </w:r>
      <w:r>
        <w:rPr>
          <w:sz w:val="30"/>
          <w:szCs w:val="30"/>
        </w:rPr>
        <w:fldChar w:fldCharType="begin"/>
      </w:r>
      <w:r>
        <w:rPr>
          <w:sz w:val="30"/>
          <w:szCs w:val="30"/>
        </w:rPr>
        <w:instrText xml:space="preserve"> PAGEREF _Toc127054588 \h </w:instrText>
      </w:r>
      <w:r>
        <w:rPr>
          <w:sz w:val="30"/>
          <w:szCs w:val="30"/>
        </w:rPr>
        <w:fldChar w:fldCharType="separate"/>
      </w:r>
      <w:r>
        <w:rPr>
          <w:sz w:val="30"/>
          <w:szCs w:val="30"/>
        </w:rPr>
        <w:t>- 6 -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"_Toc127054589" </w:instrText>
      </w:r>
      <w:r>
        <w:fldChar w:fldCharType="separate"/>
      </w:r>
      <w:r>
        <w:rPr>
          <w:rStyle w:val="29"/>
          <w:rFonts w:ascii="仿宋_GB2312" w:hAnsi="仿宋_GB2312" w:cs="仿宋_GB2312"/>
          <w:sz w:val="30"/>
          <w:szCs w:val="30"/>
        </w:rPr>
        <w:t>（三）绩效评价工作过程</w:t>
      </w:r>
      <w:r>
        <w:rPr>
          <w:sz w:val="30"/>
          <w:szCs w:val="30"/>
        </w:rPr>
        <w:tab/>
      </w:r>
      <w:r>
        <w:rPr>
          <w:sz w:val="30"/>
          <w:szCs w:val="30"/>
        </w:rPr>
        <w:fldChar w:fldCharType="begin"/>
      </w:r>
      <w:r>
        <w:rPr>
          <w:sz w:val="30"/>
          <w:szCs w:val="30"/>
        </w:rPr>
        <w:instrText xml:space="preserve"> PAGEREF _Toc127054589 \h </w:instrText>
      </w:r>
      <w:r>
        <w:rPr>
          <w:sz w:val="30"/>
          <w:szCs w:val="30"/>
        </w:rPr>
        <w:fldChar w:fldCharType="separate"/>
      </w:r>
      <w:r>
        <w:rPr>
          <w:sz w:val="30"/>
          <w:szCs w:val="30"/>
        </w:rPr>
        <w:t>- 9 -</w:t>
      </w:r>
      <w:r>
        <w:rPr>
          <w:sz w:val="30"/>
          <w:szCs w:val="30"/>
        </w:rPr>
        <w:fldChar w:fldCharType="end"/>
      </w:r>
      <w:r>
        <w:rPr>
          <w:sz w:val="30"/>
          <w:szCs w:val="30"/>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sz w:val="30"/>
          <w:szCs w:val="30"/>
        </w:rPr>
      </w:pPr>
      <w:r>
        <w:fldChar w:fldCharType="begin"/>
      </w:r>
      <w:r>
        <w:instrText xml:space="preserve"> HYPERLINK \l "_Toc127054590" </w:instrText>
      </w:r>
      <w:r>
        <w:fldChar w:fldCharType="separate"/>
      </w:r>
      <w:r>
        <w:rPr>
          <w:rStyle w:val="29"/>
          <w:sz w:val="30"/>
          <w:szCs w:val="30"/>
        </w:rPr>
        <w:t>三、综合评价情况及评价结论</w:t>
      </w:r>
      <w:r>
        <w:rPr>
          <w:sz w:val="30"/>
          <w:szCs w:val="30"/>
        </w:rPr>
        <w:tab/>
      </w:r>
      <w:r>
        <w:rPr>
          <w:sz w:val="30"/>
          <w:szCs w:val="30"/>
        </w:rPr>
        <w:fldChar w:fldCharType="begin"/>
      </w:r>
      <w:r>
        <w:rPr>
          <w:sz w:val="30"/>
          <w:szCs w:val="30"/>
        </w:rPr>
        <w:instrText xml:space="preserve"> PAGEREF _Toc127054590 \h </w:instrText>
      </w:r>
      <w:r>
        <w:rPr>
          <w:sz w:val="30"/>
          <w:szCs w:val="30"/>
        </w:rPr>
        <w:fldChar w:fldCharType="separate"/>
      </w:r>
      <w:r>
        <w:rPr>
          <w:sz w:val="30"/>
          <w:szCs w:val="30"/>
        </w:rPr>
        <w:t>- 11 -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"_Toc127054591" </w:instrText>
      </w:r>
      <w:r>
        <w:fldChar w:fldCharType="separate"/>
      </w:r>
      <w:r>
        <w:rPr>
          <w:rStyle w:val="29"/>
          <w:sz w:val="30"/>
          <w:szCs w:val="30"/>
        </w:rPr>
        <w:t>（一）综合评价情况</w:t>
      </w:r>
      <w:r>
        <w:rPr>
          <w:sz w:val="30"/>
          <w:szCs w:val="30"/>
        </w:rPr>
        <w:tab/>
      </w:r>
      <w:r>
        <w:rPr>
          <w:sz w:val="30"/>
          <w:szCs w:val="30"/>
        </w:rPr>
        <w:fldChar w:fldCharType="begin"/>
      </w:r>
      <w:r>
        <w:rPr>
          <w:sz w:val="30"/>
          <w:szCs w:val="30"/>
        </w:rPr>
        <w:instrText xml:space="preserve"> PAGEREF _Toc127054591 \h </w:instrText>
      </w:r>
      <w:r>
        <w:rPr>
          <w:sz w:val="30"/>
          <w:szCs w:val="30"/>
        </w:rPr>
        <w:fldChar w:fldCharType="separate"/>
      </w:r>
      <w:r>
        <w:rPr>
          <w:sz w:val="30"/>
          <w:szCs w:val="30"/>
        </w:rPr>
        <w:t>- 11 -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"_Toc127054592" </w:instrText>
      </w:r>
      <w:r>
        <w:fldChar w:fldCharType="separate"/>
      </w:r>
      <w:r>
        <w:rPr>
          <w:rStyle w:val="29"/>
          <w:sz w:val="30"/>
          <w:szCs w:val="30"/>
        </w:rPr>
        <w:t>（二）综合评价结论</w:t>
      </w:r>
      <w:r>
        <w:rPr>
          <w:sz w:val="30"/>
          <w:szCs w:val="30"/>
        </w:rPr>
        <w:tab/>
      </w:r>
      <w:r>
        <w:rPr>
          <w:sz w:val="30"/>
          <w:szCs w:val="30"/>
        </w:rPr>
        <w:fldChar w:fldCharType="begin"/>
      </w:r>
      <w:r>
        <w:rPr>
          <w:sz w:val="30"/>
          <w:szCs w:val="30"/>
        </w:rPr>
        <w:instrText xml:space="preserve"> PAGEREF _Toc127054592 \h </w:instrText>
      </w:r>
      <w:r>
        <w:rPr>
          <w:sz w:val="30"/>
          <w:szCs w:val="30"/>
        </w:rPr>
        <w:fldChar w:fldCharType="separate"/>
      </w:r>
      <w:r>
        <w:rPr>
          <w:sz w:val="30"/>
          <w:szCs w:val="30"/>
        </w:rPr>
        <w:t>- 12 -</w:t>
      </w:r>
      <w:r>
        <w:rPr>
          <w:sz w:val="30"/>
          <w:szCs w:val="30"/>
        </w:rPr>
        <w:fldChar w:fldCharType="end"/>
      </w:r>
      <w:r>
        <w:rPr>
          <w:sz w:val="30"/>
          <w:szCs w:val="30"/>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sz w:val="30"/>
          <w:szCs w:val="30"/>
        </w:rPr>
      </w:pPr>
      <w:r>
        <w:fldChar w:fldCharType="begin"/>
      </w:r>
      <w:r>
        <w:instrText xml:space="preserve"> HYPERLINK \l "_Toc127054593" </w:instrText>
      </w:r>
      <w:r>
        <w:fldChar w:fldCharType="separate"/>
      </w:r>
      <w:r>
        <w:rPr>
          <w:rStyle w:val="29"/>
          <w:sz w:val="30"/>
          <w:szCs w:val="30"/>
        </w:rPr>
        <w:t>四、绩效评价指标分析</w:t>
      </w:r>
      <w:r>
        <w:rPr>
          <w:sz w:val="30"/>
          <w:szCs w:val="30"/>
        </w:rPr>
        <w:tab/>
      </w:r>
      <w:r>
        <w:rPr>
          <w:sz w:val="30"/>
          <w:szCs w:val="30"/>
        </w:rPr>
        <w:fldChar w:fldCharType="begin"/>
      </w:r>
      <w:r>
        <w:rPr>
          <w:sz w:val="30"/>
          <w:szCs w:val="30"/>
        </w:rPr>
        <w:instrText xml:space="preserve"> PAGEREF _Toc127054593 \h </w:instrText>
      </w:r>
      <w:r>
        <w:rPr>
          <w:sz w:val="30"/>
          <w:szCs w:val="30"/>
        </w:rPr>
        <w:fldChar w:fldCharType="separate"/>
      </w:r>
      <w:r>
        <w:rPr>
          <w:sz w:val="30"/>
          <w:szCs w:val="30"/>
        </w:rPr>
        <w:t>- 12 -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"_Toc127054594" </w:instrText>
      </w:r>
      <w:r>
        <w:fldChar w:fldCharType="separate"/>
      </w:r>
      <w:r>
        <w:rPr>
          <w:rStyle w:val="29"/>
          <w:rFonts w:ascii="仿宋_GB2312" w:hAnsi="仿宋_GB2312" w:cs="仿宋_GB2312"/>
          <w:sz w:val="30"/>
          <w:szCs w:val="30"/>
        </w:rPr>
        <w:t>（一）项目决策情况</w:t>
      </w:r>
      <w:r>
        <w:rPr>
          <w:sz w:val="30"/>
          <w:szCs w:val="30"/>
        </w:rPr>
        <w:tab/>
      </w:r>
      <w:r>
        <w:rPr>
          <w:sz w:val="30"/>
          <w:szCs w:val="30"/>
        </w:rPr>
        <w:fldChar w:fldCharType="begin"/>
      </w:r>
      <w:r>
        <w:rPr>
          <w:sz w:val="30"/>
          <w:szCs w:val="30"/>
        </w:rPr>
        <w:instrText xml:space="preserve"> PAGEREF _Toc127054594 \h </w:instrText>
      </w:r>
      <w:r>
        <w:rPr>
          <w:sz w:val="30"/>
          <w:szCs w:val="30"/>
        </w:rPr>
        <w:fldChar w:fldCharType="separate"/>
      </w:r>
      <w:r>
        <w:rPr>
          <w:sz w:val="30"/>
          <w:szCs w:val="30"/>
        </w:rPr>
        <w:t>- 12 -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"_Toc127054595" </w:instrText>
      </w:r>
      <w:r>
        <w:fldChar w:fldCharType="separate"/>
      </w:r>
      <w:r>
        <w:rPr>
          <w:rStyle w:val="29"/>
          <w:rFonts w:ascii="仿宋_GB2312" w:hAnsi="仿宋_GB2312" w:cs="仿宋_GB2312"/>
          <w:sz w:val="30"/>
          <w:szCs w:val="30"/>
        </w:rPr>
        <w:t>（二）项目过程情况</w:t>
      </w:r>
      <w:r>
        <w:rPr>
          <w:sz w:val="30"/>
          <w:szCs w:val="30"/>
        </w:rPr>
        <w:tab/>
      </w:r>
      <w:r>
        <w:rPr>
          <w:sz w:val="30"/>
          <w:szCs w:val="30"/>
        </w:rPr>
        <w:fldChar w:fldCharType="begin"/>
      </w:r>
      <w:r>
        <w:rPr>
          <w:sz w:val="30"/>
          <w:szCs w:val="30"/>
        </w:rPr>
        <w:instrText xml:space="preserve"> PAGEREF _Toc127054595 \h </w:instrText>
      </w:r>
      <w:r>
        <w:rPr>
          <w:sz w:val="30"/>
          <w:szCs w:val="30"/>
        </w:rPr>
        <w:fldChar w:fldCharType="separate"/>
      </w:r>
      <w:r>
        <w:rPr>
          <w:sz w:val="30"/>
          <w:szCs w:val="30"/>
        </w:rPr>
        <w:t>- 14 -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"_Toc127054596" </w:instrText>
      </w:r>
      <w:r>
        <w:fldChar w:fldCharType="separate"/>
      </w:r>
      <w:r>
        <w:rPr>
          <w:rStyle w:val="29"/>
          <w:rFonts w:ascii="仿宋_GB2312" w:hAnsi="仿宋_GB2312" w:cs="仿宋_GB2312"/>
          <w:sz w:val="30"/>
          <w:szCs w:val="30"/>
        </w:rPr>
        <w:t>（三）项目产出情况</w:t>
      </w:r>
      <w:r>
        <w:rPr>
          <w:sz w:val="30"/>
          <w:szCs w:val="30"/>
        </w:rPr>
        <w:tab/>
      </w:r>
      <w:r>
        <w:rPr>
          <w:sz w:val="30"/>
          <w:szCs w:val="30"/>
        </w:rPr>
        <w:fldChar w:fldCharType="begin"/>
      </w:r>
      <w:r>
        <w:rPr>
          <w:sz w:val="30"/>
          <w:szCs w:val="30"/>
        </w:rPr>
        <w:instrText xml:space="preserve"> PAGEREF _Toc127054596 \h </w:instrText>
      </w:r>
      <w:r>
        <w:rPr>
          <w:sz w:val="30"/>
          <w:szCs w:val="30"/>
        </w:rPr>
        <w:fldChar w:fldCharType="separate"/>
      </w:r>
      <w:r>
        <w:rPr>
          <w:sz w:val="30"/>
          <w:szCs w:val="30"/>
        </w:rPr>
        <w:t>- 16 -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"_Toc127054597" </w:instrText>
      </w:r>
      <w:r>
        <w:fldChar w:fldCharType="separate"/>
      </w:r>
      <w:r>
        <w:rPr>
          <w:rStyle w:val="29"/>
          <w:rFonts w:ascii="仿宋_GB2312" w:hAnsi="仿宋_GB2312" w:cs="仿宋_GB2312"/>
          <w:sz w:val="30"/>
          <w:szCs w:val="30"/>
        </w:rPr>
        <w:t>（四）项目效益情况</w:t>
      </w:r>
      <w:r>
        <w:rPr>
          <w:sz w:val="30"/>
          <w:szCs w:val="30"/>
        </w:rPr>
        <w:tab/>
      </w:r>
      <w:r>
        <w:rPr>
          <w:sz w:val="30"/>
          <w:szCs w:val="30"/>
        </w:rPr>
        <w:fldChar w:fldCharType="begin"/>
      </w:r>
      <w:r>
        <w:rPr>
          <w:sz w:val="30"/>
          <w:szCs w:val="30"/>
        </w:rPr>
        <w:instrText xml:space="preserve"> PAGEREF _Toc127054597 \h </w:instrText>
      </w:r>
      <w:r>
        <w:rPr>
          <w:sz w:val="30"/>
          <w:szCs w:val="30"/>
        </w:rPr>
        <w:fldChar w:fldCharType="separate"/>
      </w:r>
      <w:r>
        <w:rPr>
          <w:sz w:val="30"/>
          <w:szCs w:val="30"/>
        </w:rPr>
        <w:t>- 17 -</w:t>
      </w:r>
      <w:r>
        <w:rPr>
          <w:sz w:val="30"/>
          <w:szCs w:val="30"/>
        </w:rPr>
        <w:fldChar w:fldCharType="end"/>
      </w:r>
      <w:r>
        <w:rPr>
          <w:sz w:val="30"/>
          <w:szCs w:val="30"/>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sz w:val="30"/>
          <w:szCs w:val="30"/>
        </w:rPr>
      </w:pPr>
      <w:r>
        <w:fldChar w:fldCharType="begin"/>
      </w:r>
      <w:r>
        <w:instrText xml:space="preserve"> HYPERLINK \l "_Toc127054598" </w:instrText>
      </w:r>
      <w:r>
        <w:fldChar w:fldCharType="separate"/>
      </w:r>
      <w:r>
        <w:rPr>
          <w:rStyle w:val="29"/>
          <w:sz w:val="30"/>
          <w:szCs w:val="30"/>
        </w:rPr>
        <w:t>五、预算执行进度与绩效指标偏差</w:t>
      </w:r>
      <w:r>
        <w:rPr>
          <w:sz w:val="30"/>
          <w:szCs w:val="30"/>
        </w:rPr>
        <w:tab/>
      </w:r>
      <w:r>
        <w:rPr>
          <w:sz w:val="30"/>
          <w:szCs w:val="30"/>
        </w:rPr>
        <w:fldChar w:fldCharType="begin"/>
      </w:r>
      <w:r>
        <w:rPr>
          <w:sz w:val="30"/>
          <w:szCs w:val="30"/>
        </w:rPr>
        <w:instrText xml:space="preserve"> PAGEREF _Toc127054598 \h </w:instrText>
      </w:r>
      <w:r>
        <w:rPr>
          <w:sz w:val="30"/>
          <w:szCs w:val="30"/>
        </w:rPr>
        <w:fldChar w:fldCharType="separate"/>
      </w:r>
      <w:r>
        <w:rPr>
          <w:sz w:val="30"/>
          <w:szCs w:val="30"/>
        </w:rPr>
        <w:t>- 18 -</w:t>
      </w:r>
      <w:r>
        <w:rPr>
          <w:sz w:val="30"/>
          <w:szCs w:val="30"/>
        </w:rPr>
        <w:fldChar w:fldCharType="end"/>
      </w:r>
      <w:r>
        <w:rPr>
          <w:sz w:val="30"/>
          <w:szCs w:val="30"/>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sz w:val="30"/>
          <w:szCs w:val="30"/>
        </w:rPr>
      </w:pPr>
      <w:r>
        <w:fldChar w:fldCharType="begin"/>
      </w:r>
      <w:r>
        <w:instrText xml:space="preserve"> HYPERLINK \l "_Toc127054599" </w:instrText>
      </w:r>
      <w:r>
        <w:fldChar w:fldCharType="separate"/>
      </w:r>
      <w:r>
        <w:rPr>
          <w:rStyle w:val="29"/>
          <w:sz w:val="30"/>
          <w:szCs w:val="30"/>
        </w:rPr>
        <w:t>六、主要经验及做法、存在的问题及原因分析</w:t>
      </w:r>
      <w:r>
        <w:rPr>
          <w:sz w:val="30"/>
          <w:szCs w:val="30"/>
        </w:rPr>
        <w:tab/>
      </w:r>
      <w:r>
        <w:rPr>
          <w:sz w:val="30"/>
          <w:szCs w:val="30"/>
        </w:rPr>
        <w:fldChar w:fldCharType="begin"/>
      </w:r>
      <w:r>
        <w:rPr>
          <w:sz w:val="30"/>
          <w:szCs w:val="30"/>
        </w:rPr>
        <w:instrText xml:space="preserve"> PAGEREF _Toc127054599 \h </w:instrText>
      </w:r>
      <w:r>
        <w:rPr>
          <w:sz w:val="30"/>
          <w:szCs w:val="30"/>
        </w:rPr>
        <w:fldChar w:fldCharType="separate"/>
      </w:r>
      <w:r>
        <w:rPr>
          <w:sz w:val="30"/>
          <w:szCs w:val="30"/>
        </w:rPr>
        <w:t>- 18 -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"_Toc127054600" </w:instrText>
      </w:r>
      <w:r>
        <w:fldChar w:fldCharType="separate"/>
      </w:r>
      <w:r>
        <w:rPr>
          <w:rStyle w:val="29"/>
          <w:rFonts w:ascii="仿宋_GB2312" w:hAnsi="仿宋_GB2312" w:cs="仿宋_GB2312"/>
          <w:sz w:val="30"/>
          <w:szCs w:val="30"/>
        </w:rPr>
        <w:t>（一）主要经验及做法</w:t>
      </w:r>
      <w:r>
        <w:rPr>
          <w:sz w:val="30"/>
          <w:szCs w:val="30"/>
        </w:rPr>
        <w:tab/>
      </w:r>
      <w:r>
        <w:rPr>
          <w:sz w:val="30"/>
          <w:szCs w:val="30"/>
        </w:rPr>
        <w:fldChar w:fldCharType="begin"/>
      </w:r>
      <w:r>
        <w:rPr>
          <w:sz w:val="30"/>
          <w:szCs w:val="30"/>
        </w:rPr>
        <w:instrText xml:space="preserve"> PAGEREF _Toc127054600 \h </w:instrText>
      </w:r>
      <w:r>
        <w:rPr>
          <w:sz w:val="30"/>
          <w:szCs w:val="30"/>
        </w:rPr>
        <w:fldChar w:fldCharType="separate"/>
      </w:r>
      <w:r>
        <w:rPr>
          <w:sz w:val="30"/>
          <w:szCs w:val="30"/>
        </w:rPr>
        <w:t>- 18 -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"_Toc127054601" </w:instrText>
      </w:r>
      <w:r>
        <w:fldChar w:fldCharType="separate"/>
      </w:r>
      <w:r>
        <w:rPr>
          <w:rStyle w:val="29"/>
          <w:rFonts w:ascii="仿宋_GB2312" w:hAnsi="仿宋_GB2312" w:cs="仿宋_GB2312"/>
          <w:sz w:val="30"/>
          <w:szCs w:val="30"/>
        </w:rPr>
        <w:t>（二）存在问题及原因分析</w:t>
      </w:r>
      <w:r>
        <w:rPr>
          <w:sz w:val="30"/>
          <w:szCs w:val="30"/>
        </w:rPr>
        <w:tab/>
      </w:r>
      <w:r>
        <w:rPr>
          <w:sz w:val="30"/>
          <w:szCs w:val="30"/>
        </w:rPr>
        <w:fldChar w:fldCharType="begin"/>
      </w:r>
      <w:r>
        <w:rPr>
          <w:sz w:val="30"/>
          <w:szCs w:val="30"/>
        </w:rPr>
        <w:instrText xml:space="preserve"> PAGEREF _Toc127054601 \h </w:instrText>
      </w:r>
      <w:r>
        <w:rPr>
          <w:sz w:val="30"/>
          <w:szCs w:val="30"/>
        </w:rPr>
        <w:fldChar w:fldCharType="separate"/>
      </w:r>
      <w:r>
        <w:rPr>
          <w:sz w:val="30"/>
          <w:szCs w:val="30"/>
        </w:rPr>
        <w:t>- 19 -</w:t>
      </w:r>
      <w:r>
        <w:rPr>
          <w:sz w:val="30"/>
          <w:szCs w:val="30"/>
        </w:rPr>
        <w:fldChar w:fldCharType="end"/>
      </w:r>
      <w:r>
        <w:rPr>
          <w:sz w:val="30"/>
          <w:szCs w:val="30"/>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sz w:val="30"/>
          <w:szCs w:val="30"/>
        </w:rPr>
      </w:pPr>
      <w:r>
        <w:fldChar w:fldCharType="begin"/>
      </w:r>
      <w:r>
        <w:instrText xml:space="preserve"> HYPERLINK \l "_Toc127054602" </w:instrText>
      </w:r>
      <w:r>
        <w:fldChar w:fldCharType="separate"/>
      </w:r>
      <w:r>
        <w:rPr>
          <w:rStyle w:val="29"/>
          <w:sz w:val="30"/>
          <w:szCs w:val="30"/>
        </w:rPr>
        <w:t>七、有关建议</w:t>
      </w:r>
      <w:r>
        <w:rPr>
          <w:sz w:val="30"/>
          <w:szCs w:val="30"/>
        </w:rPr>
        <w:tab/>
      </w:r>
      <w:r>
        <w:rPr>
          <w:sz w:val="30"/>
          <w:szCs w:val="30"/>
        </w:rPr>
        <w:fldChar w:fldCharType="begin"/>
      </w:r>
      <w:r>
        <w:rPr>
          <w:sz w:val="30"/>
          <w:szCs w:val="30"/>
        </w:rPr>
        <w:instrText xml:space="preserve"> PAGEREF _Toc127054602 \h </w:instrText>
      </w:r>
      <w:r>
        <w:rPr>
          <w:sz w:val="30"/>
          <w:szCs w:val="30"/>
        </w:rPr>
        <w:fldChar w:fldCharType="separate"/>
      </w:r>
      <w:r>
        <w:rPr>
          <w:sz w:val="30"/>
          <w:szCs w:val="30"/>
        </w:rPr>
        <w:t>- 19 -</w:t>
      </w:r>
      <w:r>
        <w:rPr>
          <w:sz w:val="30"/>
          <w:szCs w:val="30"/>
        </w:rPr>
        <w:fldChar w:fldCharType="end"/>
      </w:r>
      <w:r>
        <w:rPr>
          <w:sz w:val="30"/>
          <w:szCs w:val="30"/>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sz w:val="21"/>
          <w:szCs w:val="22"/>
        </w:rPr>
      </w:pPr>
      <w:r>
        <w:fldChar w:fldCharType="begin"/>
      </w:r>
      <w:r>
        <w:instrText xml:space="preserve"> HYPERLINK \l "_Toc127054603" </w:instrText>
      </w:r>
      <w:r>
        <w:fldChar w:fldCharType="separate"/>
      </w:r>
      <w:r>
        <w:rPr>
          <w:rStyle w:val="29"/>
          <w:sz w:val="30"/>
          <w:szCs w:val="30"/>
        </w:rPr>
        <w:t>八、其他需要说明的问题</w:t>
      </w:r>
      <w:r>
        <w:rPr>
          <w:sz w:val="30"/>
          <w:szCs w:val="30"/>
        </w:rPr>
        <w:tab/>
      </w:r>
      <w:r>
        <w:rPr>
          <w:sz w:val="30"/>
          <w:szCs w:val="30"/>
        </w:rPr>
        <w:fldChar w:fldCharType="begin"/>
      </w:r>
      <w:r>
        <w:rPr>
          <w:sz w:val="30"/>
          <w:szCs w:val="30"/>
        </w:rPr>
        <w:instrText xml:space="preserve"> PAGEREF _Toc127054603 \h </w:instrText>
      </w:r>
      <w:r>
        <w:rPr>
          <w:sz w:val="30"/>
          <w:szCs w:val="30"/>
        </w:rPr>
        <w:fldChar w:fldCharType="separate"/>
      </w:r>
      <w:r>
        <w:rPr>
          <w:sz w:val="30"/>
          <w:szCs w:val="30"/>
        </w:rPr>
        <w:t>- 19 -</w:t>
      </w:r>
      <w:r>
        <w:rPr>
          <w:sz w:val="30"/>
          <w:szCs w:val="30"/>
        </w:rPr>
        <w:fldChar w:fldCharType="end"/>
      </w:r>
      <w:r>
        <w:rPr>
          <w:sz w:val="30"/>
          <w:szCs w:val="30"/>
        </w:rPr>
        <w:fldChar w:fldCharType="end"/>
      </w:r>
    </w:p>
    <w:p>
      <w:pPr>
        <w:pStyle w:val="31"/>
        <w:keepNext w:val="0"/>
        <w:keepLines w:val="0"/>
        <w:spacing w:line="520" w:lineRule="exact"/>
        <w:ind w:firstLine="640" w:firstLineChars="200"/>
        <w:jc w:val="both"/>
        <w:sectPr>
          <w:headerReference r:id="rId3" w:type="default"/>
          <w:footerReference r:id="rId4" w:type="default"/>
          <w:pgSz w:w="11906" w:h="16838"/>
          <w:pgMar w:top="1440" w:right="1800" w:bottom="1440" w:left="1800" w:header="851" w:footer="992" w:gutter="0"/>
          <w:pgNumType w:fmt="numberInDash" w:start="1"/>
          <w:cols w:space="720" w:num="1"/>
          <w:docGrid w:type="lines" w:linePitch="312" w:charSpace="0"/>
        </w:sectPr>
      </w:pPr>
      <w:r>
        <w:fldChar w:fldCharType="end"/>
      </w:r>
      <w:bookmarkStart w:id="4" w:name="_Toc32254_WPSOffice_Level1"/>
      <w:bookmarkStart w:id="5" w:name="_Toc11547"/>
      <w:bookmarkStart w:id="6" w:name="_Toc17118"/>
      <w:bookmarkStart w:id="7" w:name="_Toc14304"/>
      <w:bookmarkStart w:id="8" w:name="_Toc127054583"/>
    </w:p>
    <w:p>
      <w:pPr>
        <w:pStyle w:val="31"/>
        <w:keepNext w:val="0"/>
        <w:keepLines w:val="0"/>
        <w:spacing w:line="520" w:lineRule="exact"/>
        <w:ind w:firstLine="640" w:firstLineChars="200"/>
        <w:jc w:val="both"/>
      </w:pPr>
      <w:r>
        <w:rPr>
          <w:rFonts w:hint="eastAsia"/>
        </w:rPr>
        <w:t>一、基本情况</w:t>
      </w:r>
      <w:bookmarkEnd w:id="2"/>
      <w:bookmarkEnd w:id="3"/>
      <w:bookmarkEnd w:id="4"/>
      <w:bookmarkEnd w:id="5"/>
      <w:bookmarkEnd w:id="6"/>
      <w:bookmarkEnd w:id="7"/>
      <w:bookmarkEnd w:id="8"/>
    </w:p>
    <w:p>
      <w:pPr>
        <w:pStyle w:val="52"/>
        <w:keepNext w:val="0"/>
        <w:keepLines w:val="0"/>
        <w:spacing w:line="520" w:lineRule="exact"/>
        <w:ind w:left="560"/>
        <w:jc w:val="both"/>
      </w:pPr>
      <w:bookmarkStart w:id="9" w:name="_Toc127054584"/>
      <w:bookmarkStart w:id="10" w:name="_Toc17504"/>
      <w:bookmarkStart w:id="11" w:name="_Toc17283"/>
      <w:bookmarkStart w:id="12" w:name="_Toc12560_WPSOffice_Level2"/>
      <w:bookmarkStart w:id="13" w:name="_Toc24286"/>
      <w:bookmarkStart w:id="14" w:name="_Toc32174_WPSOffice_Level2"/>
      <w:bookmarkStart w:id="15" w:name="_Toc31410"/>
      <w:bookmarkStart w:id="16" w:name="_Toc1545_WPSOffice_Level2"/>
      <w:bookmarkStart w:id="17" w:name="_Toc6398"/>
      <w:bookmarkStart w:id="18" w:name="_Toc5769"/>
      <w:r>
        <w:rPr>
          <w:rFonts w:hint="eastAsia"/>
        </w:rPr>
        <w:t>（一）项目概况</w:t>
      </w:r>
      <w:bookmarkEnd w:id="9"/>
      <w:bookmarkEnd w:id="10"/>
      <w:bookmarkEnd w:id="11"/>
      <w:bookmarkEnd w:id="12"/>
      <w:bookmarkEnd w:id="13"/>
      <w:bookmarkEnd w:id="14"/>
      <w:bookmarkEnd w:id="15"/>
      <w:bookmarkEnd w:id="16"/>
      <w:bookmarkEnd w:id="17"/>
      <w:bookmarkEnd w:id="18"/>
    </w:p>
    <w:p>
      <w:pPr>
        <w:pStyle w:val="32"/>
        <w:spacing w:line="520" w:lineRule="exact"/>
        <w:ind w:firstLine="562"/>
        <w:rPr>
          <w:rFonts w:ascii="仿宋_GB2312" w:hAnsi="仿宋_GB2312" w:cs="仿宋_GB2312"/>
          <w:b/>
          <w:bCs/>
        </w:rPr>
      </w:pPr>
      <w:r>
        <w:rPr>
          <w:rFonts w:hint="eastAsia" w:ascii="仿宋_GB2312" w:hAnsi="仿宋_GB2312" w:cs="仿宋_GB2312"/>
          <w:b/>
          <w:bCs/>
        </w:rPr>
        <w:t>1.项目背景</w:t>
      </w:r>
    </w:p>
    <w:p>
      <w:pPr>
        <w:pStyle w:val="32"/>
        <w:spacing w:line="520" w:lineRule="exact"/>
        <w:ind w:firstLine="560"/>
        <w:rPr>
          <w:rFonts w:ascii="仿宋_GB2312" w:hAnsi="仿宋_GB2312" w:cs="仿宋_GB2312"/>
        </w:rPr>
      </w:pPr>
      <w:r>
        <w:rPr>
          <w:rFonts w:hint="eastAsia" w:ascii="仿宋_GB2312" w:hAnsi="仿宋_GB2312" w:cs="仿宋_GB2312"/>
        </w:rPr>
        <w:t>本项目遵循财政部《项目支出绩效评价管理办法》（财预〔2020〕10号）和自治区财政厅《自</w:t>
      </w:r>
      <w:r>
        <w:rPr>
          <w:rFonts w:hint="eastAsia" w:ascii="仿宋_GB2312" w:hAnsi="仿宋_GB2312" w:cs="仿宋_GB2312"/>
          <w:color w:val="auto"/>
          <w:highlight w:val="none"/>
        </w:rPr>
        <w:t>治区财政支出绩效评价管理暂行办法》（新财预〔2018〕189号）等相关政策文件与规定，旨在评价</w:t>
      </w:r>
      <w:r>
        <w:rPr>
          <w:rFonts w:hint="eastAsia" w:ascii="仿宋_GB2312" w:hAnsi="仿宋_GB2312" w:cs="仿宋_GB2312"/>
          <w:color w:val="auto"/>
          <w:highlight w:val="none"/>
          <w:lang w:eastAsia="zh-CN"/>
        </w:rPr>
        <w:t>喀什地区30口地下水监测井站岳普湖县8口井项目</w:t>
      </w:r>
      <w:r>
        <w:rPr>
          <w:rFonts w:hint="eastAsia" w:ascii="仿宋_GB2312" w:hAnsi="仿宋_GB2312" w:cs="仿宋_GB2312"/>
          <w:color w:val="auto"/>
          <w:highlight w:val="none"/>
        </w:rPr>
        <w:t>实施前期、过程及效果，评价财政预算资金</w:t>
      </w:r>
      <w:r>
        <w:rPr>
          <w:rFonts w:hint="eastAsia" w:ascii="仿宋_GB2312" w:hAnsi="仿宋_GB2312" w:cs="仿宋_GB2312"/>
        </w:rPr>
        <w:t>使用的效率及效益。</w:t>
      </w:r>
    </w:p>
    <w:p>
      <w:pPr>
        <w:pStyle w:val="32"/>
        <w:spacing w:line="520" w:lineRule="exact"/>
        <w:ind w:firstLine="560"/>
        <w:rPr>
          <w:rFonts w:hint="eastAsia" w:ascii="仿宋_GB2312" w:hAnsi="仿宋_GB2312" w:cs="仿宋_GB2312"/>
          <w:highlight w:val="none"/>
          <w:lang w:val="en-US" w:eastAsia="zh-CN"/>
        </w:rPr>
      </w:pPr>
      <w:r>
        <w:rPr>
          <w:rFonts w:hint="eastAsia" w:ascii="仿宋_GB2312" w:hAnsi="仿宋_GB2312" w:cs="仿宋_GB2312"/>
          <w:highlight w:val="none"/>
        </w:rPr>
        <w:t>国家对地下水资源的保护和管理给予了高度重视。相关部门已经开展了一系列地下水监测工程项目，以推动地下水资源的科学管理和可持续利用。</w:t>
      </w:r>
      <w:r>
        <w:rPr>
          <w:rFonts w:hint="eastAsia" w:ascii="仿宋_GB2312" w:hAnsi="仿宋_GB2312" w:cs="仿宋_GB2312"/>
          <w:highlight w:val="none"/>
          <w:lang w:val="en-US" w:eastAsia="zh-CN"/>
        </w:rPr>
        <w:t>为</w:t>
      </w:r>
      <w:r>
        <w:rPr>
          <w:rFonts w:hint="eastAsia" w:ascii="仿宋_GB2312" w:hAnsi="仿宋_GB2312" w:cs="仿宋_GB2312"/>
          <w:highlight w:val="none"/>
        </w:rPr>
        <w:t>地下水监测井站的建设提供了有力的政策支持。随着社会对环境保护意识的提高，地下水污染防治工作也逐渐受到重视。地下水监测井站的建立可以及时发现地下水的污染问题，为污染源的溯源和治理提供线索，确保地下水资源的供应安全</w:t>
      </w:r>
      <w:r>
        <w:rPr>
          <w:rFonts w:hint="eastAsia" w:ascii="仿宋_GB2312" w:hAnsi="仿宋_GB2312" w:cs="仿宋_GB2312"/>
          <w:highlight w:val="none"/>
          <w:lang w:val="en-US" w:eastAsia="zh-CN"/>
        </w:rPr>
        <w:t>。</w:t>
      </w:r>
    </w:p>
    <w:p>
      <w:pPr>
        <w:pStyle w:val="32"/>
        <w:spacing w:line="520" w:lineRule="exact"/>
        <w:ind w:firstLine="560"/>
        <w:rPr>
          <w:rFonts w:hint="default" w:ascii="仿宋_GB2312" w:hAnsi="仿宋_GB2312" w:cs="仿宋_GB2312"/>
          <w:highlight w:val="none"/>
          <w:lang w:val="en-US" w:eastAsia="zh-CN"/>
        </w:rPr>
      </w:pPr>
      <w:r>
        <w:rPr>
          <w:rFonts w:hint="default" w:ascii="仿宋_GB2312" w:hAnsi="仿宋_GB2312" w:cs="仿宋_GB2312"/>
          <w:highlight w:val="none"/>
          <w:lang w:val="en-US" w:eastAsia="zh-CN"/>
        </w:rPr>
        <w:t>水资源短缺和不合理利用是一个全球性的问题，而地下水作为重要的水源之一，其可持续利用和保护显得尤为关键。在许多地区，由于过度开采和不合理利用，地下水水位持续下降、水质污染等问题日益严重，对当地的生产生活安全和生态环境造成了严重影响。地下水监测是水资源管理和保护的重要手段。通过建设地下水监测井站，可以实时、准确地监测地下水的水位、水质等关键指标，为科学管理和保护地下水资源提供数据支持。这些数据不仅有助于了解地下水资源的补给和排泄情况，还可以为水文模型的建立和水资源规划提供重要依据。</w:t>
      </w:r>
    </w:p>
    <w:p>
      <w:pPr>
        <w:pStyle w:val="32"/>
        <w:spacing w:line="520" w:lineRule="exact"/>
        <w:ind w:firstLine="562"/>
        <w:rPr>
          <w:rFonts w:ascii="仿宋_GB2312" w:hAnsi="仿宋_GB2312" w:cs="仿宋_GB2312"/>
          <w:b/>
          <w:bCs/>
        </w:rPr>
      </w:pPr>
      <w:r>
        <w:rPr>
          <w:rFonts w:hint="eastAsia" w:ascii="仿宋_GB2312" w:hAnsi="仿宋_GB2312" w:cs="仿宋_GB2312"/>
          <w:b/>
          <w:bCs/>
        </w:rPr>
        <w:t>2.主要内容及实施情况</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1）主要内容</w:t>
      </w:r>
    </w:p>
    <w:p>
      <w:pPr>
        <w:pStyle w:val="32"/>
        <w:spacing w:line="520" w:lineRule="exact"/>
        <w:ind w:firstLine="560"/>
        <w:rPr>
          <w:rFonts w:hint="eastAsia" w:ascii="仿宋_GB2312" w:hAnsi="仿宋_GB2312" w:eastAsia="仿宋_GB2312" w:cs="仿宋_GB2312"/>
          <w:color w:val="auto"/>
          <w:highlight w:val="none"/>
          <w:lang w:eastAsia="zh-CN"/>
        </w:rPr>
      </w:pPr>
      <w:r>
        <w:rPr>
          <w:rFonts w:hint="eastAsia" w:ascii="仿宋_GB2312" w:hAnsi="仿宋_GB2312" w:cs="仿宋_GB2312"/>
          <w:color w:val="auto"/>
          <w:highlight w:val="none"/>
          <w:lang w:val="en-US" w:eastAsia="zh-CN"/>
        </w:rPr>
        <w:t>为</w:t>
      </w:r>
      <w:r>
        <w:rPr>
          <w:rFonts w:hint="eastAsia" w:ascii="仿宋_GB2312" w:hAnsi="仿宋_GB2312" w:cs="仿宋_GB2312"/>
          <w:color w:val="auto"/>
          <w:highlight w:val="none"/>
        </w:rPr>
        <w:t>保障地水下水量和水位双控目标，实现采补平衡</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在岳普湖县建设</w:t>
      </w:r>
      <w:r>
        <w:rPr>
          <w:rFonts w:hint="eastAsia" w:ascii="仿宋_GB2312" w:hAnsi="仿宋_GB2312" w:cs="仿宋_GB2312"/>
          <w:color w:val="auto"/>
          <w:highlight w:val="none"/>
        </w:rPr>
        <w:t>8口地下水监测井。</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2）实施情况</w:t>
      </w:r>
    </w:p>
    <w:p>
      <w:pPr>
        <w:pStyle w:val="32"/>
        <w:spacing w:line="520" w:lineRule="exact"/>
        <w:ind w:firstLine="560"/>
        <w:rPr>
          <w:rFonts w:ascii="仿宋_GB2312" w:hAnsi="仿宋_GB2312" w:cs="仿宋_GB2312"/>
        </w:rPr>
      </w:pPr>
      <w:r>
        <w:rPr>
          <w:rFonts w:ascii="仿宋_GB2312" w:hAnsi="仿宋_GB2312" w:cs="仿宋_GB2312"/>
          <w:color w:val="auto"/>
          <w:highlight w:val="none"/>
        </w:rPr>
        <w:t>项目实施前由项目负责人</w:t>
      </w:r>
      <w:r>
        <w:rPr>
          <w:rFonts w:hint="eastAsia" w:ascii="仿宋_GB2312" w:hAnsi="仿宋_GB2312" w:cs="仿宋_GB2312"/>
          <w:color w:val="auto"/>
          <w:highlight w:val="none"/>
          <w:lang w:eastAsia="zh-CN"/>
        </w:rPr>
        <w:t>买买提·肉苏力</w:t>
      </w:r>
      <w:r>
        <w:rPr>
          <w:rFonts w:ascii="仿宋_GB2312" w:hAnsi="仿宋_GB2312" w:cs="仿宋_GB2312"/>
          <w:color w:val="auto"/>
          <w:highlight w:val="none"/>
        </w:rPr>
        <w:t>进行牵头，首先进行项目的前期调研。评估项目实施的相关性、预期绩效的可实现性、实施方案的有</w:t>
      </w:r>
      <w:r>
        <w:rPr>
          <w:rFonts w:ascii="仿宋_GB2312" w:hAnsi="仿宋_GB2312" w:cs="仿宋_GB2312"/>
          <w:highlight w:val="none"/>
        </w:rPr>
        <w:t>效性、财政资金投入可行性风险。其次在项目实施过程中结</w:t>
      </w:r>
      <w:r>
        <w:rPr>
          <w:rFonts w:ascii="仿宋_GB2312" w:hAnsi="仿宋_GB2312" w:cs="仿宋_GB2312"/>
        </w:rPr>
        <w:t>合本县的实际要求，严格按照相关文件的规定开展，在项目实施过程中不定期进行监督检查，发现问题及时整改。最后项目结束时实施单位及时进行成果验收，做好项目的后期管护工作。</w:t>
      </w:r>
    </w:p>
    <w:p>
      <w:pPr>
        <w:pStyle w:val="32"/>
        <w:spacing w:line="520" w:lineRule="exact"/>
        <w:ind w:firstLine="562"/>
        <w:rPr>
          <w:rFonts w:ascii="仿宋_GB2312" w:hAnsi="仿宋_GB2312" w:cs="仿宋_GB2312"/>
          <w:b/>
          <w:bCs/>
        </w:rPr>
      </w:pPr>
      <w:r>
        <w:rPr>
          <w:rFonts w:hint="eastAsia" w:ascii="仿宋_GB2312" w:hAnsi="仿宋_GB2312" w:cs="仿宋_GB2312"/>
          <w:b/>
          <w:bCs/>
        </w:rPr>
        <w:t>3.项目实施主体</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lang w:val="en-US" w:eastAsia="zh-CN"/>
        </w:rPr>
        <w:t>项目实施主体:</w:t>
      </w:r>
      <w:r>
        <w:rPr>
          <w:rFonts w:hint="eastAsia" w:ascii="仿宋_GB2312" w:hAnsi="仿宋_GB2312" w:cs="仿宋_GB2312"/>
          <w:color w:val="auto"/>
          <w:highlight w:val="none"/>
          <w:lang w:eastAsia="zh-CN"/>
        </w:rPr>
        <w:t>岳普湖县水利局。</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项目实施时间：2023年1月-6月。</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lang w:val="en-US" w:eastAsia="zh-CN"/>
        </w:rPr>
        <w:t>实施主体基本情况：</w:t>
      </w:r>
      <w:r>
        <w:rPr>
          <w:rFonts w:hint="eastAsia" w:ascii="仿宋_GB2312" w:hAnsi="仿宋_GB2312" w:cs="仿宋_GB2312"/>
          <w:color w:val="auto"/>
          <w:highlight w:val="none"/>
        </w:rPr>
        <w:t>贯彻执行有关水行政管理的法律法规和方针政策；负责保障水资源的合理开发利用；拟定地方性水利发展规划和政策，起草相关地方性法规和政府规章草案；组织编制全县重大水资源发展规划，重要河流湖泊流域综合规划、防洪规划等重大水利规划。</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按规定制定水利工程建设有关制度并组织实施，负责提出水利固定资产投资规模、方向、具体安排建议并组织实施，按规定权限审批、核准规划内和年度计划规模内固定资产投资项目，提出水利资金安排建议并负责项目实施的监督管理。负责组织编制洪水干旱灾害防治规划和防护标准并指导实施。承担水情旱情监测预警工作。组织编制重要河流湖泊和重要水工程的防御洪水抗御旱灾调度及应急水量调度方案，按程序报批并组织实施。承担防御洪水应急抢险的技术支撑工作。</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实施主体</w:t>
      </w:r>
      <w:r>
        <w:rPr>
          <w:rFonts w:hint="eastAsia" w:ascii="仿宋_GB2312" w:hAnsi="仿宋_GB2312" w:cs="仿宋_GB2312"/>
          <w:color w:val="auto"/>
          <w:highlight w:val="none"/>
        </w:rPr>
        <w:t>编制情况：</w:t>
      </w:r>
      <w:r>
        <w:rPr>
          <w:rFonts w:hint="eastAsia" w:ascii="仿宋_GB2312" w:hAnsi="仿宋_GB2312" w:cs="仿宋_GB2312"/>
          <w:color w:val="auto"/>
          <w:highlight w:val="none"/>
          <w:lang w:eastAsia="zh-CN"/>
        </w:rPr>
        <w:t>岳普湖县水利局为行政单位，成立于1991年1月。单位编制5人，工勤2人。本级下设农村改水服务站，编制8人；水政监察大队编制4人，为参考公务员管理的事业单位人数9人；下设水利质量监督站和岳普湖河湖中心为全额事业单位，编制人数6人；下设岳普湖县水管总站和岳普湖县农村供水总站为自收自支事业单位，编制人数40人</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4.资金投入情况</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（1）项目资金安排落实、总投入等情况分析</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根据《</w:t>
      </w:r>
      <w:r>
        <w:rPr>
          <w:rFonts w:hint="eastAsia" w:ascii="仿宋_GB2312" w:hAnsi="仿宋_GB2312" w:cs="仿宋_GB2312"/>
          <w:color w:val="auto"/>
          <w:highlight w:val="none"/>
          <w:lang w:val="en-US" w:eastAsia="zh-CN"/>
        </w:rPr>
        <w:t>关于提前下达2023年自治区安排新建100口地下水监测井（站）项目资金预算的通知</w:t>
      </w:r>
      <w:r>
        <w:rPr>
          <w:rFonts w:hint="eastAsia" w:ascii="仿宋_GB2312" w:hAnsi="仿宋_GB2312" w:cs="仿宋_GB2312"/>
          <w:color w:val="auto"/>
          <w:highlight w:val="none"/>
        </w:rPr>
        <w:t>》</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喀地财农</w:t>
      </w:r>
      <w:r>
        <w:rPr>
          <w:rFonts w:hint="eastAsia" w:ascii="仿宋_GB2312" w:hAnsi="仿宋_GB2312" w:eastAsia="仿宋_GB2312" w:cs="仿宋_GB2312"/>
          <w:color w:val="auto"/>
          <w:highlight w:val="none"/>
          <w:lang w:val="en-US" w:eastAsia="zh-CN"/>
        </w:rPr>
        <w:t>〔</w:t>
      </w:r>
      <w:r>
        <w:rPr>
          <w:rFonts w:hint="eastAsia" w:ascii="仿宋_GB2312" w:hAnsi="仿宋_GB2312" w:cs="仿宋_GB2312"/>
          <w:color w:val="auto"/>
          <w:highlight w:val="none"/>
          <w:lang w:val="en-US" w:eastAsia="zh-CN"/>
        </w:rPr>
        <w:t>2023</w:t>
      </w:r>
      <w:r>
        <w:rPr>
          <w:rFonts w:hint="eastAsia" w:ascii="仿宋_GB2312" w:hAnsi="仿宋_GB2312" w:eastAsia="仿宋_GB2312" w:cs="仿宋_GB2312"/>
          <w:color w:val="auto"/>
          <w:highlight w:val="none"/>
          <w:lang w:val="en-US" w:eastAsia="zh-CN"/>
        </w:rPr>
        <w:t>〕</w:t>
      </w:r>
      <w:r>
        <w:rPr>
          <w:rFonts w:hint="eastAsia" w:ascii="仿宋_GB2312" w:hAnsi="仿宋_GB2312" w:cs="仿宋_GB2312"/>
          <w:color w:val="auto"/>
          <w:highlight w:val="none"/>
          <w:lang w:val="en-US" w:eastAsia="zh-CN"/>
        </w:rPr>
        <w:t>4号</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文件资金下达</w:t>
      </w:r>
      <w:r>
        <w:rPr>
          <w:rFonts w:hint="eastAsia" w:ascii="仿宋_GB2312" w:hAnsi="仿宋_GB2312" w:cs="仿宋_GB2312"/>
          <w:color w:val="auto"/>
          <w:highlight w:val="none"/>
        </w:rPr>
        <w:t>，年初批复部门预算数</w:t>
      </w:r>
      <w:r>
        <w:rPr>
          <w:rFonts w:hint="eastAsia" w:ascii="仿宋_GB2312" w:hAnsi="仿宋_GB2312" w:cs="仿宋_GB2312"/>
          <w:color w:val="auto"/>
          <w:highlight w:val="none"/>
          <w:lang w:val="en-US" w:eastAsia="zh-CN"/>
        </w:rPr>
        <w:t>217.29</w:t>
      </w:r>
      <w:r>
        <w:rPr>
          <w:rFonts w:hint="eastAsia" w:ascii="仿宋_GB2312" w:hAnsi="仿宋_GB2312" w:cs="仿宋_GB2312"/>
          <w:color w:val="auto"/>
          <w:highlight w:val="none"/>
        </w:rPr>
        <w:t>万元，全年预算数为</w:t>
      </w:r>
      <w:r>
        <w:rPr>
          <w:rFonts w:hint="eastAsia" w:ascii="仿宋_GB2312" w:hAnsi="仿宋_GB2312" w:cs="仿宋_GB2312"/>
          <w:color w:val="auto"/>
          <w:highlight w:val="none"/>
          <w:lang w:val="en-US" w:eastAsia="zh-CN"/>
        </w:rPr>
        <w:t>217.29</w:t>
      </w:r>
      <w:r>
        <w:rPr>
          <w:rFonts w:hint="eastAsia" w:ascii="仿宋_GB2312" w:hAnsi="仿宋_GB2312" w:cs="仿宋_GB2312"/>
          <w:color w:val="auto"/>
          <w:highlight w:val="none"/>
        </w:rPr>
        <w:t>万元，其中：财政资金</w:t>
      </w:r>
      <w:r>
        <w:rPr>
          <w:rFonts w:hint="eastAsia" w:ascii="仿宋_GB2312" w:hAnsi="仿宋_GB2312" w:cs="仿宋_GB2312"/>
          <w:color w:val="auto"/>
          <w:highlight w:val="none"/>
          <w:lang w:val="en-US" w:eastAsia="zh-CN"/>
        </w:rPr>
        <w:t>217.29</w:t>
      </w:r>
      <w:r>
        <w:rPr>
          <w:rFonts w:hint="eastAsia" w:ascii="仿宋_GB2312" w:hAnsi="仿宋_GB2312" w:cs="仿宋_GB2312"/>
          <w:color w:val="auto"/>
          <w:highlight w:val="none"/>
        </w:rPr>
        <w:t>万元，其他资金0.00万元</w:t>
      </w:r>
      <w:r>
        <w:rPr>
          <w:rFonts w:hint="eastAsia" w:ascii="仿宋_GB2312" w:hAnsi="仿宋_GB2312" w:cs="仿宋_GB2312"/>
          <w:color w:val="auto"/>
          <w:highlight w:val="none"/>
          <w:lang w:eastAsia="zh-CN"/>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截止</w:t>
      </w:r>
      <w:r>
        <w:rPr>
          <w:rFonts w:hint="eastAsia" w:ascii="仿宋_GB2312" w:hAnsi="仿宋_GB2312" w:cs="仿宋_GB2312"/>
          <w:color w:val="auto"/>
          <w:highlight w:val="none"/>
        </w:rPr>
        <w:t>202</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年12月31日，</w:t>
      </w:r>
      <w:r>
        <w:rPr>
          <w:rFonts w:hint="eastAsia" w:ascii="仿宋_GB2312" w:hAnsi="仿宋_GB2312" w:cs="仿宋_GB2312"/>
          <w:color w:val="auto"/>
          <w:highlight w:val="none"/>
          <w:lang w:val="en-US" w:eastAsia="zh-CN"/>
        </w:rPr>
        <w:t>实际到位项目资金217.29万元，</w:t>
      </w:r>
      <w:r>
        <w:rPr>
          <w:rFonts w:hint="eastAsia" w:ascii="仿宋_GB2312" w:hAnsi="仿宋_GB2312" w:cs="仿宋_GB2312"/>
          <w:color w:val="auto"/>
          <w:highlight w:val="none"/>
        </w:rPr>
        <w:t>预算资金到位率为100%。</w:t>
      </w:r>
    </w:p>
    <w:p>
      <w:pPr>
        <w:pStyle w:val="32"/>
        <w:spacing w:line="520" w:lineRule="exact"/>
        <w:ind w:firstLine="560"/>
        <w:rPr>
          <w:rFonts w:hint="default" w:ascii="仿宋_GB2312" w:hAnsi="仿宋_GB2312" w:cs="仿宋_GB2312"/>
          <w:color w:val="auto"/>
          <w:highlight w:val="none"/>
          <w:lang w:val="en-US"/>
        </w:rPr>
      </w:pPr>
      <w:r>
        <w:rPr>
          <w:rFonts w:hint="eastAsia" w:ascii="仿宋_GB2312" w:hAnsi="仿宋_GB2312" w:cs="仿宋_GB2312"/>
          <w:b/>
          <w:bCs/>
          <w:color w:val="auto"/>
          <w:highlight w:val="none"/>
          <w:lang w:val="en-US" w:eastAsia="zh-CN"/>
        </w:rPr>
        <w:t>5.资金使用情况</w:t>
      </w:r>
    </w:p>
    <w:p>
      <w:pPr>
        <w:pStyle w:val="32"/>
        <w:spacing w:line="520" w:lineRule="exact"/>
        <w:ind w:firstLine="560"/>
        <w:rPr>
          <w:rFonts w:ascii="仿宋_GB2312" w:hAnsi="仿宋_GB2312" w:cs="仿宋_GB2312"/>
          <w:color w:val="FF0000"/>
          <w:highlight w:val="none"/>
        </w:rPr>
      </w:pPr>
      <w:r>
        <w:rPr>
          <w:rFonts w:hint="eastAsia" w:ascii="仿宋_GB2312" w:hAnsi="仿宋_GB2312" w:cs="仿宋_GB2312"/>
          <w:color w:val="auto"/>
          <w:highlight w:val="none"/>
        </w:rPr>
        <w:t>截止202</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年12月31日，本项目实际支付资金</w:t>
      </w:r>
      <w:r>
        <w:rPr>
          <w:rFonts w:hint="eastAsia" w:ascii="仿宋_GB2312" w:hAnsi="仿宋_GB2312" w:cs="仿宋_GB2312"/>
          <w:color w:val="auto"/>
          <w:highlight w:val="none"/>
          <w:lang w:val="en-US" w:eastAsia="zh-CN"/>
        </w:rPr>
        <w:t>155.24</w:t>
      </w:r>
      <w:r>
        <w:rPr>
          <w:rFonts w:hint="eastAsia" w:ascii="仿宋_GB2312" w:hAnsi="仿宋_GB2312" w:cs="仿宋_GB2312"/>
          <w:color w:val="auto"/>
          <w:highlight w:val="none"/>
        </w:rPr>
        <w:t>万元，预算执行率</w:t>
      </w:r>
      <w:r>
        <w:rPr>
          <w:rFonts w:hint="eastAsia" w:ascii="仿宋_GB2312" w:hAnsi="仿宋_GB2312" w:cs="仿宋_GB2312"/>
          <w:color w:val="auto"/>
          <w:highlight w:val="none"/>
          <w:lang w:val="en-US" w:eastAsia="zh-CN"/>
        </w:rPr>
        <w:t>71.4</w:t>
      </w:r>
      <w:r>
        <w:rPr>
          <w:rFonts w:hint="eastAsia" w:ascii="仿宋_GB2312" w:hAnsi="仿宋_GB2312" w:cs="仿宋_GB2312"/>
          <w:color w:val="auto"/>
          <w:highlight w:val="none"/>
        </w:rPr>
        <w:t>%。项目资金主要用于</w:t>
      </w:r>
      <w:r>
        <w:rPr>
          <w:rFonts w:hint="eastAsia" w:ascii="仿宋_GB2312" w:hAnsi="仿宋_GB2312" w:cs="仿宋_GB2312"/>
          <w:color w:val="auto"/>
          <w:highlight w:val="none"/>
          <w:lang w:val="en-US" w:eastAsia="zh-CN"/>
        </w:rPr>
        <w:t>支付建设8口地下水监测井</w:t>
      </w:r>
      <w:r>
        <w:rPr>
          <w:rFonts w:hint="eastAsia" w:ascii="仿宋_GB2312" w:hAnsi="仿宋_GB2312" w:cs="仿宋_GB2312"/>
          <w:color w:val="auto"/>
          <w:highlight w:val="none"/>
        </w:rPr>
        <w:t>。</w:t>
      </w:r>
    </w:p>
    <w:p>
      <w:pPr>
        <w:pStyle w:val="52"/>
        <w:keepNext w:val="0"/>
        <w:keepLines w:val="0"/>
        <w:spacing w:line="520" w:lineRule="exact"/>
        <w:ind w:left="560"/>
        <w:jc w:val="both"/>
        <w:rPr>
          <w:color w:val="auto"/>
          <w:highlight w:val="none"/>
        </w:rPr>
      </w:pPr>
      <w:bookmarkStart w:id="19" w:name="_Toc127054585"/>
      <w:bookmarkStart w:id="20" w:name="_Toc1686_WPSOffice_Level2"/>
      <w:bookmarkStart w:id="21" w:name="_Toc19378"/>
      <w:bookmarkStart w:id="22" w:name="_Toc13569"/>
      <w:bookmarkStart w:id="23" w:name="_Toc20532"/>
      <w:bookmarkStart w:id="24" w:name="_Toc18631"/>
      <w:bookmarkStart w:id="25" w:name="_Toc18974"/>
      <w:bookmarkStart w:id="26" w:name="_Toc23149"/>
      <w:bookmarkStart w:id="27" w:name="_Toc32607_WPSOffice_Level2"/>
      <w:bookmarkStart w:id="28" w:name="_Toc23928_WPSOffice_Level2"/>
      <w:r>
        <w:rPr>
          <w:rFonts w:hint="eastAsia"/>
          <w:color w:val="auto"/>
          <w:highlight w:val="none"/>
        </w:rPr>
        <w:t>（二）项目绩效目标</w:t>
      </w:r>
      <w:bookmarkEnd w:id="19"/>
      <w:bookmarkEnd w:id="20"/>
      <w:bookmarkEnd w:id="21"/>
      <w:bookmarkEnd w:id="22"/>
      <w:bookmarkEnd w:id="23"/>
      <w:bookmarkEnd w:id="24"/>
      <w:bookmarkEnd w:id="25"/>
      <w:bookmarkEnd w:id="26"/>
      <w:bookmarkEnd w:id="27"/>
      <w:bookmarkEnd w:id="28"/>
    </w:p>
    <w:p>
      <w:pPr>
        <w:pStyle w:val="32"/>
        <w:spacing w:line="520" w:lineRule="exact"/>
        <w:ind w:firstLine="562"/>
        <w:rPr>
          <w:rFonts w:ascii="仿宋_GB2312" w:hAnsi="仿宋_GB2312" w:cs="仿宋_GB2312"/>
          <w:b/>
          <w:bCs/>
        </w:rPr>
      </w:pPr>
      <w:r>
        <w:rPr>
          <w:rFonts w:hint="eastAsia" w:ascii="仿宋_GB2312" w:hAnsi="仿宋_GB2312" w:cs="仿宋_GB2312"/>
          <w:b/>
          <w:bCs/>
        </w:rPr>
        <w:t>1.项目总体目标</w:t>
      </w:r>
    </w:p>
    <w:p>
      <w:pPr>
        <w:pStyle w:val="32"/>
        <w:spacing w:line="520" w:lineRule="exact"/>
        <w:ind w:firstLine="560"/>
        <w:rPr>
          <w:rFonts w:hint="default" w:ascii="仿宋_GB2312" w:hAnsi="仿宋_GB2312" w:eastAsia="仿宋_GB2312" w:cs="仿宋_GB2312"/>
          <w:highlight w:val="none"/>
          <w:lang w:val="en-US" w:eastAsia="zh-CN"/>
        </w:rPr>
      </w:pPr>
      <w:r>
        <w:rPr>
          <w:rFonts w:hint="eastAsia" w:ascii="仿宋_GB2312" w:hAnsi="仿宋_GB2312" w:cs="仿宋_GB2312"/>
          <w:highlight w:val="none"/>
        </w:rPr>
        <w:t>建设8口地下水监测井。通过项目的实施有效加强地下水监测效果，及时掌握地下水水质变化情况，有利于采取有效的保护机制和防治手段。</w:t>
      </w:r>
    </w:p>
    <w:p>
      <w:pPr>
        <w:pStyle w:val="32"/>
        <w:spacing w:line="520" w:lineRule="exact"/>
        <w:ind w:firstLine="562"/>
        <w:rPr>
          <w:rFonts w:ascii="仿宋_GB2312" w:hAnsi="仿宋_GB2312" w:cs="仿宋_GB2312"/>
          <w:b/>
          <w:bCs/>
        </w:rPr>
      </w:pPr>
      <w:r>
        <w:rPr>
          <w:rFonts w:hint="eastAsia" w:ascii="仿宋_GB2312" w:hAnsi="仿宋_GB2312" w:cs="仿宋_GB2312"/>
          <w:b/>
          <w:bCs/>
        </w:rPr>
        <w:t>2.项目阶段性目标</w:t>
      </w:r>
      <w:bookmarkStart w:id="29" w:name="_Toc24349"/>
    </w:p>
    <w:p>
      <w:pPr>
        <w:pStyle w:val="32"/>
        <w:spacing w:line="520" w:lineRule="exact"/>
        <w:ind w:firstLine="560"/>
        <w:rPr>
          <w:rFonts w:hint="eastAsia" w:ascii="仿宋_GB2312" w:hAnsi="仿宋_GB2312" w:cs="仿宋_GB2312"/>
          <w:highlight w:val="none"/>
          <w:lang w:val="en-US" w:eastAsia="zh-CN"/>
        </w:rPr>
      </w:pPr>
      <w:r>
        <w:rPr>
          <w:rFonts w:hint="eastAsia" w:ascii="仿宋_GB2312" w:hAnsi="仿宋_GB2312" w:cs="仿宋_GB2312"/>
          <w:highlight w:val="none"/>
          <w:lang w:val="en-US" w:eastAsia="zh-CN"/>
        </w:rPr>
        <w:t>前期准备：通过制定项目实施方案，经项目负责人审核通过后，有序开展后续工作。</w:t>
      </w:r>
    </w:p>
    <w:p>
      <w:pPr>
        <w:pStyle w:val="32"/>
        <w:spacing w:line="520" w:lineRule="exact"/>
        <w:ind w:firstLine="560"/>
        <w:rPr>
          <w:rFonts w:hint="eastAsia" w:ascii="仿宋_GB2312" w:hAnsi="仿宋_GB2312" w:cs="仿宋_GB2312"/>
          <w:highlight w:val="none"/>
          <w:lang w:val="en-US" w:eastAsia="zh-CN"/>
        </w:rPr>
      </w:pPr>
      <w:r>
        <w:rPr>
          <w:rFonts w:hint="eastAsia" w:ascii="仿宋_GB2312" w:hAnsi="仿宋_GB2312" w:cs="仿宋_GB2312"/>
          <w:highlight w:val="none"/>
          <w:lang w:val="en-US" w:eastAsia="zh-CN"/>
        </w:rPr>
        <w:t>组织实施：资金一到位，立即根据项目要求实施项目。项目责任人按照项目实施方案要求逐一进行项目部署安排，提高项目质量及效率性。</w:t>
      </w:r>
    </w:p>
    <w:p>
      <w:pPr>
        <w:pStyle w:val="32"/>
        <w:spacing w:line="520" w:lineRule="exact"/>
        <w:ind w:firstLine="560"/>
        <w:rPr>
          <w:rFonts w:hint="eastAsia" w:ascii="仿宋_GB2312" w:hAnsi="仿宋_GB2312" w:cs="仿宋_GB2312"/>
          <w:highlight w:val="none"/>
          <w:lang w:val="en-US" w:eastAsia="zh-CN"/>
        </w:rPr>
      </w:pPr>
      <w:r>
        <w:rPr>
          <w:rFonts w:hint="eastAsia" w:ascii="仿宋_GB2312" w:hAnsi="仿宋_GB2312" w:cs="仿宋_GB2312"/>
          <w:highlight w:val="none"/>
          <w:lang w:val="en-US" w:eastAsia="zh-CN"/>
        </w:rPr>
        <w:t>项目投入：本项目预算安排总额为217.29万元，为自治区资金。</w:t>
      </w:r>
    </w:p>
    <w:p>
      <w:pPr>
        <w:pStyle w:val="32"/>
        <w:spacing w:line="520" w:lineRule="exact"/>
        <w:ind w:firstLine="560"/>
        <w:rPr>
          <w:rFonts w:hint="eastAsia" w:ascii="仿宋_GB2312" w:hAnsi="仿宋_GB2312" w:cs="仿宋_GB2312"/>
          <w:highlight w:val="none"/>
          <w:lang w:val="en-US" w:eastAsia="zh-CN"/>
        </w:rPr>
      </w:pPr>
      <w:r>
        <w:rPr>
          <w:rFonts w:hint="eastAsia" w:ascii="仿宋_GB2312" w:hAnsi="仿宋_GB2312" w:cs="仿宋_GB2312"/>
          <w:highlight w:val="none"/>
          <w:lang w:val="en-US" w:eastAsia="zh-CN"/>
        </w:rPr>
        <w:t>项目产出：在岳普湖县建设8口地下水监测井。</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lang w:val="en-US" w:eastAsia="zh-CN"/>
        </w:rPr>
        <w:t>项目效果：本项目实施有效加强地下水监测效果，及时掌握地下水水质变化情况，有利于采取有效的保护机制和防治手段。</w:t>
      </w:r>
    </w:p>
    <w:p>
      <w:pPr>
        <w:pStyle w:val="31"/>
        <w:keepNext w:val="0"/>
        <w:keepLines w:val="0"/>
        <w:spacing w:line="520" w:lineRule="exact"/>
        <w:ind w:firstLine="640" w:firstLineChars="200"/>
        <w:jc w:val="both"/>
      </w:pPr>
      <w:bookmarkStart w:id="30" w:name="_Toc32174_WPSOffice_Level1"/>
      <w:bookmarkStart w:id="31" w:name="_Toc9278"/>
      <w:bookmarkStart w:id="32" w:name="_Toc3608"/>
      <w:bookmarkStart w:id="33" w:name="_Toc10478"/>
      <w:bookmarkStart w:id="34" w:name="_Toc12560_WPSOffice_Level1"/>
      <w:bookmarkStart w:id="35" w:name="_Toc127054586"/>
      <w:bookmarkStart w:id="36" w:name="_Toc8160"/>
      <w:bookmarkStart w:id="37" w:name="_Toc17863"/>
      <w:bookmarkStart w:id="38" w:name="_Toc1545_WPSOffice_Level1"/>
      <w:r>
        <w:rPr>
          <w:rFonts w:hint="eastAsia"/>
        </w:rPr>
        <w:t>二、绩效评价工作开展情况</w:t>
      </w:r>
      <w:bookmarkEnd w:id="29"/>
      <w:bookmarkEnd w:id="30"/>
      <w:bookmarkEnd w:id="31"/>
      <w:bookmarkEnd w:id="32"/>
      <w:bookmarkEnd w:id="33"/>
      <w:bookmarkEnd w:id="34"/>
      <w:bookmarkEnd w:id="35"/>
      <w:bookmarkEnd w:id="36"/>
      <w:bookmarkEnd w:id="37"/>
      <w:bookmarkEnd w:id="38"/>
    </w:p>
    <w:p>
      <w:pPr>
        <w:pStyle w:val="52"/>
        <w:keepNext w:val="0"/>
        <w:keepLines w:val="0"/>
        <w:spacing w:line="520" w:lineRule="exact"/>
        <w:ind w:left="560"/>
        <w:jc w:val="both"/>
        <w:rPr>
          <w:rFonts w:ascii="仿宋_GB2312" w:hAnsi="仿宋_GB2312" w:cs="仿宋_GB2312"/>
        </w:rPr>
      </w:pPr>
      <w:bookmarkStart w:id="39" w:name="_Toc20761"/>
      <w:bookmarkStart w:id="40" w:name="_Toc1997"/>
      <w:bookmarkStart w:id="41" w:name="_Toc1092"/>
      <w:bookmarkStart w:id="42" w:name="_Toc27953"/>
      <w:bookmarkStart w:id="43" w:name="_Toc15466"/>
      <w:bookmarkStart w:id="44" w:name="_Toc17696_WPSOffice_Level2"/>
      <w:bookmarkStart w:id="45" w:name="_Toc25691"/>
      <w:bookmarkStart w:id="46" w:name="_Toc127054587"/>
      <w:bookmarkStart w:id="47" w:name="_Toc10259_WPSOffice_Level2"/>
      <w:bookmarkStart w:id="48" w:name="_Toc14202_WPSOffice_Level2"/>
      <w:r>
        <w:rPr>
          <w:rFonts w:hint="eastAsia" w:ascii="仿宋_GB2312" w:hAnsi="仿宋_GB2312" w:cs="仿宋_GB2312"/>
        </w:rPr>
        <w:t>（一）绩效评价目的、对象</w:t>
      </w:r>
      <w:r>
        <w:rPr>
          <w:rFonts w:hint="eastAsia" w:ascii="仿宋_GB2312" w:hAnsi="仿宋_GB2312" w:cs="仿宋_GB2312"/>
          <w:lang w:eastAsia="zh-CN"/>
        </w:rPr>
        <w:t>、</w:t>
      </w:r>
      <w:r>
        <w:rPr>
          <w:rFonts w:hint="eastAsia" w:ascii="仿宋_GB2312" w:hAnsi="仿宋_GB2312" w:cs="仿宋_GB2312"/>
          <w:lang w:val="en-US" w:eastAsia="zh-CN"/>
        </w:rPr>
        <w:t>时间</w:t>
      </w:r>
      <w:r>
        <w:rPr>
          <w:rFonts w:hint="eastAsia" w:ascii="仿宋_GB2312" w:hAnsi="仿宋_GB2312" w:cs="仿宋_GB2312"/>
        </w:rPr>
        <w:t>和范围</w:t>
      </w:r>
      <w:bookmarkEnd w:id="39"/>
      <w:bookmarkEnd w:id="40"/>
      <w:bookmarkEnd w:id="41"/>
      <w:bookmarkEnd w:id="42"/>
      <w:bookmarkEnd w:id="43"/>
      <w:bookmarkEnd w:id="44"/>
      <w:bookmarkEnd w:id="45"/>
      <w:bookmarkEnd w:id="46"/>
      <w:bookmarkEnd w:id="47"/>
      <w:bookmarkEnd w:id="48"/>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lang w:val="en-US" w:eastAsia="zh-CN"/>
        </w:rPr>
        <w:t>1.绩效评价完整性</w:t>
      </w:r>
    </w:p>
    <w:p>
      <w:pPr>
        <w:pStyle w:val="32"/>
        <w:spacing w:line="520" w:lineRule="exact"/>
        <w:ind w:firstLine="562"/>
        <w:rPr>
          <w:rFonts w:hint="eastAsia" w:ascii="仿宋_GB2312" w:hAnsi="仿宋_GB2312" w:cs="仿宋_GB2312"/>
          <w:b w:val="0"/>
          <w:bCs w:val="0"/>
          <w:color w:val="auto"/>
          <w:highlight w:val="none"/>
        </w:rPr>
      </w:pPr>
      <w:r>
        <w:rPr>
          <w:rFonts w:hint="eastAsia" w:ascii="仿宋_GB2312" w:hAnsi="仿宋_GB2312" w:cs="仿宋_GB2312"/>
          <w:b w:val="0"/>
          <w:bCs w:val="0"/>
          <w:color w:val="auto"/>
          <w:highlight w:val="none"/>
          <w:lang w:val="en-US" w:eastAsia="zh-CN"/>
        </w:rPr>
        <w:t>完整性主要体现在绩效</w:t>
      </w:r>
      <w:r>
        <w:rPr>
          <w:rFonts w:hint="eastAsia" w:ascii="仿宋_GB2312" w:hAnsi="仿宋_GB2312" w:cs="仿宋_GB2312"/>
          <w:b w:val="0"/>
          <w:bCs w:val="0"/>
          <w:color w:val="auto"/>
          <w:highlight w:val="none"/>
        </w:rPr>
        <w:t>评价过程的全面性和系统性。涵盖了对项目</w:t>
      </w:r>
      <w:r>
        <w:rPr>
          <w:rFonts w:hint="eastAsia" w:ascii="仿宋_GB2312" w:hAnsi="仿宋_GB2312" w:cs="仿宋_GB2312"/>
          <w:b w:val="0"/>
          <w:bCs w:val="0"/>
          <w:color w:val="auto"/>
          <w:highlight w:val="none"/>
          <w:lang w:val="en-US" w:eastAsia="zh-CN"/>
        </w:rPr>
        <w:t>全过程</w:t>
      </w:r>
      <w:r>
        <w:rPr>
          <w:rFonts w:hint="eastAsia" w:ascii="仿宋_GB2312" w:hAnsi="仿宋_GB2312" w:cs="仿宋_GB2312"/>
          <w:b w:val="0"/>
          <w:bCs w:val="0"/>
          <w:color w:val="auto"/>
          <w:highlight w:val="none"/>
        </w:rPr>
        <w:t>的完整生命周期的评</w:t>
      </w:r>
      <w:r>
        <w:rPr>
          <w:rFonts w:hint="eastAsia" w:ascii="仿宋_GB2312" w:hAnsi="仿宋_GB2312" w:cs="仿宋_GB2312"/>
          <w:b w:val="0"/>
          <w:bCs w:val="0"/>
          <w:color w:val="auto"/>
          <w:highlight w:val="none"/>
          <w:lang w:val="en-US" w:eastAsia="zh-CN"/>
        </w:rPr>
        <w:t>价</w:t>
      </w:r>
      <w:r>
        <w:rPr>
          <w:rFonts w:hint="eastAsia" w:ascii="仿宋_GB2312" w:hAnsi="仿宋_GB2312" w:cs="仿宋_GB2312"/>
          <w:b w:val="0"/>
          <w:bCs w:val="0"/>
          <w:color w:val="auto"/>
          <w:highlight w:val="none"/>
        </w:rPr>
        <w:t>，确保评价行为</w:t>
      </w:r>
      <w:r>
        <w:rPr>
          <w:rFonts w:hint="eastAsia" w:ascii="仿宋_GB2312" w:hAnsi="仿宋_GB2312" w:cs="仿宋_GB2312"/>
          <w:b w:val="0"/>
          <w:bCs w:val="0"/>
          <w:color w:val="auto"/>
          <w:highlight w:val="none"/>
          <w:lang w:val="en-US" w:eastAsia="zh-CN"/>
        </w:rPr>
        <w:t>持续性</w:t>
      </w:r>
      <w:r>
        <w:rPr>
          <w:rFonts w:hint="eastAsia" w:ascii="仿宋_GB2312" w:hAnsi="仿宋_GB2312" w:cs="仿宋_GB2312"/>
          <w:b w:val="0"/>
          <w:bCs w:val="0"/>
          <w:color w:val="auto"/>
          <w:highlight w:val="none"/>
        </w:rPr>
        <w:t>，有利于不同阶段的项目评价信息相互支撑和验证。保证评价结论的科学性和权威性。</w:t>
      </w:r>
    </w:p>
    <w:p>
      <w:pPr>
        <w:pStyle w:val="32"/>
        <w:spacing w:line="520" w:lineRule="exact"/>
        <w:ind w:firstLine="562"/>
        <w:rPr>
          <w:rFonts w:hint="eastAsia" w:ascii="仿宋_GB2312" w:hAnsi="仿宋_GB2312" w:cs="仿宋_GB2312"/>
          <w:b w:val="0"/>
          <w:bCs w:val="0"/>
          <w:color w:val="auto"/>
          <w:highlight w:val="none"/>
        </w:rPr>
      </w:pPr>
      <w:r>
        <w:rPr>
          <w:rFonts w:hint="eastAsia" w:ascii="仿宋_GB2312" w:hAnsi="仿宋_GB2312" w:cs="仿宋_GB2312"/>
          <w:b w:val="0"/>
          <w:bCs w:val="0"/>
          <w:color w:val="auto"/>
          <w:highlight w:val="none"/>
        </w:rPr>
        <w:t>项目绩效评价过程中，</w:t>
      </w:r>
      <w:r>
        <w:rPr>
          <w:rFonts w:hint="eastAsia" w:ascii="仿宋_GB2312" w:hAnsi="仿宋_GB2312" w:cs="仿宋_GB2312"/>
          <w:b w:val="0"/>
          <w:bCs w:val="0"/>
          <w:color w:val="auto"/>
          <w:highlight w:val="none"/>
          <w:lang w:val="en-US" w:eastAsia="zh-CN"/>
        </w:rPr>
        <w:t>应</w:t>
      </w:r>
      <w:r>
        <w:rPr>
          <w:rFonts w:hint="eastAsia" w:ascii="仿宋_GB2312" w:hAnsi="仿宋_GB2312" w:cs="仿宋_GB2312"/>
          <w:b w:val="0"/>
          <w:bCs w:val="0"/>
          <w:color w:val="auto"/>
          <w:highlight w:val="none"/>
        </w:rPr>
        <w:t>全面考虑项目的各个方面，包括项目的目标设定、实施过程、资源利用、风险控制、产出效果等。此外，完整性要求评价</w:t>
      </w:r>
      <w:r>
        <w:rPr>
          <w:rFonts w:hint="eastAsia" w:ascii="仿宋_GB2312" w:hAnsi="仿宋_GB2312" w:cs="仿宋_GB2312"/>
          <w:b w:val="0"/>
          <w:bCs w:val="0"/>
          <w:color w:val="auto"/>
          <w:highlight w:val="none"/>
          <w:lang w:val="en-US" w:eastAsia="zh-CN"/>
        </w:rPr>
        <w:t>充分</w:t>
      </w:r>
      <w:r>
        <w:rPr>
          <w:rFonts w:hint="eastAsia" w:ascii="仿宋_GB2312" w:hAnsi="仿宋_GB2312" w:cs="仿宋_GB2312"/>
          <w:b w:val="0"/>
          <w:bCs w:val="0"/>
          <w:color w:val="auto"/>
          <w:highlight w:val="none"/>
        </w:rPr>
        <w:t>考虑</w:t>
      </w:r>
      <w:r>
        <w:rPr>
          <w:rFonts w:hint="eastAsia" w:ascii="仿宋_GB2312" w:hAnsi="仿宋_GB2312" w:cs="仿宋_GB2312"/>
          <w:b w:val="0"/>
          <w:bCs w:val="0"/>
          <w:color w:val="auto"/>
          <w:highlight w:val="none"/>
          <w:lang w:val="en-US" w:eastAsia="zh-CN"/>
        </w:rPr>
        <w:t>项目</w:t>
      </w:r>
      <w:r>
        <w:rPr>
          <w:rFonts w:hint="eastAsia" w:ascii="仿宋_GB2312" w:hAnsi="仿宋_GB2312" w:cs="仿宋_GB2312"/>
          <w:b w:val="0"/>
          <w:bCs w:val="0"/>
          <w:color w:val="auto"/>
          <w:highlight w:val="none"/>
        </w:rPr>
        <w:t>效益的</w:t>
      </w:r>
      <w:r>
        <w:rPr>
          <w:rFonts w:hint="eastAsia" w:ascii="仿宋_GB2312" w:hAnsi="仿宋_GB2312" w:cs="仿宋_GB2312"/>
          <w:b w:val="0"/>
          <w:bCs w:val="0"/>
          <w:color w:val="auto"/>
          <w:highlight w:val="none"/>
          <w:lang w:val="en-US" w:eastAsia="zh-CN"/>
        </w:rPr>
        <w:t>发挥</w:t>
      </w:r>
      <w:r>
        <w:rPr>
          <w:rFonts w:hint="eastAsia" w:ascii="仿宋_GB2312" w:hAnsi="仿宋_GB2312" w:cs="仿宋_GB2312"/>
          <w:b w:val="0"/>
          <w:bCs w:val="0"/>
          <w:color w:val="auto"/>
          <w:highlight w:val="none"/>
        </w:rPr>
        <w:t>贡献。</w:t>
      </w:r>
    </w:p>
    <w:p>
      <w:pPr>
        <w:pStyle w:val="32"/>
        <w:spacing w:line="520" w:lineRule="exact"/>
        <w:ind w:firstLine="562"/>
        <w:rPr>
          <w:rFonts w:hint="eastAsia" w:ascii="仿宋_GB2312" w:hAnsi="仿宋_GB2312" w:cs="仿宋_GB2312"/>
          <w:b w:val="0"/>
          <w:bCs w:val="0"/>
          <w:color w:val="auto"/>
          <w:highlight w:val="none"/>
        </w:rPr>
      </w:pPr>
      <w:r>
        <w:rPr>
          <w:rFonts w:hint="eastAsia" w:ascii="仿宋_GB2312" w:hAnsi="仿宋_GB2312" w:cs="仿宋_GB2312"/>
          <w:b w:val="0"/>
          <w:bCs w:val="0"/>
          <w:color w:val="auto"/>
          <w:highlight w:val="none"/>
        </w:rPr>
        <w:t>为了实现项目绩效评价的完整性，建立一套科学、合理、系统的评价指标体系。</w:t>
      </w:r>
      <w:r>
        <w:rPr>
          <w:rFonts w:hint="eastAsia" w:ascii="仿宋_GB2312" w:hAnsi="仿宋_GB2312" w:cs="仿宋_GB2312"/>
          <w:b w:val="0"/>
          <w:bCs w:val="0"/>
          <w:color w:val="auto"/>
          <w:highlight w:val="none"/>
          <w:lang w:val="en-US" w:eastAsia="zh-CN"/>
        </w:rPr>
        <w:t>评价体系</w:t>
      </w:r>
      <w:r>
        <w:rPr>
          <w:rFonts w:hint="eastAsia" w:ascii="仿宋_GB2312" w:hAnsi="仿宋_GB2312" w:cs="仿宋_GB2312"/>
          <w:b w:val="0"/>
          <w:bCs w:val="0"/>
          <w:color w:val="auto"/>
          <w:highlight w:val="none"/>
        </w:rPr>
        <w:t>能够全面反映项目的特点和要求</w:t>
      </w:r>
      <w:r>
        <w:rPr>
          <w:rFonts w:hint="eastAsia" w:ascii="仿宋_GB2312" w:hAnsi="仿宋_GB2312" w:cs="仿宋_GB2312"/>
          <w:b w:val="0"/>
          <w:bCs w:val="0"/>
          <w:color w:val="auto"/>
          <w:highlight w:val="none"/>
          <w:lang w:eastAsia="zh-CN"/>
        </w:rPr>
        <w:t>，</w:t>
      </w:r>
      <w:r>
        <w:rPr>
          <w:rFonts w:hint="eastAsia" w:ascii="仿宋_GB2312" w:hAnsi="仿宋_GB2312" w:cs="仿宋_GB2312"/>
          <w:b w:val="0"/>
          <w:bCs w:val="0"/>
          <w:color w:val="auto"/>
          <w:highlight w:val="none"/>
        </w:rPr>
        <w:t>确保评价的准确性和有效性。</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lang w:val="en-US" w:eastAsia="zh-CN"/>
        </w:rPr>
        <w:t>2</w:t>
      </w:r>
      <w:r>
        <w:rPr>
          <w:rFonts w:hint="eastAsia" w:ascii="仿宋_GB2312" w:hAnsi="仿宋_GB2312" w:cs="仿宋_GB2312"/>
          <w:b/>
          <w:bCs/>
          <w:color w:val="auto"/>
          <w:highlight w:val="none"/>
        </w:rPr>
        <w:t>.绩效评价目的</w:t>
      </w:r>
    </w:p>
    <w:p>
      <w:pPr>
        <w:pStyle w:val="46"/>
        <w:widowControl w:val="0"/>
        <w:spacing w:line="520" w:lineRule="exact"/>
        <w:ind w:left="0" w:leftChars="0" w:firstLine="560" w:firstLineChars="200"/>
        <w:rPr>
          <w:rFonts w:ascii="仿宋_GB2312" w:hAnsi="仿宋_GB2312" w:cs="仿宋_GB2312"/>
          <w:b w:val="0"/>
          <w:snapToGrid/>
        </w:rPr>
      </w:pPr>
      <w:r>
        <w:rPr>
          <w:rFonts w:hint="eastAsia" w:ascii="仿宋_GB2312" w:hAnsi="仿宋_GB2312" w:cs="仿宋_GB2312"/>
          <w:b w:val="0"/>
          <w:snapToGrid/>
        </w:rPr>
        <w:t>本次绩效评价遵循财政部《项目支出绩效评价管理办法》（财预〔2020〕10号）和自治区财政厅《自治区财</w:t>
      </w:r>
      <w:r>
        <w:rPr>
          <w:rFonts w:hint="eastAsia" w:ascii="仿宋_GB2312" w:hAnsi="仿宋_GB2312" w:cs="仿宋_GB2312"/>
          <w:b w:val="0"/>
          <w:snapToGrid/>
          <w:highlight w:val="none"/>
        </w:rPr>
        <w:t>政支出绩效评价管理暂行办法》（新财预〔2018〕189号）等相关政策文件的规定，对</w:t>
      </w:r>
      <w:r>
        <w:rPr>
          <w:rFonts w:hint="eastAsia" w:ascii="仿宋_GB2312" w:hAnsi="仿宋_GB2312" w:cs="仿宋_GB2312"/>
          <w:b w:val="0"/>
          <w:snapToGrid/>
          <w:highlight w:val="none"/>
          <w:lang w:eastAsia="zh-CN"/>
        </w:rPr>
        <w:t>“</w:t>
      </w:r>
      <w:r>
        <w:rPr>
          <w:rFonts w:hint="eastAsia" w:ascii="仿宋_GB2312" w:hAnsi="仿宋_GB2312" w:cs="仿宋_GB2312"/>
          <w:b w:val="0"/>
          <w:snapToGrid/>
          <w:highlight w:val="none"/>
          <w:lang w:val="en-US" w:eastAsia="zh-CN"/>
        </w:rPr>
        <w:t>喀什地区30口地下水监测井站岳普湖县8口井项目</w:t>
      </w:r>
      <w:r>
        <w:rPr>
          <w:rFonts w:hint="eastAsia" w:ascii="仿宋_GB2312" w:hAnsi="仿宋_GB2312" w:cs="仿宋_GB2312"/>
          <w:b w:val="0"/>
          <w:snapToGrid/>
          <w:highlight w:val="none"/>
          <w:lang w:eastAsia="zh-CN"/>
        </w:rPr>
        <w:t>”</w:t>
      </w:r>
      <w:r>
        <w:rPr>
          <w:rFonts w:hint="eastAsia" w:ascii="仿宋_GB2312" w:hAnsi="仿宋_GB2312" w:cs="仿宋_GB2312"/>
          <w:b w:val="0"/>
          <w:snapToGrid/>
          <w:highlight w:val="none"/>
        </w:rPr>
        <w:t>开展本次部门项目支出绩效评价工作旨在评价财政项目实施前期、过程及效果，评价财政预算资金使用</w:t>
      </w:r>
      <w:r>
        <w:rPr>
          <w:rFonts w:hint="eastAsia" w:ascii="仿宋_GB2312" w:hAnsi="仿宋_GB2312" w:cs="仿宋_GB2312"/>
          <w:b w:val="0"/>
          <w:snapToGrid/>
        </w:rPr>
        <w:t>的效率及效益。</w:t>
      </w:r>
    </w:p>
    <w:p>
      <w:pPr>
        <w:pStyle w:val="46"/>
        <w:widowControl w:val="0"/>
        <w:spacing w:line="520" w:lineRule="exact"/>
        <w:ind w:left="0" w:leftChars="0" w:firstLine="560" w:firstLineChars="200"/>
        <w:rPr>
          <w:rFonts w:hint="eastAsia" w:ascii="仿宋_GB2312" w:hAnsi="仿宋_GB2312" w:cs="仿宋_GB2312"/>
          <w:b w:val="0"/>
          <w:snapToGrid/>
          <w:lang w:val="en-US" w:eastAsia="zh-CN"/>
        </w:rPr>
      </w:pPr>
      <w:r>
        <w:rPr>
          <w:rFonts w:hint="eastAsia" w:ascii="仿宋_GB2312" w:hAnsi="仿宋_GB2312" w:cs="仿宋_GB2312"/>
          <w:b w:val="0"/>
          <w:snapToGrid/>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w:t>
      </w:r>
      <w:r>
        <w:rPr>
          <w:rFonts w:hint="eastAsia" w:ascii="仿宋_GB2312" w:hAnsi="仿宋_GB2312" w:cs="仿宋_GB2312"/>
          <w:b w:val="0"/>
          <w:snapToGrid/>
          <w:lang w:val="en-US" w:eastAsia="zh-CN"/>
        </w:rPr>
        <w:t>具体绩效评价的目的如下：</w:t>
      </w:r>
    </w:p>
    <w:p>
      <w:pPr>
        <w:pStyle w:val="32"/>
        <w:rPr>
          <w:rFonts w:hint="eastAsia" w:ascii="仿宋_GB2312" w:hAnsi="仿宋_GB2312" w:cs="仿宋_GB2312"/>
          <w:b w:val="0"/>
          <w:snapToGrid/>
          <w:lang w:val="en-US" w:eastAsia="zh-CN"/>
        </w:rPr>
      </w:pPr>
      <w:r>
        <w:rPr>
          <w:rFonts w:hint="eastAsia" w:ascii="仿宋_GB2312" w:hAnsi="仿宋_GB2312" w:cs="仿宋_GB2312"/>
          <w:b w:val="0"/>
          <w:snapToGrid/>
          <w:lang w:val="en-US" w:eastAsia="zh-CN"/>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p>
    <w:p>
      <w:pPr>
        <w:pStyle w:val="32"/>
        <w:rPr>
          <w:rFonts w:hint="eastAsia" w:ascii="仿宋_GB2312" w:hAnsi="仿宋_GB2312" w:cs="仿宋_GB2312"/>
          <w:b w:val="0"/>
          <w:snapToGrid/>
          <w:highlight w:val="none"/>
          <w:lang w:val="en-US" w:eastAsia="zh-CN"/>
        </w:rPr>
      </w:pPr>
      <w:r>
        <w:rPr>
          <w:rFonts w:hint="eastAsia" w:ascii="仿宋_GB2312" w:hAnsi="仿宋_GB2312" w:cs="仿宋_GB2312"/>
          <w:b w:val="0"/>
          <w:snapToGrid/>
          <w:highlight w:val="none"/>
          <w:lang w:val="en-US" w:eastAsia="zh-CN"/>
        </w:rPr>
        <w:t>二是通过部门项目支出绩效评价，进一步做实绩效目标，根据项目绩效目标设立情况，细化形成多维度绩效指标，保证项目绩效指标设置科学、规范、合理、可衡量。</w:t>
      </w:r>
    </w:p>
    <w:p>
      <w:pPr>
        <w:pStyle w:val="32"/>
        <w:rPr>
          <w:rFonts w:hint="eastAsia" w:ascii="仿宋_GB2312" w:hAnsi="仿宋_GB2312" w:cs="仿宋_GB2312"/>
          <w:b w:val="0"/>
          <w:snapToGrid/>
          <w:lang w:val="en-US" w:eastAsia="zh-CN"/>
        </w:rPr>
      </w:pPr>
      <w:r>
        <w:rPr>
          <w:rFonts w:hint="eastAsia" w:ascii="仿宋_GB2312" w:hAnsi="仿宋_GB2312" w:cs="仿宋_GB2312"/>
          <w:b w:val="0"/>
          <w:snapToGrid/>
          <w:lang w:val="en-US" w:eastAsia="zh-CN"/>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Style w:val="32"/>
        <w:rPr>
          <w:rFonts w:hint="eastAsia" w:ascii="仿宋_GB2312" w:hAnsi="仿宋_GB2312" w:cs="仿宋_GB2312"/>
          <w:b w:val="0"/>
          <w:snapToGrid/>
          <w:lang w:val="en-US" w:eastAsia="zh-CN"/>
        </w:rPr>
      </w:pPr>
      <w:r>
        <w:rPr>
          <w:rFonts w:hint="eastAsia" w:ascii="仿宋_GB2312" w:hAnsi="仿宋_GB2312" w:cs="仿宋_GB2312"/>
          <w:b w:val="0"/>
          <w:snapToGrid/>
          <w:lang w:val="en-US" w:eastAsia="zh-CN"/>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p>
    <w:p>
      <w:pPr>
        <w:pStyle w:val="46"/>
        <w:widowControl w:val="0"/>
        <w:spacing w:line="520" w:lineRule="exact"/>
        <w:ind w:left="560"/>
        <w:rPr>
          <w:rFonts w:ascii="仿宋_GB2312" w:hAnsi="仿宋_GB2312" w:cs="仿宋_GB2312"/>
        </w:rPr>
      </w:pPr>
      <w:r>
        <w:rPr>
          <w:rFonts w:hint="eastAsia" w:ascii="仿宋_GB2312" w:hAnsi="仿宋_GB2312" w:cs="仿宋_GB2312"/>
          <w:lang w:val="en-US" w:eastAsia="zh-CN"/>
        </w:rPr>
        <w:t>3</w:t>
      </w:r>
      <w:r>
        <w:rPr>
          <w:rFonts w:hint="eastAsia" w:ascii="仿宋_GB2312" w:hAnsi="仿宋_GB2312" w:cs="仿宋_GB2312"/>
        </w:rPr>
        <w:t>.绩效评价对象</w:t>
      </w:r>
    </w:p>
    <w:p>
      <w:pPr>
        <w:pStyle w:val="32"/>
        <w:spacing w:line="520" w:lineRule="exact"/>
        <w:ind w:firstLine="560"/>
        <w:rPr>
          <w:rFonts w:ascii="仿宋_GB2312" w:hAnsi="仿宋_GB2312" w:cs="仿宋_GB2312"/>
        </w:rPr>
      </w:pPr>
      <w:r>
        <w:rPr>
          <w:rFonts w:hint="eastAsia" w:ascii="仿宋_GB2312" w:hAnsi="仿宋_GB2312" w:cs="仿宋_GB2312"/>
        </w:rPr>
        <w:t>本次绩效评价遵循财政部《项目支出绩效评价管理办法》（财预〔2020〕10号）和</w:t>
      </w:r>
      <w:r>
        <w:rPr>
          <w:rFonts w:hint="eastAsia" w:ascii="仿宋_GB2312" w:hAnsi="仿宋_GB2312" w:cs="仿宋_GB2312"/>
          <w:highlight w:val="none"/>
        </w:rPr>
        <w:t>自治区财政厅《自治区财政支出绩效评价管理暂行办法》（新财预〔2018〕189号）等相关政策文件的规定，以</w:t>
      </w:r>
      <w:r>
        <w:rPr>
          <w:rFonts w:hint="eastAsia" w:ascii="仿宋_GB2312" w:hAnsi="仿宋_GB2312" w:cs="仿宋_GB2312"/>
          <w:highlight w:val="none"/>
          <w:lang w:eastAsia="zh-CN"/>
        </w:rPr>
        <w:t>“喀什地区30口地下水监测井站岳普湖县8口井项目”</w:t>
      </w:r>
      <w:r>
        <w:rPr>
          <w:rFonts w:hint="eastAsia" w:ascii="仿宋_GB2312" w:hAnsi="仿宋_GB2312" w:cs="仿宋_GB2312"/>
          <w:highlight w:val="none"/>
        </w:rPr>
        <w:t>支出为对象所对应的预算资金，以</w:t>
      </w:r>
      <w:r>
        <w:rPr>
          <w:rFonts w:hint="eastAsia" w:ascii="仿宋_GB2312" w:hAnsi="仿宋_GB2312" w:cs="仿宋_GB2312"/>
          <w:highlight w:val="none"/>
          <w:lang w:val="en-US" w:eastAsia="zh-CN"/>
        </w:rPr>
        <w:t>本</w:t>
      </w:r>
      <w:r>
        <w:rPr>
          <w:rFonts w:hint="eastAsia" w:ascii="仿宋_GB2312" w:hAnsi="仿宋_GB2312" w:cs="仿宋_GB2312"/>
          <w:highlight w:val="none"/>
        </w:rPr>
        <w:t>项目实施所带来的产出和效果为主要内容，以促</w:t>
      </w:r>
      <w:r>
        <w:rPr>
          <w:rFonts w:hint="eastAsia" w:ascii="仿宋_GB2312" w:hAnsi="仿宋_GB2312" w:cs="仿宋_GB2312"/>
        </w:rPr>
        <w:t>进预算单位完成特定工作任务目标所组织开展的绩效评价。</w:t>
      </w:r>
    </w:p>
    <w:p>
      <w:pPr>
        <w:pStyle w:val="46"/>
        <w:widowControl w:val="0"/>
        <w:spacing w:line="520" w:lineRule="exact"/>
        <w:ind w:left="560"/>
        <w:rPr>
          <w:rFonts w:hint="eastAsia" w:ascii="仿宋_GB2312" w:hAnsi="仿宋_GB2312" w:cs="仿宋_GB2312"/>
          <w:lang w:val="en-US" w:eastAsia="zh-CN"/>
        </w:rPr>
      </w:pPr>
      <w:r>
        <w:rPr>
          <w:rFonts w:hint="eastAsia" w:ascii="仿宋_GB2312" w:hAnsi="仿宋_GB2312" w:cs="仿宋_GB2312"/>
          <w:lang w:val="en-US" w:eastAsia="zh-CN"/>
        </w:rPr>
        <w:t>4.绩效评价时间</w:t>
      </w:r>
    </w:p>
    <w:p>
      <w:pPr>
        <w:pStyle w:val="32"/>
        <w:spacing w:line="520" w:lineRule="exact"/>
        <w:ind w:firstLine="560"/>
        <w:rPr>
          <w:rFonts w:hint="default" w:ascii="仿宋_GB2312" w:hAnsi="仿宋_GB2312" w:cs="仿宋_GB2312"/>
          <w:lang w:val="en-US" w:eastAsia="zh-CN"/>
        </w:rPr>
      </w:pPr>
      <w:r>
        <w:rPr>
          <w:rFonts w:hint="eastAsia" w:ascii="仿宋_GB2312" w:hAnsi="仿宋_GB2312" w:cs="仿宋_GB2312"/>
          <w:lang w:val="en-US" w:eastAsia="zh-CN"/>
        </w:rPr>
        <w:t>本次绩效评价工作开展时间为2024年1月3日至2024年3月15日。</w:t>
      </w:r>
    </w:p>
    <w:p>
      <w:pPr>
        <w:pStyle w:val="46"/>
        <w:widowControl w:val="0"/>
        <w:spacing w:line="520" w:lineRule="exact"/>
        <w:ind w:left="560"/>
        <w:rPr>
          <w:rFonts w:ascii="仿宋_GB2312" w:hAnsi="仿宋_GB2312" w:cs="仿宋_GB2312"/>
        </w:rPr>
      </w:pPr>
      <w:r>
        <w:rPr>
          <w:rFonts w:hint="eastAsia" w:ascii="仿宋_GB2312" w:hAnsi="仿宋_GB2312" w:cs="仿宋_GB2312"/>
          <w:lang w:val="en-US" w:eastAsia="zh-CN"/>
        </w:rPr>
        <w:t>5</w:t>
      </w:r>
      <w:r>
        <w:rPr>
          <w:rFonts w:hint="eastAsia" w:ascii="仿宋_GB2312" w:hAnsi="仿宋_GB2312" w:cs="仿宋_GB2312"/>
        </w:rPr>
        <w:t>.绩效评价范围</w:t>
      </w:r>
    </w:p>
    <w:p>
      <w:pPr>
        <w:pStyle w:val="32"/>
        <w:spacing w:line="520" w:lineRule="exact"/>
        <w:ind w:firstLine="560"/>
        <w:rPr>
          <w:rFonts w:ascii="仿宋_GB2312" w:hAnsi="仿宋_GB2312" w:cs="仿宋_GB2312"/>
        </w:rPr>
      </w:pPr>
      <w:r>
        <w:rPr>
          <w:rFonts w:hint="eastAsia" w:ascii="仿宋_GB2312" w:hAnsi="仿宋_GB2312" w:cs="仿宋_GB2312"/>
        </w:rPr>
        <w:t>本次评价范围涵盖项目总体绩效目标、各项绩效指标完成情况以及预算执行情况。对项目预算资金支出的所有内容进行评价。包括项目决策、项目实施和项目成果验收流程等。</w:t>
      </w:r>
    </w:p>
    <w:p>
      <w:pPr>
        <w:pStyle w:val="52"/>
        <w:keepNext w:val="0"/>
        <w:keepLines w:val="0"/>
        <w:spacing w:line="520" w:lineRule="exact"/>
        <w:ind w:left="560"/>
        <w:jc w:val="both"/>
        <w:rPr>
          <w:rFonts w:ascii="仿宋_GB2312" w:hAnsi="仿宋_GB2312" w:cs="仿宋_GB2312"/>
        </w:rPr>
      </w:pPr>
      <w:bookmarkStart w:id="49" w:name="_Toc2200"/>
      <w:bookmarkStart w:id="50" w:name="_Toc5010"/>
      <w:bookmarkStart w:id="51" w:name="_Toc5510"/>
      <w:bookmarkStart w:id="52" w:name="_Toc7586"/>
      <w:bookmarkStart w:id="53" w:name="_Toc127054588"/>
      <w:bookmarkStart w:id="54" w:name="_Toc18827"/>
      <w:bookmarkStart w:id="55" w:name="_Toc10930_WPSOffice_Level2"/>
      <w:bookmarkStart w:id="56" w:name="_Toc2006_WPSOffice_Level2"/>
      <w:bookmarkStart w:id="57" w:name="_Toc10463_WPSOffice_Level2"/>
      <w:bookmarkStart w:id="58" w:name="_Toc6151"/>
      <w:r>
        <w:rPr>
          <w:rFonts w:hint="eastAsia" w:ascii="仿宋_GB2312" w:hAnsi="仿宋_GB2312" w:cs="仿宋_GB2312"/>
        </w:rPr>
        <w:t>（二）绩效评价原则、评价指标体系、评价方法</w:t>
      </w:r>
      <w:r>
        <w:rPr>
          <w:rFonts w:hint="eastAsia" w:ascii="仿宋_GB2312" w:hAnsi="仿宋_GB2312" w:cs="仿宋_GB2312"/>
          <w:lang w:val="en-US" w:eastAsia="zh-CN"/>
        </w:rPr>
        <w:t>和</w:t>
      </w:r>
      <w:r>
        <w:rPr>
          <w:rFonts w:hint="eastAsia" w:ascii="仿宋_GB2312" w:hAnsi="仿宋_GB2312" w:cs="仿宋_GB2312"/>
        </w:rPr>
        <w:t>评价标准</w:t>
      </w:r>
      <w:bookmarkEnd w:id="49"/>
      <w:bookmarkEnd w:id="50"/>
      <w:bookmarkEnd w:id="51"/>
      <w:bookmarkEnd w:id="52"/>
      <w:bookmarkEnd w:id="53"/>
      <w:bookmarkEnd w:id="54"/>
      <w:bookmarkEnd w:id="55"/>
      <w:bookmarkEnd w:id="56"/>
      <w:bookmarkEnd w:id="57"/>
      <w:bookmarkEnd w:id="58"/>
    </w:p>
    <w:p>
      <w:pPr>
        <w:pStyle w:val="46"/>
        <w:widowControl w:val="0"/>
        <w:spacing w:line="520" w:lineRule="exact"/>
        <w:ind w:left="560"/>
        <w:rPr>
          <w:rFonts w:ascii="仿宋_GB2312" w:hAnsi="仿宋_GB2312" w:cs="仿宋_GB2312"/>
        </w:rPr>
      </w:pPr>
      <w:r>
        <w:rPr>
          <w:rFonts w:hint="eastAsia" w:ascii="仿宋_GB2312" w:hAnsi="仿宋_GB2312" w:cs="仿宋_GB2312"/>
        </w:rPr>
        <w:t>1.绩效评价原则</w:t>
      </w:r>
    </w:p>
    <w:p>
      <w:pPr>
        <w:pStyle w:val="32"/>
        <w:spacing w:line="520" w:lineRule="exact"/>
        <w:ind w:firstLine="560"/>
        <w:rPr>
          <w:rFonts w:ascii="仿宋_GB2312" w:hAnsi="仿宋_GB2312" w:cs="仿宋_GB2312"/>
        </w:rPr>
      </w:pPr>
      <w:r>
        <w:rPr>
          <w:rFonts w:hint="eastAsia" w:ascii="仿宋_GB2312" w:hAnsi="仿宋_GB2312" w:cs="仿宋_GB2312"/>
        </w:rPr>
        <w:t>本次绩效评价遵循的原则包括：</w:t>
      </w:r>
    </w:p>
    <w:p>
      <w:pPr>
        <w:pStyle w:val="32"/>
        <w:spacing w:line="520" w:lineRule="exact"/>
        <w:ind w:firstLine="560"/>
        <w:rPr>
          <w:rFonts w:ascii="仿宋_GB2312" w:hAnsi="仿宋_GB2312" w:cs="仿宋_GB2312"/>
        </w:rPr>
      </w:pPr>
      <w:r>
        <w:rPr>
          <w:rFonts w:hint="eastAsia" w:ascii="仿宋_GB2312" w:hAnsi="仿宋_GB2312" w:cs="仿宋_GB2312"/>
        </w:rPr>
        <w:t>（1）科学公正。绩效评价应当运用科学合理的方法，按照规范的程序，对项目绩效进行客观、公正的反映。</w:t>
      </w:r>
    </w:p>
    <w:p>
      <w:pPr>
        <w:pStyle w:val="32"/>
        <w:spacing w:line="520" w:lineRule="exact"/>
        <w:ind w:firstLine="560"/>
        <w:rPr>
          <w:rFonts w:ascii="仿宋_GB2312" w:hAnsi="仿宋_GB2312" w:cs="仿宋_GB2312"/>
        </w:rPr>
      </w:pPr>
      <w:r>
        <w:rPr>
          <w:rFonts w:hint="eastAsia" w:ascii="仿宋_GB2312" w:hAnsi="仿宋_GB2312" w:cs="仿宋_GB2312"/>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32"/>
        <w:spacing w:line="520" w:lineRule="exact"/>
        <w:ind w:firstLine="560"/>
        <w:rPr>
          <w:rFonts w:ascii="仿宋_GB2312" w:hAnsi="仿宋_GB2312" w:cs="仿宋_GB2312"/>
        </w:rPr>
      </w:pPr>
      <w:r>
        <w:rPr>
          <w:rFonts w:hint="eastAsia" w:ascii="仿宋_GB2312" w:hAnsi="仿宋_GB2312" w:cs="仿宋_GB2312"/>
        </w:rPr>
        <w:t>（3）激励约束。绩效评价结果应与预算安排、政策调整、改进管理实质性挂钩，体现奖优罚劣和激励相容导向，有效要安排、低效要压减、无效要问责。</w:t>
      </w:r>
    </w:p>
    <w:p>
      <w:pPr>
        <w:pStyle w:val="32"/>
        <w:spacing w:line="520" w:lineRule="exact"/>
        <w:ind w:firstLine="560"/>
        <w:rPr>
          <w:rFonts w:ascii="仿宋_GB2312" w:hAnsi="仿宋_GB2312" w:cs="仿宋_GB2312"/>
        </w:rPr>
      </w:pPr>
      <w:r>
        <w:rPr>
          <w:rFonts w:hint="eastAsia" w:ascii="仿宋_GB2312" w:hAnsi="仿宋_GB2312" w:cs="仿宋_GB2312"/>
        </w:rPr>
        <w:t>（4）公开透明。绩效评价结果应依法依规公开，并自觉接受社会监督。</w:t>
      </w:r>
    </w:p>
    <w:p>
      <w:pPr>
        <w:pStyle w:val="46"/>
        <w:widowControl w:val="0"/>
        <w:spacing w:line="520" w:lineRule="exact"/>
        <w:ind w:left="560"/>
        <w:rPr>
          <w:rFonts w:ascii="仿宋_GB2312" w:hAnsi="仿宋_GB2312" w:cs="仿宋_GB2312"/>
        </w:rPr>
      </w:pPr>
      <w:r>
        <w:rPr>
          <w:rFonts w:hint="eastAsia" w:ascii="仿宋_GB2312" w:hAnsi="仿宋_GB2312" w:cs="仿宋_GB2312"/>
        </w:rPr>
        <w:t>2.绩效评价指标体系</w:t>
      </w:r>
    </w:p>
    <w:p>
      <w:pPr>
        <w:pStyle w:val="32"/>
        <w:spacing w:line="520" w:lineRule="exact"/>
        <w:ind w:firstLine="560"/>
        <w:rPr>
          <w:rFonts w:ascii="仿宋_GB2312" w:hAnsi="仿宋_GB2312" w:cs="仿宋_GB2312"/>
        </w:rPr>
      </w:pPr>
      <w:r>
        <w:rPr>
          <w:rFonts w:hint="eastAsia" w:ascii="仿宋_GB2312" w:hAnsi="仿宋_GB2312" w:cs="仿宋_GB2312"/>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p>
    <w:p>
      <w:pPr>
        <w:pStyle w:val="32"/>
        <w:spacing w:line="520" w:lineRule="exact"/>
        <w:ind w:firstLine="560"/>
        <w:rPr>
          <w:rFonts w:ascii="仿宋_GB2312" w:hAnsi="仿宋_GB2312" w:cs="仿宋_GB2312"/>
        </w:rPr>
      </w:pPr>
      <w:r>
        <w:rPr>
          <w:rFonts w:hint="eastAsia" w:ascii="仿宋_GB2312" w:hAnsi="仿宋_GB2312" w:cs="仿宋_GB2312"/>
        </w:rPr>
        <w:t>一级指标为：决策、过程、产出、效益。</w:t>
      </w:r>
    </w:p>
    <w:p>
      <w:pPr>
        <w:pStyle w:val="32"/>
        <w:spacing w:line="520" w:lineRule="exact"/>
        <w:ind w:firstLine="560"/>
        <w:rPr>
          <w:rFonts w:ascii="仿宋_GB2312" w:hAnsi="仿宋_GB2312" w:cs="仿宋_GB2312"/>
        </w:rPr>
      </w:pPr>
      <w:r>
        <w:rPr>
          <w:rFonts w:hint="eastAsia" w:ascii="仿宋_GB2312" w:hAnsi="仿宋_GB2312" w:cs="仿宋_GB2312"/>
        </w:rPr>
        <w:t>二级指标为：项目立项、绩效目标、资金投入、资金管理、组织实施、产出数量、产出质量、产出时效、产出成本、项目效益。</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三级指标为：立项依据充分性、立项程序规范性、绩效目标合理性、绩效指标明确性、预算编制科学性、资金分配合理性、资金到位率、预算执行率、资金使用合规性、管理制度健全性、制度执行有效性、项目实施管理规范性</w:t>
      </w:r>
      <w:r>
        <w:rPr>
          <w:rFonts w:hint="eastAsia" w:ascii="仿宋_GB2312" w:hAnsi="仿宋_GB2312" w:cs="仿宋_GB2312"/>
          <w:highlight w:val="none"/>
          <w:lang w:eastAsia="zh-CN"/>
        </w:rPr>
        <w:t>、</w:t>
      </w:r>
      <w:r>
        <w:rPr>
          <w:rFonts w:hint="eastAsia" w:ascii="仿宋_GB2312" w:hAnsi="仿宋_GB2312" w:cs="仿宋_GB2312"/>
          <w:highlight w:val="none"/>
        </w:rPr>
        <w:t>建设地下水监测井</w:t>
      </w:r>
      <w:r>
        <w:rPr>
          <w:rFonts w:hint="eastAsia" w:ascii="仿宋_GB2312" w:hAnsi="仿宋_GB2312" w:cs="仿宋_GB2312"/>
          <w:highlight w:val="none"/>
          <w:lang w:eastAsia="zh-CN"/>
        </w:rPr>
        <w:t>、</w:t>
      </w:r>
      <w:r>
        <w:rPr>
          <w:rFonts w:hint="eastAsia" w:ascii="仿宋_GB2312" w:hAnsi="仿宋_GB2312" w:cs="仿宋_GB2312"/>
          <w:highlight w:val="none"/>
        </w:rPr>
        <w:t>资金使用合规性</w:t>
      </w:r>
      <w:r>
        <w:rPr>
          <w:rFonts w:hint="eastAsia" w:ascii="仿宋_GB2312" w:hAnsi="仿宋_GB2312" w:cs="仿宋_GB2312"/>
          <w:highlight w:val="none"/>
          <w:lang w:eastAsia="zh-CN"/>
        </w:rPr>
        <w:t>、</w:t>
      </w:r>
      <w:r>
        <w:rPr>
          <w:rFonts w:hint="eastAsia" w:ascii="仿宋_GB2312" w:hAnsi="仿宋_GB2312" w:cs="仿宋_GB2312"/>
          <w:highlight w:val="none"/>
        </w:rPr>
        <w:t>工程验收合格率</w:t>
      </w:r>
      <w:r>
        <w:rPr>
          <w:rFonts w:hint="eastAsia" w:ascii="仿宋_GB2312" w:hAnsi="仿宋_GB2312" w:cs="仿宋_GB2312"/>
          <w:highlight w:val="none"/>
          <w:lang w:eastAsia="zh-CN"/>
        </w:rPr>
        <w:t>、</w:t>
      </w:r>
      <w:r>
        <w:rPr>
          <w:rFonts w:hint="eastAsia" w:ascii="仿宋_GB2312" w:hAnsi="仿宋_GB2312" w:cs="仿宋_GB2312"/>
          <w:highlight w:val="none"/>
        </w:rPr>
        <w:t>资金按期支付及时率</w:t>
      </w:r>
      <w:r>
        <w:rPr>
          <w:rFonts w:hint="eastAsia" w:ascii="仿宋_GB2312" w:hAnsi="仿宋_GB2312" w:cs="仿宋_GB2312"/>
          <w:highlight w:val="none"/>
          <w:lang w:eastAsia="zh-CN"/>
        </w:rPr>
        <w:t>、</w:t>
      </w:r>
      <w:r>
        <w:rPr>
          <w:rFonts w:hint="eastAsia" w:ascii="仿宋_GB2312" w:hAnsi="仿宋_GB2312" w:cs="仿宋_GB2312"/>
          <w:highlight w:val="none"/>
        </w:rPr>
        <w:t>项目验收完成时间</w:t>
      </w:r>
      <w:r>
        <w:rPr>
          <w:rFonts w:hint="eastAsia" w:ascii="仿宋_GB2312" w:hAnsi="仿宋_GB2312" w:cs="仿宋_GB2312"/>
          <w:highlight w:val="none"/>
          <w:lang w:eastAsia="zh-CN"/>
        </w:rPr>
        <w:t>、</w:t>
      </w:r>
      <w:r>
        <w:rPr>
          <w:rFonts w:hint="eastAsia" w:ascii="仿宋_GB2312" w:hAnsi="仿宋_GB2312" w:cs="仿宋_GB2312"/>
          <w:highlight w:val="none"/>
        </w:rPr>
        <w:t>监测井建设成本</w:t>
      </w:r>
      <w:r>
        <w:rPr>
          <w:rFonts w:hint="eastAsia" w:ascii="仿宋_GB2312" w:hAnsi="仿宋_GB2312" w:cs="仿宋_GB2312"/>
          <w:highlight w:val="none"/>
          <w:lang w:eastAsia="zh-CN"/>
        </w:rPr>
        <w:t>、</w:t>
      </w:r>
      <w:r>
        <w:rPr>
          <w:rFonts w:hint="eastAsia" w:ascii="仿宋_GB2312" w:hAnsi="仿宋_GB2312" w:cs="仿宋_GB2312"/>
          <w:highlight w:val="none"/>
        </w:rPr>
        <w:t>加强地下水监测效果掌握水质变化情况。</w:t>
      </w:r>
    </w:p>
    <w:p>
      <w:pPr>
        <w:pStyle w:val="46"/>
        <w:widowControl w:val="0"/>
        <w:spacing w:line="520" w:lineRule="exact"/>
        <w:ind w:left="560"/>
        <w:rPr>
          <w:rFonts w:ascii="仿宋_GB2312" w:hAnsi="仿宋_GB2312" w:cs="仿宋_GB2312"/>
        </w:rPr>
      </w:pPr>
      <w:r>
        <w:rPr>
          <w:rFonts w:hint="eastAsia" w:ascii="仿宋_GB2312" w:hAnsi="仿宋_GB2312" w:cs="仿宋_GB2312"/>
        </w:rPr>
        <w:t>3.绩效评价方法</w:t>
      </w:r>
    </w:p>
    <w:p>
      <w:pPr>
        <w:pStyle w:val="32"/>
        <w:spacing w:line="520" w:lineRule="exact"/>
        <w:ind w:firstLine="560"/>
        <w:rPr>
          <w:rFonts w:ascii="仿宋_GB2312" w:hAnsi="仿宋_GB2312" w:cs="仿宋_GB2312"/>
        </w:rPr>
      </w:pPr>
      <w:r>
        <w:rPr>
          <w:rFonts w:hint="eastAsia" w:ascii="仿宋_GB2312" w:hAnsi="仿宋_GB2312" w:cs="仿宋_GB2312"/>
        </w:rPr>
        <w:t>本次评价采用定量与定性评价相结合的比较法、</w:t>
      </w:r>
      <w:r>
        <w:rPr>
          <w:rFonts w:hint="eastAsia" w:ascii="仿宋_GB2312" w:hAnsi="仿宋_GB2312" w:cs="仿宋_GB2312"/>
          <w:lang w:val="en-US" w:eastAsia="zh-CN"/>
        </w:rPr>
        <w:t>文献法、</w:t>
      </w:r>
      <w:r>
        <w:rPr>
          <w:rFonts w:hint="eastAsia" w:ascii="仿宋_GB2312" w:hAnsi="仿宋_GB2312" w:cs="仿宋_GB2312"/>
        </w:rPr>
        <w:t>公众评判法</w:t>
      </w:r>
      <w:r>
        <w:rPr>
          <w:rFonts w:hint="eastAsia" w:ascii="仿宋_GB2312" w:hAnsi="仿宋_GB2312" w:cs="仿宋_GB2312"/>
          <w:lang w:val="en-US" w:eastAsia="zh-CN"/>
        </w:rPr>
        <w:t>等方法</w:t>
      </w:r>
      <w:r>
        <w:rPr>
          <w:rFonts w:hint="eastAsia" w:ascii="仿宋_GB2312" w:hAnsi="仿宋_GB2312" w:cs="仿宋_GB2312"/>
        </w:rPr>
        <w:t>，总分由各项指标得分汇总形成。</w:t>
      </w:r>
    </w:p>
    <w:p>
      <w:pPr>
        <w:pStyle w:val="32"/>
        <w:spacing w:line="520" w:lineRule="exact"/>
        <w:ind w:firstLine="560"/>
        <w:rPr>
          <w:rFonts w:hint="eastAsia" w:ascii="仿宋_GB2312" w:hAnsi="仿宋_GB2312" w:cs="仿宋_GB2312"/>
        </w:rPr>
      </w:pPr>
      <w:r>
        <w:rPr>
          <w:rFonts w:hint="eastAsia" w:ascii="仿宋_GB2312" w:hAnsi="仿宋_GB2312" w:cs="仿宋_GB2312"/>
          <w:lang w:eastAsia="zh-CN"/>
        </w:rPr>
        <w:t>（</w:t>
      </w:r>
      <w:r>
        <w:rPr>
          <w:rFonts w:hint="eastAsia" w:ascii="仿宋_GB2312" w:hAnsi="仿宋_GB2312" w:cs="仿宋_GB2312"/>
          <w:lang w:val="en-US" w:eastAsia="zh-CN"/>
        </w:rPr>
        <w:t>1）</w:t>
      </w:r>
      <w:r>
        <w:rPr>
          <w:rFonts w:hint="eastAsia" w:ascii="仿宋_GB2312" w:hAnsi="仿宋_GB2312" w:cs="仿宋_GB2312"/>
        </w:rPr>
        <w:t>项目决策</w:t>
      </w:r>
      <w:r>
        <w:rPr>
          <w:rFonts w:hint="eastAsia" w:ascii="仿宋_GB2312" w:hAnsi="仿宋_GB2312" w:cs="仿宋_GB2312"/>
          <w:lang w:val="en-US" w:eastAsia="zh-CN"/>
        </w:rPr>
        <w:t>方面</w:t>
      </w:r>
      <w:r>
        <w:rPr>
          <w:rFonts w:hint="eastAsia" w:ascii="仿宋_GB2312" w:hAnsi="仿宋_GB2312" w:cs="仿宋_GB2312"/>
        </w:rPr>
        <w:t>：</w:t>
      </w:r>
    </w:p>
    <w:p>
      <w:pPr>
        <w:pStyle w:val="32"/>
        <w:spacing w:line="520" w:lineRule="exact"/>
        <w:ind w:firstLine="560"/>
        <w:rPr>
          <w:rFonts w:hint="eastAsia" w:ascii="仿宋_GB2312" w:hAnsi="仿宋_GB2312" w:cs="仿宋_GB2312"/>
        </w:rPr>
      </w:pPr>
      <w:r>
        <w:rPr>
          <w:rFonts w:hint="eastAsia" w:ascii="仿宋_GB2312" w:hAnsi="仿宋_GB2312" w:cs="仿宋_GB2312"/>
        </w:rPr>
        <w:t>立项依据充分性：比较法、文献法，查找法律法规政策以及规划，对比实际执行内容和政策支持内容是否匹配。</w:t>
      </w:r>
    </w:p>
    <w:p>
      <w:pPr>
        <w:pStyle w:val="32"/>
        <w:spacing w:line="520" w:lineRule="exact"/>
        <w:ind w:firstLine="560"/>
        <w:rPr>
          <w:rFonts w:hint="eastAsia" w:ascii="仿宋_GB2312" w:hAnsi="仿宋_GB2312" w:cs="仿宋_GB2312"/>
        </w:rPr>
      </w:pPr>
      <w:r>
        <w:rPr>
          <w:rFonts w:hint="eastAsia" w:ascii="仿宋_GB2312" w:hAnsi="仿宋_GB2312" w:cs="仿宋_GB2312"/>
        </w:rPr>
        <w:t>立项程序规范性：比较法、文献法，查找相关项目设立的政策和文件要求，对比分析实际执行程序是否按照政策及文件要求执行，分析立项程序的规范性。</w:t>
      </w:r>
    </w:p>
    <w:p>
      <w:pPr>
        <w:pStyle w:val="32"/>
        <w:spacing w:line="520" w:lineRule="exact"/>
        <w:ind w:firstLine="560"/>
        <w:rPr>
          <w:rFonts w:hint="eastAsia" w:ascii="仿宋_GB2312" w:hAnsi="仿宋_GB2312" w:cs="仿宋_GB2312"/>
        </w:rPr>
      </w:pPr>
      <w:r>
        <w:rPr>
          <w:rFonts w:hint="eastAsia" w:ascii="仿宋_GB2312" w:hAnsi="仿宋_GB2312" w:cs="仿宋_GB2312"/>
        </w:rPr>
        <w:t>绩效目标合理性：比较法，对比分析年初编制项目支出绩效目标表与项目内容的相关性、资金的匹配性等。</w:t>
      </w:r>
    </w:p>
    <w:p>
      <w:pPr>
        <w:pStyle w:val="32"/>
        <w:spacing w:line="520" w:lineRule="exact"/>
        <w:ind w:firstLine="560"/>
        <w:rPr>
          <w:rFonts w:hint="eastAsia" w:ascii="仿宋_GB2312" w:hAnsi="仿宋_GB2312" w:cs="仿宋_GB2312"/>
        </w:rPr>
      </w:pPr>
      <w:r>
        <w:rPr>
          <w:rFonts w:hint="eastAsia" w:ascii="仿宋_GB2312" w:hAnsi="仿宋_GB2312" w:cs="仿宋_GB2312"/>
        </w:rPr>
        <w:t>绩效指标明确性：比较法，比较分析年初编制项目支出绩效目标表是否符合双七原则，是否可衡量。</w:t>
      </w:r>
    </w:p>
    <w:p>
      <w:pPr>
        <w:pStyle w:val="32"/>
        <w:spacing w:line="520" w:lineRule="exact"/>
        <w:ind w:firstLine="560"/>
        <w:rPr>
          <w:rFonts w:hint="eastAsia" w:ascii="仿宋_GB2312" w:hAnsi="仿宋_GB2312" w:cs="仿宋_GB2312"/>
        </w:rPr>
      </w:pPr>
      <w:r>
        <w:rPr>
          <w:rFonts w:hint="eastAsia" w:ascii="仿宋_GB2312" w:hAnsi="仿宋_GB2312" w:cs="仿宋_GB2312"/>
        </w:rPr>
        <w:t>预算编制科学性：成本效益分析法</w:t>
      </w:r>
      <w:r>
        <w:rPr>
          <w:rFonts w:hint="eastAsia" w:ascii="仿宋_GB2312" w:hAnsi="仿宋_GB2312" w:cs="仿宋_GB2312"/>
          <w:lang w:eastAsia="zh-CN"/>
        </w:rPr>
        <w:t>，</w:t>
      </w:r>
      <w:r>
        <w:rPr>
          <w:rFonts w:hint="eastAsia" w:ascii="仿宋_GB2312" w:hAnsi="仿宋_GB2312" w:cs="仿宋_GB2312"/>
        </w:rPr>
        <w:t>分析在产出一定的情况下，成本取值是否有依据，是否经过询价，是否按照市场最低成本编制。</w:t>
      </w:r>
    </w:p>
    <w:p>
      <w:pPr>
        <w:pStyle w:val="32"/>
        <w:spacing w:line="520" w:lineRule="exact"/>
        <w:ind w:firstLine="560"/>
        <w:rPr>
          <w:rFonts w:hint="eastAsia" w:ascii="仿宋_GB2312" w:hAnsi="仿宋_GB2312" w:cs="仿宋_GB2312"/>
        </w:rPr>
      </w:pPr>
      <w:r>
        <w:rPr>
          <w:rFonts w:hint="eastAsia" w:ascii="仿宋_GB2312" w:hAnsi="仿宋_GB2312" w:cs="仿宋_GB2312"/>
        </w:rPr>
        <w:t>资金分配合理性：因素分析法，综合分析资金的分配依据是否充分，分配金额是否与项目实施单位需求金额一致。</w:t>
      </w:r>
    </w:p>
    <w:p>
      <w:pPr>
        <w:pStyle w:val="32"/>
        <w:spacing w:line="520" w:lineRule="exact"/>
        <w:ind w:firstLine="560"/>
        <w:rPr>
          <w:rFonts w:hint="eastAsia" w:ascii="仿宋_GB2312" w:hAnsi="仿宋_GB2312" w:cs="仿宋_GB2312"/>
          <w:lang w:val="en-US" w:eastAsia="zh-CN"/>
        </w:rPr>
      </w:pPr>
      <w:r>
        <w:rPr>
          <w:rFonts w:hint="eastAsia" w:ascii="仿宋_GB2312" w:hAnsi="仿宋_GB2312" w:cs="仿宋_GB2312"/>
          <w:lang w:eastAsia="zh-CN"/>
        </w:rPr>
        <w:t>（</w:t>
      </w:r>
      <w:r>
        <w:rPr>
          <w:rFonts w:hint="eastAsia" w:ascii="仿宋_GB2312" w:hAnsi="仿宋_GB2312" w:cs="仿宋_GB2312"/>
          <w:lang w:val="en-US" w:eastAsia="zh-CN"/>
        </w:rPr>
        <w:t>2）</w:t>
      </w:r>
      <w:r>
        <w:rPr>
          <w:rFonts w:hint="eastAsia" w:ascii="仿宋_GB2312" w:hAnsi="仿宋_GB2312" w:cs="仿宋_GB2312"/>
        </w:rPr>
        <w:t>项目过程</w:t>
      </w:r>
      <w:r>
        <w:rPr>
          <w:rFonts w:hint="eastAsia" w:ascii="仿宋_GB2312" w:hAnsi="仿宋_GB2312" w:cs="仿宋_GB2312"/>
          <w:lang w:val="en-US" w:eastAsia="zh-CN"/>
        </w:rPr>
        <w:t>方面</w:t>
      </w:r>
    </w:p>
    <w:p>
      <w:pPr>
        <w:pStyle w:val="32"/>
        <w:spacing w:line="520" w:lineRule="exact"/>
        <w:ind w:firstLine="560"/>
        <w:rPr>
          <w:rFonts w:hint="eastAsia" w:ascii="仿宋_GB2312" w:hAnsi="仿宋_GB2312" w:cs="仿宋_GB2312"/>
        </w:rPr>
      </w:pPr>
      <w:r>
        <w:rPr>
          <w:rFonts w:hint="eastAsia" w:ascii="仿宋_GB2312" w:hAnsi="仿宋_GB2312" w:cs="仿宋_GB2312"/>
        </w:rPr>
        <w:t>资金到位率：比较法，资金到位率预期指标值应为100%，通过实际计算，分析实际完成值和预期指标值之间的差距和原因。</w:t>
      </w:r>
    </w:p>
    <w:p>
      <w:pPr>
        <w:pStyle w:val="32"/>
        <w:spacing w:line="520" w:lineRule="exact"/>
        <w:ind w:firstLine="560"/>
        <w:rPr>
          <w:rFonts w:hint="eastAsia" w:ascii="仿宋_GB2312" w:hAnsi="仿宋_GB2312" w:cs="仿宋_GB2312"/>
        </w:rPr>
      </w:pPr>
      <w:r>
        <w:rPr>
          <w:rFonts w:hint="eastAsia" w:ascii="仿宋_GB2312" w:hAnsi="仿宋_GB2312" w:cs="仿宋_GB2312"/>
        </w:rPr>
        <w:t>预算执行率：比较法，预算执行率预期指标值应为</w:t>
      </w:r>
      <w:r>
        <w:rPr>
          <w:rFonts w:hint="eastAsia" w:ascii="仿宋_GB2312" w:hAnsi="仿宋_GB2312" w:cs="仿宋_GB2312"/>
          <w:lang w:val="en-US" w:eastAsia="zh-CN"/>
        </w:rPr>
        <w:t>100</w:t>
      </w:r>
      <w:r>
        <w:rPr>
          <w:rFonts w:hint="eastAsia" w:ascii="仿宋_GB2312" w:hAnsi="仿宋_GB2312" w:cs="仿宋_GB2312"/>
        </w:rPr>
        <w:t>%，通过实际计算，分析实际完成值和预期指标值之间的差距和原因。</w:t>
      </w:r>
    </w:p>
    <w:p>
      <w:pPr>
        <w:pStyle w:val="32"/>
        <w:spacing w:line="520" w:lineRule="exact"/>
        <w:ind w:firstLine="560"/>
        <w:rPr>
          <w:rFonts w:hint="eastAsia" w:ascii="仿宋_GB2312" w:hAnsi="仿宋_GB2312" w:cs="仿宋_GB2312"/>
        </w:rPr>
      </w:pPr>
      <w:r>
        <w:rPr>
          <w:rFonts w:hint="eastAsia" w:ascii="仿宋_GB2312" w:hAnsi="仿宋_GB2312" w:cs="仿宋_GB2312"/>
        </w:rPr>
        <w:t>资金使用合规性：文献法、实地勘察法，一是查找资金管理办法，包括专项资金管理办法和单位自有资金管理办法；二是通过查账了解具体开支情况，是否专款专用，是否按照标准支出。</w:t>
      </w:r>
    </w:p>
    <w:p>
      <w:pPr>
        <w:pStyle w:val="32"/>
        <w:spacing w:line="520" w:lineRule="exact"/>
        <w:ind w:firstLine="560"/>
        <w:rPr>
          <w:rFonts w:hint="eastAsia" w:ascii="仿宋_GB2312" w:hAnsi="仿宋_GB2312" w:cs="仿宋_GB2312"/>
        </w:rPr>
      </w:pPr>
      <w:r>
        <w:rPr>
          <w:rFonts w:hint="eastAsia" w:ascii="仿宋_GB2312" w:hAnsi="仿宋_GB2312" w:cs="仿宋_GB2312"/>
        </w:rPr>
        <w:t>管理制度健全性：文献法、比较法，查阅项目实施人员提供的财务和业务管理制度，将已建立的制度与现行的法律法规和政策要求进行对比，分析项目制度的合法性、合规性、完整性。</w:t>
      </w:r>
    </w:p>
    <w:p>
      <w:pPr>
        <w:pStyle w:val="32"/>
        <w:spacing w:line="520" w:lineRule="exact"/>
        <w:ind w:firstLine="560"/>
        <w:rPr>
          <w:rFonts w:hint="eastAsia" w:ascii="仿宋_GB2312" w:hAnsi="仿宋_GB2312" w:cs="仿宋_GB2312"/>
        </w:rPr>
      </w:pPr>
      <w:r>
        <w:rPr>
          <w:rFonts w:hint="eastAsia" w:ascii="仿宋_GB2312" w:hAnsi="仿宋_GB2312" w:cs="仿宋_GB2312"/>
        </w:rPr>
        <w:t>制度执行有效性：比较法，结合项目实际实施过程性文件，根据已建设的财务管理制度和项目管理制度综合分析制度执行的有效性。</w:t>
      </w:r>
    </w:p>
    <w:p>
      <w:pPr>
        <w:pStyle w:val="32"/>
        <w:spacing w:line="520" w:lineRule="exact"/>
        <w:ind w:firstLine="560"/>
        <w:rPr>
          <w:rFonts w:hint="eastAsia" w:ascii="仿宋_GB2312" w:hAnsi="仿宋_GB2312" w:cs="仿宋_GB2312"/>
          <w:lang w:val="en-US" w:eastAsia="zh-CN"/>
        </w:rPr>
      </w:pPr>
      <w:r>
        <w:rPr>
          <w:rFonts w:hint="eastAsia" w:ascii="仿宋_GB2312" w:hAnsi="仿宋_GB2312" w:cs="仿宋_GB2312"/>
          <w:lang w:eastAsia="zh-CN"/>
        </w:rPr>
        <w:t>（</w:t>
      </w:r>
      <w:r>
        <w:rPr>
          <w:rFonts w:hint="eastAsia" w:ascii="仿宋_GB2312" w:hAnsi="仿宋_GB2312" w:cs="仿宋_GB2312"/>
          <w:lang w:val="en-US" w:eastAsia="zh-CN"/>
        </w:rPr>
        <w:t>3）</w:t>
      </w:r>
      <w:r>
        <w:rPr>
          <w:rFonts w:hint="eastAsia" w:ascii="仿宋_GB2312" w:hAnsi="仿宋_GB2312" w:cs="仿宋_GB2312"/>
        </w:rPr>
        <w:t>项目产出</w:t>
      </w:r>
      <w:r>
        <w:rPr>
          <w:rFonts w:hint="eastAsia" w:ascii="仿宋_GB2312" w:hAnsi="仿宋_GB2312" w:cs="仿宋_GB2312"/>
          <w:lang w:val="en-US" w:eastAsia="zh-CN"/>
        </w:rPr>
        <w:t>方面</w:t>
      </w:r>
    </w:p>
    <w:p>
      <w:pPr>
        <w:pStyle w:val="32"/>
        <w:spacing w:line="520" w:lineRule="exact"/>
        <w:ind w:firstLine="560"/>
        <w:rPr>
          <w:rFonts w:hint="eastAsia" w:ascii="仿宋_GB2312" w:hAnsi="仿宋_GB2312" w:cs="仿宋_GB2312"/>
        </w:rPr>
      </w:pPr>
      <w:r>
        <w:rPr>
          <w:rFonts w:hint="eastAsia" w:ascii="仿宋_GB2312" w:hAnsi="仿宋_GB2312" w:cs="仿宋_GB2312"/>
        </w:rPr>
        <w:t>比较法</w:t>
      </w:r>
      <w:r>
        <w:rPr>
          <w:rFonts w:hint="eastAsia" w:ascii="仿宋_GB2312" w:hAnsi="仿宋_GB2312" w:cs="仿宋_GB2312"/>
          <w:lang w:eastAsia="zh-CN"/>
        </w:rPr>
        <w:t>：</w:t>
      </w:r>
      <w:r>
        <w:rPr>
          <w:rFonts w:hint="eastAsia" w:ascii="仿宋_GB2312" w:hAnsi="仿宋_GB2312" w:cs="仿宋_GB2312"/>
        </w:rPr>
        <w:t>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p>
    <w:p>
      <w:pPr>
        <w:pStyle w:val="32"/>
        <w:spacing w:line="520" w:lineRule="exact"/>
        <w:ind w:firstLine="560"/>
        <w:rPr>
          <w:rFonts w:hint="default" w:ascii="仿宋_GB2312" w:hAnsi="仿宋_GB2312" w:eastAsia="仿宋_GB2312" w:cs="仿宋_GB2312"/>
          <w:lang w:val="en-US" w:eastAsia="zh-CN"/>
        </w:rPr>
      </w:pPr>
      <w:r>
        <w:rPr>
          <w:rFonts w:hint="eastAsia" w:ascii="仿宋_GB2312" w:hAnsi="仿宋_GB2312" w:cs="仿宋_GB2312"/>
          <w:lang w:eastAsia="zh-CN"/>
        </w:rPr>
        <w:t>（</w:t>
      </w:r>
      <w:r>
        <w:rPr>
          <w:rFonts w:hint="eastAsia" w:ascii="仿宋_GB2312" w:hAnsi="仿宋_GB2312" w:cs="仿宋_GB2312"/>
          <w:lang w:val="en-US" w:eastAsia="zh-CN"/>
        </w:rPr>
        <w:t>4）项目效益方面</w:t>
      </w:r>
    </w:p>
    <w:p>
      <w:pPr>
        <w:pStyle w:val="32"/>
        <w:spacing w:line="520" w:lineRule="exact"/>
        <w:ind w:firstLine="560"/>
        <w:rPr>
          <w:rFonts w:hint="eastAsia" w:ascii="仿宋_GB2312" w:hAnsi="仿宋_GB2312" w:eastAsia="仿宋_GB2312" w:cs="仿宋_GB2312"/>
          <w:highlight w:val="none"/>
          <w:lang w:eastAsia="zh-CN"/>
        </w:rPr>
      </w:pPr>
      <w:r>
        <w:rPr>
          <w:rFonts w:hint="eastAsia" w:ascii="仿宋_GB2312" w:hAnsi="仿宋_GB2312" w:cs="仿宋_GB2312"/>
          <w:highlight w:val="none"/>
        </w:rPr>
        <w:t>公众评判法、实地勘察法，通过实地勘察、抽样调查等方式评价本项目实施后社会公众或服务对象对项目实施效果的满意程度</w:t>
      </w:r>
      <w:r>
        <w:rPr>
          <w:rFonts w:hint="eastAsia" w:ascii="仿宋_GB2312" w:hAnsi="仿宋_GB2312" w:cs="仿宋_GB2312"/>
          <w:highlight w:val="none"/>
          <w:lang w:eastAsia="zh-CN"/>
        </w:rPr>
        <w:t>。</w:t>
      </w:r>
    </w:p>
    <w:p>
      <w:pPr>
        <w:pStyle w:val="32"/>
        <w:spacing w:line="520" w:lineRule="exact"/>
        <w:ind w:firstLine="560"/>
        <w:rPr>
          <w:rFonts w:ascii="仿宋_GB2312" w:hAnsi="仿宋_GB2312" w:cs="仿宋_GB2312"/>
        </w:rPr>
      </w:pPr>
      <w:r>
        <w:rPr>
          <w:rFonts w:hint="eastAsia" w:ascii="仿宋_GB2312" w:hAnsi="仿宋_GB2312" w:cs="仿宋_GB2312"/>
        </w:rPr>
        <w:t>比较法</w:t>
      </w:r>
      <w:r>
        <w:rPr>
          <w:rFonts w:hint="eastAsia" w:ascii="仿宋_GB2312" w:hAnsi="仿宋_GB2312" w:cs="仿宋_GB2312"/>
          <w:lang w:eastAsia="zh-CN"/>
        </w:rPr>
        <w:t>：</w:t>
      </w:r>
      <w:r>
        <w:rPr>
          <w:rFonts w:hint="eastAsia" w:ascii="仿宋_GB2312" w:hAnsi="仿宋_GB2312" w:cs="仿宋_GB2312"/>
        </w:rPr>
        <w:t>通过整理本项目相关资料和数据，评价数量指标的完成情况；通过分析项目的实施情况与绩效目标实现情况，评价项目实施的效果；通过分析项目资金使用情况及产生的效果，评价预算资金分配的合理性。</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公众评判法：评价组采用实地访谈、远程访谈相结合方式，对本项目的实施情况进行充分调研，了解掌握资金分配、资金管理、资金使用、制度建设、制度执行情况。</w:t>
      </w:r>
    </w:p>
    <w:p>
      <w:pPr>
        <w:pStyle w:val="46"/>
        <w:widowControl w:val="0"/>
        <w:spacing w:line="520" w:lineRule="exact"/>
        <w:ind w:left="560"/>
        <w:rPr>
          <w:rFonts w:ascii="仿宋_GB2312" w:hAnsi="仿宋_GB2312" w:cs="仿宋_GB2312"/>
        </w:rPr>
      </w:pPr>
      <w:r>
        <w:rPr>
          <w:rFonts w:hint="eastAsia" w:ascii="仿宋_GB2312" w:hAnsi="仿宋_GB2312" w:cs="仿宋_GB2312"/>
        </w:rPr>
        <w:t>4.绩效评价标准</w:t>
      </w:r>
    </w:p>
    <w:p>
      <w:pPr>
        <w:pStyle w:val="32"/>
        <w:spacing w:line="520" w:lineRule="exact"/>
        <w:ind w:firstLine="560"/>
        <w:rPr>
          <w:rFonts w:ascii="仿宋_GB2312" w:hAnsi="仿宋_GB2312" w:cs="仿宋_GB2312"/>
        </w:rPr>
      </w:pPr>
      <w:r>
        <w:rPr>
          <w:rFonts w:hint="eastAsia" w:ascii="仿宋_GB2312" w:hAnsi="仿宋_GB2312" w:cs="仿宋_GB2312"/>
        </w:rPr>
        <w:t>本项目评价指标体系的评价标准按照计划标准、行业标准、历史标准等制</w:t>
      </w:r>
      <w:r>
        <w:rPr>
          <w:rFonts w:hint="eastAsia" w:ascii="仿宋_GB2312" w:hAnsi="仿宋_GB2312" w:cs="仿宋_GB2312"/>
          <w:highlight w:val="none"/>
        </w:rPr>
        <w:t>定。对于定性指标，通过访谈方式，采集相关数据，运用等级描述法，设置分级标准，体现该指标认可程度的差异。对于定量指标，通过公式等方式予以量化，可以准确衡量，并设定目标值的考核</w:t>
      </w:r>
      <w:r>
        <w:rPr>
          <w:rFonts w:hint="eastAsia" w:ascii="仿宋_GB2312" w:hAnsi="仿宋_GB2312" w:cs="仿宋_GB2312"/>
        </w:rPr>
        <w:t>指标。绩效评价体系、标准等。详见：附件1综合评分表。</w:t>
      </w:r>
    </w:p>
    <w:p>
      <w:pPr>
        <w:pStyle w:val="32"/>
        <w:spacing w:line="520" w:lineRule="exact"/>
        <w:ind w:firstLine="560"/>
        <w:rPr>
          <w:rFonts w:ascii="仿宋_GB2312" w:hAnsi="仿宋_GB2312" w:cs="仿宋_GB2312"/>
        </w:rPr>
      </w:pPr>
      <w:r>
        <w:rPr>
          <w:rFonts w:hint="eastAsia" w:ascii="仿宋_GB2312" w:hAnsi="仿宋_GB2312" w:cs="仿宋_GB2312"/>
        </w:rPr>
        <w:t>计划标准：指以预先制定的目标、计划、预算、定额等作为评价标准。</w:t>
      </w:r>
    </w:p>
    <w:p>
      <w:pPr>
        <w:pStyle w:val="32"/>
        <w:spacing w:line="520" w:lineRule="exact"/>
        <w:ind w:firstLine="560"/>
        <w:rPr>
          <w:rFonts w:ascii="仿宋_GB2312" w:hAnsi="仿宋_GB2312" w:cs="仿宋_GB2312"/>
        </w:rPr>
      </w:pPr>
      <w:r>
        <w:rPr>
          <w:rFonts w:hint="eastAsia" w:ascii="仿宋_GB2312" w:hAnsi="仿宋_GB2312" w:cs="仿宋_GB2312"/>
        </w:rPr>
        <w:t>行业标准：指参照国家公布的行业指标数据制定的评价标准。</w:t>
      </w:r>
    </w:p>
    <w:p>
      <w:pPr>
        <w:pStyle w:val="32"/>
        <w:spacing w:line="520" w:lineRule="exact"/>
        <w:ind w:firstLine="560"/>
        <w:rPr>
          <w:rFonts w:hint="eastAsia" w:ascii="仿宋_GB2312" w:hAnsi="仿宋_GB2312" w:cs="仿宋_GB2312"/>
        </w:rPr>
      </w:pPr>
      <w:r>
        <w:rPr>
          <w:rFonts w:hint="eastAsia" w:ascii="仿宋_GB2312" w:hAnsi="仿宋_GB2312" w:cs="仿宋_GB2312"/>
        </w:rPr>
        <w:t>历史标准：指参照历史数据制定的评价标准，为体现绩效改进的原则，在可实现的条件下应当确定相对较高的评价标准。</w:t>
      </w:r>
    </w:p>
    <w:p>
      <w:pPr>
        <w:pStyle w:val="32"/>
        <w:spacing w:line="520" w:lineRule="exact"/>
        <w:ind w:firstLine="560"/>
        <w:rPr>
          <w:rFonts w:hint="default" w:ascii="仿宋_GB2312" w:hAnsi="仿宋_GB2312" w:eastAsia="仿宋_GB2312" w:cs="仿宋_GB2312"/>
          <w:highlight w:val="none"/>
          <w:lang w:val="en-US" w:eastAsia="zh-CN"/>
        </w:rPr>
      </w:pPr>
      <w:r>
        <w:rPr>
          <w:rFonts w:hint="eastAsia" w:ascii="仿宋_GB2312" w:hAnsi="仿宋_GB2312" w:cs="仿宋_GB2312"/>
          <w:highlight w:val="none"/>
        </w:rPr>
        <w:t>“</w:t>
      </w:r>
      <w:r>
        <w:rPr>
          <w:rFonts w:hint="eastAsia" w:ascii="仿宋_GB2312" w:hAnsi="仿宋_GB2312" w:cs="仿宋_GB2312"/>
          <w:highlight w:val="none"/>
          <w:lang w:eastAsia="zh-CN"/>
        </w:rPr>
        <w:t>喀什地区30口地下水监测井站岳普湖县8口井项目</w:t>
      </w:r>
      <w:r>
        <w:rPr>
          <w:rFonts w:hint="eastAsia" w:ascii="仿宋_GB2312" w:hAnsi="仿宋_GB2312" w:cs="仿宋_GB2312"/>
          <w:highlight w:val="none"/>
        </w:rPr>
        <w:t>”</w:t>
      </w:r>
      <w:r>
        <w:rPr>
          <w:rFonts w:hint="eastAsia" w:ascii="仿宋_GB2312" w:hAnsi="仿宋_GB2312" w:cs="仿宋_GB2312"/>
          <w:highlight w:val="none"/>
          <w:lang w:val="en-US" w:eastAsia="zh-CN"/>
        </w:rPr>
        <w:t>采用的</w:t>
      </w:r>
      <w:r>
        <w:rPr>
          <w:rFonts w:hint="eastAsia" w:ascii="仿宋_GB2312" w:hAnsi="仿宋_GB2312" w:cs="仿宋_GB2312"/>
          <w:color w:val="auto"/>
          <w:highlight w:val="none"/>
          <w:lang w:val="en-US" w:eastAsia="zh-CN"/>
        </w:rPr>
        <w:t>是计划标准，以事先制定的目标、计划、预算、定额等预计数据作为评价财政支出绩效的标准。通过将实际完成值与预定数据进行对比，发现偏差及时通知实施单位进行限期整改并反馈整改情况。</w:t>
      </w:r>
    </w:p>
    <w:p>
      <w:pPr>
        <w:pStyle w:val="52"/>
        <w:keepNext w:val="0"/>
        <w:keepLines w:val="0"/>
        <w:spacing w:line="520" w:lineRule="exact"/>
        <w:ind w:left="560"/>
        <w:jc w:val="both"/>
        <w:rPr>
          <w:rFonts w:ascii="仿宋_GB2312" w:hAnsi="仿宋_GB2312" w:cs="仿宋_GB2312"/>
        </w:rPr>
      </w:pPr>
      <w:bookmarkStart w:id="59" w:name="_Toc127054589"/>
      <w:bookmarkStart w:id="60" w:name="_Toc17200"/>
      <w:bookmarkStart w:id="61" w:name="_Toc12894"/>
      <w:bookmarkStart w:id="62" w:name="_Toc20415"/>
      <w:bookmarkStart w:id="63" w:name="_Toc22357"/>
      <w:bookmarkStart w:id="64" w:name="_Toc26838"/>
      <w:bookmarkStart w:id="65" w:name="_Toc12413_WPSOffice_Level2"/>
      <w:bookmarkStart w:id="66" w:name="_Toc31508"/>
      <w:bookmarkStart w:id="67" w:name="_Toc19104_WPSOffice_Level2"/>
      <w:bookmarkStart w:id="68" w:name="_Toc26233_WPSOffice_Level2"/>
      <w:r>
        <w:rPr>
          <w:rFonts w:hint="eastAsia" w:ascii="仿宋_GB2312" w:hAnsi="仿宋_GB2312" w:cs="仿宋_GB2312"/>
        </w:rPr>
        <w:t>（三）绩效评价工作过程</w:t>
      </w:r>
      <w:bookmarkEnd w:id="59"/>
      <w:bookmarkEnd w:id="60"/>
      <w:bookmarkEnd w:id="61"/>
      <w:bookmarkEnd w:id="62"/>
      <w:bookmarkEnd w:id="63"/>
      <w:bookmarkEnd w:id="64"/>
      <w:bookmarkEnd w:id="65"/>
      <w:bookmarkEnd w:id="66"/>
      <w:bookmarkEnd w:id="67"/>
      <w:bookmarkEnd w:id="68"/>
    </w:p>
    <w:p>
      <w:pPr>
        <w:pStyle w:val="32"/>
        <w:spacing w:line="520" w:lineRule="exact"/>
        <w:ind w:firstLine="560"/>
        <w:rPr>
          <w:rFonts w:hint="eastAsia" w:ascii="仿宋_GB2312" w:hAnsi="仿宋_GB2312" w:cs="仿宋_GB2312"/>
          <w:highlight w:val="none"/>
          <w:lang w:val="en-US" w:eastAsia="zh-CN"/>
        </w:rPr>
      </w:pPr>
      <w:r>
        <w:rPr>
          <w:rFonts w:hint="eastAsia" w:ascii="仿宋_GB2312" w:hAnsi="仿宋_GB2312" w:cs="仿宋_GB2312"/>
          <w:highlight w:val="none"/>
          <w:lang w:val="en-US" w:eastAsia="zh-CN"/>
        </w:rPr>
        <w:t>本次评价设计了评价方案、评价指标体系，通过资料分析、调研、访谈等方式形成评价结论，在与项目单位沟通后确定评价意见，并出具评价报告。</w:t>
      </w:r>
    </w:p>
    <w:p>
      <w:pPr>
        <w:pStyle w:val="32"/>
        <w:spacing w:line="520" w:lineRule="exact"/>
        <w:ind w:firstLine="562"/>
        <w:rPr>
          <w:rFonts w:hint="default" w:ascii="仿宋_GB2312" w:hAnsi="仿宋_GB2312" w:eastAsia="仿宋_GB2312" w:cs="仿宋_GB2312"/>
          <w:b/>
          <w:bCs/>
          <w:lang w:val="en-US" w:eastAsia="zh-CN"/>
        </w:rPr>
      </w:pPr>
      <w:r>
        <w:rPr>
          <w:rFonts w:hint="eastAsia" w:ascii="仿宋_GB2312" w:hAnsi="仿宋_GB2312" w:cs="仿宋_GB2312"/>
          <w:b/>
          <w:bCs/>
        </w:rPr>
        <w:t>1.前期准备</w:t>
      </w:r>
      <w:r>
        <w:rPr>
          <w:rFonts w:hint="eastAsia" w:ascii="仿宋_GB2312" w:hAnsi="仿宋_GB2312" w:cs="仿宋_GB2312"/>
          <w:b/>
          <w:bCs/>
          <w:lang w:val="en-US" w:eastAsia="zh-CN"/>
        </w:rPr>
        <w:t>阶段（2024年1月3日—1月10日）</w:t>
      </w:r>
    </w:p>
    <w:p>
      <w:pPr>
        <w:pStyle w:val="32"/>
        <w:spacing w:line="520" w:lineRule="exact"/>
        <w:ind w:firstLine="560"/>
        <w:rPr>
          <w:rFonts w:ascii="仿宋_GB2312" w:hAnsi="仿宋_GB2312" w:cs="仿宋_GB2312"/>
        </w:rPr>
      </w:pPr>
      <w:r>
        <w:rPr>
          <w:rFonts w:hint="eastAsia" w:ascii="仿宋_GB2312" w:hAnsi="仿宋_GB2312" w:cs="仿宋_GB2312"/>
        </w:rPr>
        <w:t>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p>
    <w:p>
      <w:pPr>
        <w:pStyle w:val="32"/>
        <w:spacing w:line="520" w:lineRule="exact"/>
        <w:ind w:firstLine="560"/>
        <w:rPr>
          <w:rFonts w:ascii="仿宋_GB2312" w:hAnsi="仿宋_GB2312" w:cs="仿宋_GB2312"/>
        </w:rPr>
      </w:pPr>
      <w:r>
        <w:rPr>
          <w:rFonts w:hint="eastAsia" w:ascii="仿宋_GB2312" w:hAnsi="仿宋_GB2312" w:cs="仿宋_GB2312"/>
        </w:rPr>
        <w:t>作为绩效评价工作具体实施机构，绩效评价组成员构成如下：</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eastAsia="zh-CN"/>
        </w:rPr>
        <w:t>买买提·肉苏力</w:t>
      </w:r>
      <w:r>
        <w:rPr>
          <w:rFonts w:ascii="仿宋_GB2312" w:hAnsi="仿宋_GB2312" w:cs="仿宋_GB2312"/>
          <w:color w:val="auto"/>
          <w:highlight w:val="none"/>
        </w:rPr>
        <w:t>任</w:t>
      </w:r>
      <w:r>
        <w:rPr>
          <w:rFonts w:hint="eastAsia" w:ascii="仿宋_GB2312" w:hAnsi="仿宋_GB2312" w:cs="仿宋_GB2312"/>
          <w:color w:val="auto"/>
          <w:highlight w:val="none"/>
        </w:rPr>
        <w:t>绩效</w:t>
      </w:r>
      <w:r>
        <w:rPr>
          <w:rFonts w:ascii="仿宋_GB2312" w:hAnsi="仿宋_GB2312" w:cs="仿宋_GB2312"/>
          <w:color w:val="auto"/>
          <w:highlight w:val="none"/>
        </w:rPr>
        <w:t>评价组组长，绩效评价工作职责为负责全盘工作</w:t>
      </w:r>
      <w:r>
        <w:rPr>
          <w:rFonts w:hint="eastAsia" w:ascii="仿宋_GB2312" w:hAnsi="仿宋_GB2312" w:cs="仿宋_GB2312"/>
          <w:color w:val="auto"/>
          <w:highlight w:val="none"/>
        </w:rPr>
        <w:t>，</w:t>
      </w:r>
      <w:r>
        <w:rPr>
          <w:rFonts w:ascii="仿宋_GB2312" w:hAnsi="仿宋_GB2312" w:cs="仿宋_GB2312"/>
          <w:color w:val="auto"/>
          <w:highlight w:val="none"/>
        </w:rPr>
        <w:t>对项目实施情况进行实地调查。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艾山江·卡地尔、亚森江·喀斯木、朱小红、阿曼妮萨·塔依力普</w:t>
      </w:r>
      <w:r>
        <w:rPr>
          <w:rFonts w:ascii="仿宋_GB2312" w:hAnsi="仿宋_GB2312" w:cs="仿宋_GB2312"/>
          <w:color w:val="auto"/>
          <w:highlight w:val="none"/>
        </w:rPr>
        <w:t>任</w:t>
      </w:r>
      <w:r>
        <w:rPr>
          <w:rFonts w:hint="eastAsia" w:ascii="仿宋_GB2312" w:hAnsi="仿宋_GB2312" w:cs="仿宋_GB2312"/>
          <w:color w:val="auto"/>
          <w:highlight w:val="none"/>
        </w:rPr>
        <w:t>绩效</w:t>
      </w:r>
      <w:r>
        <w:rPr>
          <w:rFonts w:ascii="仿宋_GB2312" w:hAnsi="仿宋_GB2312" w:cs="仿宋_GB2312"/>
          <w:color w:val="auto"/>
          <w:highlight w:val="none"/>
        </w:rPr>
        <w:t>评价组成员，绩效评价工作职责</w:t>
      </w:r>
      <w:r>
        <w:rPr>
          <w:rFonts w:hint="eastAsia" w:ascii="仿宋_GB2312" w:hAnsi="仿宋_GB2312" w:cs="仿宋_GB2312"/>
          <w:color w:val="auto"/>
          <w:highlight w:val="none"/>
        </w:rPr>
        <w:t>对</w:t>
      </w:r>
      <w:r>
        <w:rPr>
          <w:rFonts w:ascii="仿宋_GB2312" w:hAnsi="仿宋_GB2312" w:cs="仿宋_GB2312"/>
          <w:color w:val="auto"/>
          <w:highlight w:val="none"/>
        </w:rPr>
        <w:t>项目实施情况进行实地调查</w:t>
      </w:r>
      <w:r>
        <w:rPr>
          <w:rFonts w:hint="eastAsia" w:ascii="仿宋_GB2312" w:hAnsi="仿宋_GB2312" w:cs="仿宋_GB2312"/>
          <w:color w:val="auto"/>
          <w:highlight w:val="none"/>
        </w:rPr>
        <w:t>，</w:t>
      </w:r>
      <w:r>
        <w:rPr>
          <w:rFonts w:ascii="仿宋_GB2312" w:hAnsi="仿宋_GB2312" w:cs="仿宋_GB2312"/>
          <w:color w:val="auto"/>
          <w:highlight w:val="none"/>
        </w:rPr>
        <w:t>负责资料审核等工作。</w:t>
      </w:r>
    </w:p>
    <w:p>
      <w:pPr>
        <w:pStyle w:val="32"/>
        <w:spacing w:line="520" w:lineRule="exact"/>
        <w:ind w:firstLine="562"/>
        <w:rPr>
          <w:rFonts w:hint="default" w:ascii="仿宋_GB2312" w:hAnsi="仿宋_GB2312" w:eastAsia="仿宋_GB2312" w:cs="仿宋_GB2312"/>
          <w:b/>
          <w:bCs/>
          <w:lang w:val="en-US" w:eastAsia="zh-CN"/>
        </w:rPr>
      </w:pPr>
      <w:r>
        <w:rPr>
          <w:rFonts w:hint="eastAsia" w:ascii="仿宋_GB2312" w:hAnsi="仿宋_GB2312" w:cs="仿宋_GB2312"/>
          <w:b/>
          <w:bCs/>
        </w:rPr>
        <w:t>2.组织实施</w:t>
      </w:r>
      <w:r>
        <w:rPr>
          <w:rFonts w:hint="eastAsia" w:ascii="仿宋_GB2312" w:hAnsi="仿宋_GB2312" w:cs="仿宋_GB2312"/>
          <w:b/>
          <w:bCs/>
          <w:lang w:val="en-US" w:eastAsia="zh-CN"/>
        </w:rPr>
        <w:t>阶段（2024年1月11日—2月1日）</w:t>
      </w:r>
    </w:p>
    <w:p>
      <w:pPr>
        <w:pStyle w:val="32"/>
        <w:spacing w:line="520" w:lineRule="exact"/>
        <w:ind w:firstLine="560"/>
        <w:rPr>
          <w:rFonts w:ascii="仿宋_GB2312" w:hAnsi="仿宋_GB2312" w:cs="仿宋_GB2312"/>
        </w:rPr>
      </w:pPr>
      <w:r>
        <w:rPr>
          <w:rFonts w:hint="eastAsia" w:ascii="仿宋_GB2312" w:hAnsi="仿宋_GB2312" w:cs="仿宋_GB2312"/>
        </w:rP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p>
    <w:p>
      <w:pPr>
        <w:pStyle w:val="32"/>
        <w:spacing w:line="520" w:lineRule="exact"/>
        <w:ind w:firstLine="562"/>
        <w:rPr>
          <w:rFonts w:hint="default" w:ascii="仿宋_GB2312" w:hAnsi="仿宋_GB2312" w:eastAsia="仿宋_GB2312" w:cs="仿宋_GB2312"/>
          <w:b/>
          <w:bCs/>
          <w:lang w:val="en-US" w:eastAsia="zh-CN"/>
        </w:rPr>
      </w:pPr>
      <w:r>
        <w:rPr>
          <w:rFonts w:hint="eastAsia" w:ascii="仿宋_GB2312" w:hAnsi="仿宋_GB2312" w:cs="仿宋_GB2312"/>
          <w:b/>
          <w:bCs/>
        </w:rPr>
        <w:t>3.分析评价</w:t>
      </w:r>
      <w:r>
        <w:rPr>
          <w:rFonts w:hint="eastAsia" w:ascii="仿宋_GB2312" w:hAnsi="仿宋_GB2312" w:cs="仿宋_GB2312"/>
          <w:b/>
          <w:bCs/>
          <w:lang w:val="en-US" w:eastAsia="zh-CN"/>
        </w:rPr>
        <w:t>阶段（2024年2月2日—2月29日）</w:t>
      </w:r>
    </w:p>
    <w:p>
      <w:pPr>
        <w:pStyle w:val="32"/>
        <w:spacing w:line="520" w:lineRule="exact"/>
        <w:ind w:firstLine="560"/>
        <w:rPr>
          <w:rFonts w:ascii="仿宋_GB2312" w:hAnsi="仿宋_GB2312" w:cs="仿宋_GB2312"/>
        </w:rPr>
      </w:pPr>
      <w:r>
        <w:rPr>
          <w:rFonts w:hint="eastAsia" w:ascii="仿宋_GB2312" w:hAnsi="仿宋_GB2312" w:cs="仿宋_GB2312"/>
        </w:rPr>
        <w:t>绩效评价组根据收集梳理的资料围绕项目立项、资金落实、业务管理、财务管理、项目产出、项目效益等内容，对照已确定的绩效评价指标进行详细全面的分析评价，逐项打分并形成绩效评价最终结果。</w:t>
      </w:r>
    </w:p>
    <w:p>
      <w:pPr>
        <w:pStyle w:val="32"/>
        <w:spacing w:line="520" w:lineRule="exact"/>
        <w:ind w:firstLine="562"/>
        <w:rPr>
          <w:rFonts w:hint="default" w:ascii="仿宋_GB2312" w:hAnsi="仿宋_GB2312" w:eastAsia="仿宋_GB2312" w:cs="仿宋_GB2312"/>
          <w:b/>
          <w:bCs/>
          <w:lang w:val="en-US" w:eastAsia="zh-CN"/>
        </w:rPr>
      </w:pPr>
      <w:r>
        <w:rPr>
          <w:rFonts w:hint="eastAsia" w:ascii="仿宋_GB2312" w:hAnsi="仿宋_GB2312" w:cs="仿宋_GB2312"/>
          <w:b/>
          <w:bCs/>
        </w:rPr>
        <w:t>4.撰写与提交评价报告</w:t>
      </w:r>
      <w:r>
        <w:rPr>
          <w:rFonts w:hint="eastAsia" w:ascii="仿宋_GB2312" w:hAnsi="仿宋_GB2312" w:cs="仿宋_GB2312"/>
          <w:b/>
          <w:bCs/>
          <w:lang w:val="en-US" w:eastAsia="zh-CN"/>
        </w:rPr>
        <w:t>阶段（2024年3月1日-3月7日）</w:t>
      </w:r>
    </w:p>
    <w:p>
      <w:pPr>
        <w:pStyle w:val="32"/>
        <w:spacing w:line="520" w:lineRule="exact"/>
        <w:ind w:firstLine="560"/>
        <w:rPr>
          <w:rFonts w:ascii="仿宋_GB2312" w:hAnsi="仿宋_GB2312" w:cs="仿宋_GB2312"/>
        </w:rPr>
      </w:pPr>
      <w:r>
        <w:rPr>
          <w:rFonts w:hint="eastAsia" w:ascii="仿宋_GB2312" w:hAnsi="仿宋_GB2312" w:cs="仿宋_GB2312"/>
        </w:rPr>
        <w:t>绩效评价组根据收集项目评价资料撰写绩效评价报告。按照新疆维吾尔自治区财政绩效管理信息系统绩效评价模块中</w:t>
      </w:r>
      <w:r>
        <w:rPr>
          <w:rFonts w:hint="eastAsia" w:ascii="仿宋_GB2312" w:hAnsi="仿宋_GB2312" w:cs="仿宋_GB2312"/>
          <w:lang w:val="en-US" w:eastAsia="zh-CN"/>
        </w:rPr>
        <w:t>的</w:t>
      </w:r>
      <w:r>
        <w:rPr>
          <w:rFonts w:hint="eastAsia" w:ascii="仿宋_GB2312" w:hAnsi="仿宋_GB2312" w:cs="仿宋_GB2312"/>
        </w:rPr>
        <w:t>统一格式</w:t>
      </w:r>
      <w:r>
        <w:rPr>
          <w:rFonts w:hint="eastAsia" w:ascii="仿宋_GB2312" w:hAnsi="仿宋_GB2312" w:cs="仿宋_GB2312"/>
          <w:lang w:val="en-US" w:eastAsia="zh-CN"/>
        </w:rPr>
        <w:t>及</w:t>
      </w:r>
      <w:r>
        <w:rPr>
          <w:rFonts w:hint="eastAsia" w:ascii="仿宋_GB2312" w:hAnsi="仿宋_GB2312" w:cs="仿宋_GB2312"/>
        </w:rPr>
        <w:t>文本框架撰写绩效评价报告并提交审核。</w:t>
      </w:r>
    </w:p>
    <w:p>
      <w:pPr>
        <w:pStyle w:val="32"/>
        <w:spacing w:line="520" w:lineRule="exact"/>
        <w:ind w:firstLine="562"/>
        <w:rPr>
          <w:rFonts w:hint="default" w:ascii="仿宋_GB2312" w:hAnsi="仿宋_GB2312" w:eastAsia="仿宋_GB2312" w:cs="仿宋_GB2312"/>
          <w:b/>
          <w:bCs/>
          <w:lang w:val="en-US" w:eastAsia="zh-CN"/>
        </w:rPr>
      </w:pPr>
      <w:r>
        <w:rPr>
          <w:rFonts w:hint="eastAsia" w:ascii="仿宋_GB2312" w:hAnsi="仿宋_GB2312" w:cs="仿宋_GB2312"/>
          <w:b/>
          <w:bCs/>
        </w:rPr>
        <w:t>5.归集档案</w:t>
      </w:r>
      <w:r>
        <w:rPr>
          <w:rFonts w:hint="eastAsia" w:ascii="仿宋_GB2312" w:hAnsi="仿宋_GB2312" w:cs="仿宋_GB2312"/>
          <w:b/>
          <w:bCs/>
          <w:lang w:val="en-US" w:eastAsia="zh-CN"/>
        </w:rPr>
        <w:t>阶段（2024年3月8日-3月15日）</w:t>
      </w:r>
    </w:p>
    <w:p>
      <w:pPr>
        <w:pStyle w:val="32"/>
        <w:spacing w:line="520" w:lineRule="exact"/>
        <w:ind w:firstLine="560"/>
        <w:rPr>
          <w:rFonts w:ascii="仿宋_GB2312" w:hAnsi="仿宋_GB2312" w:cs="仿宋_GB2312"/>
        </w:rPr>
      </w:pPr>
      <w:r>
        <w:rPr>
          <w:rFonts w:hint="eastAsia" w:ascii="仿宋_GB2312" w:hAnsi="仿宋_GB2312" w:cs="仿宋_GB2312"/>
        </w:rPr>
        <w:t>建立和落实档案管理制度，由绩效评价组将项目相关资料存档，包括但不限于：评价项目基本情况和相关文件、评价实施方案、项目支付资料等相关档案。</w:t>
      </w:r>
    </w:p>
    <w:p>
      <w:pPr>
        <w:pStyle w:val="31"/>
        <w:keepNext w:val="0"/>
        <w:keepLines w:val="0"/>
        <w:spacing w:line="520" w:lineRule="exact"/>
        <w:ind w:firstLine="640" w:firstLineChars="200"/>
        <w:jc w:val="both"/>
      </w:pPr>
      <w:bookmarkStart w:id="69" w:name="_Toc7014"/>
      <w:bookmarkStart w:id="70" w:name="_Toc5081"/>
      <w:bookmarkStart w:id="71" w:name="_Toc23928_WPSOffice_Level1"/>
      <w:bookmarkStart w:id="72" w:name="_Toc127054590"/>
      <w:bookmarkStart w:id="73" w:name="_Toc1686_WPSOffice_Level1"/>
      <w:bookmarkStart w:id="74" w:name="_Toc1597"/>
      <w:bookmarkStart w:id="75" w:name="_Toc4810"/>
      <w:bookmarkStart w:id="76" w:name="_Toc32607_WPSOffice_Level1"/>
      <w:bookmarkStart w:id="77" w:name="_Toc25359"/>
      <w:bookmarkStart w:id="78" w:name="_Toc16646"/>
      <w:r>
        <w:rPr>
          <w:rFonts w:hint="eastAsia"/>
        </w:rPr>
        <w:t>三、综合评价情况及评价结论</w:t>
      </w:r>
      <w:bookmarkEnd w:id="69"/>
      <w:bookmarkEnd w:id="70"/>
      <w:bookmarkEnd w:id="71"/>
      <w:bookmarkEnd w:id="72"/>
      <w:bookmarkEnd w:id="73"/>
      <w:bookmarkEnd w:id="74"/>
      <w:bookmarkEnd w:id="75"/>
      <w:bookmarkEnd w:id="76"/>
      <w:bookmarkEnd w:id="77"/>
      <w:bookmarkEnd w:id="78"/>
    </w:p>
    <w:p>
      <w:pPr>
        <w:pStyle w:val="52"/>
        <w:keepNext w:val="0"/>
        <w:keepLines w:val="0"/>
        <w:spacing w:line="520" w:lineRule="exact"/>
        <w:ind w:left="560"/>
        <w:jc w:val="both"/>
      </w:pPr>
      <w:bookmarkStart w:id="79" w:name="_Toc24395"/>
      <w:bookmarkStart w:id="80" w:name="_Toc6425"/>
      <w:bookmarkStart w:id="81" w:name="_Toc15650_WPSOffice_Level2"/>
      <w:bookmarkStart w:id="82" w:name="_Toc30078"/>
      <w:bookmarkStart w:id="83" w:name="_Toc22637"/>
      <w:bookmarkStart w:id="84" w:name="_Toc127054591"/>
      <w:bookmarkStart w:id="85" w:name="_Toc5941_WPSOffice_Level2"/>
      <w:bookmarkStart w:id="86" w:name="_Toc1796"/>
      <w:bookmarkStart w:id="87" w:name="_Toc4710"/>
      <w:bookmarkStart w:id="88" w:name="_Toc28208_WPSOffice_Level2"/>
      <w:r>
        <w:rPr>
          <w:rFonts w:hint="eastAsia"/>
        </w:rPr>
        <w:t>（一）综合评价情况</w:t>
      </w:r>
      <w:bookmarkEnd w:id="79"/>
      <w:bookmarkEnd w:id="80"/>
      <w:bookmarkEnd w:id="81"/>
      <w:bookmarkEnd w:id="82"/>
      <w:bookmarkEnd w:id="83"/>
      <w:bookmarkEnd w:id="84"/>
      <w:bookmarkEnd w:id="85"/>
      <w:bookmarkEnd w:id="86"/>
      <w:bookmarkEnd w:id="87"/>
      <w:bookmarkEnd w:id="88"/>
    </w:p>
    <w:p>
      <w:pPr>
        <w:pStyle w:val="32"/>
        <w:spacing w:line="520" w:lineRule="exact"/>
        <w:ind w:firstLine="560"/>
      </w:pPr>
      <w:r>
        <w:rPr>
          <w:rFonts w:hint="eastAsia"/>
          <w:highlight w:val="none"/>
        </w:rPr>
        <w:t>经绩效评价组通过实地调研、综合分析法等方式，主要采用综合</w:t>
      </w:r>
      <w:r>
        <w:rPr>
          <w:rFonts w:hint="eastAsia"/>
        </w:rPr>
        <w:t>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32"/>
        <w:spacing w:line="520" w:lineRule="exact"/>
        <w:ind w:firstLine="560"/>
        <w:rPr>
          <w:rFonts w:ascii="仿宋_GB2312" w:hAnsi="仿宋_GB2312" w:cs="仿宋_GB2312"/>
        </w:rPr>
      </w:pPr>
      <w:r>
        <w:rPr>
          <w:rFonts w:hint="eastAsia" w:ascii="仿宋_GB2312" w:hAnsi="仿宋_GB2312" w:cs="仿宋_GB2312"/>
        </w:rPr>
        <w:t>在项目决策方面</w:t>
      </w:r>
      <w:r>
        <w:rPr>
          <w:rFonts w:hint="eastAsia" w:ascii="仿宋_GB2312" w:hAnsi="仿宋_GB2312" w:cs="仿宋_GB2312"/>
          <w:lang w:eastAsia="zh-CN"/>
        </w:rPr>
        <w:t>：</w:t>
      </w:r>
      <w:r>
        <w:rPr>
          <w:rFonts w:hint="eastAsia" w:ascii="仿宋_GB2312" w:hAnsi="仿宋_GB2312" w:cs="仿宋_GB2312"/>
        </w:rPr>
        <w:t>立项符合国家法律法规、国民经济发展规划和相关政策，项目立项依据充分。项目按照规定的程序申请，经过必要的研究、论证和评估，立项程序规范。</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在项目管理方面</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本项目预算安排</w:t>
      </w:r>
      <w:r>
        <w:rPr>
          <w:rFonts w:hint="eastAsia" w:ascii="仿宋_GB2312" w:hAnsi="仿宋_GB2312" w:cs="仿宋_GB2312"/>
          <w:color w:val="auto"/>
          <w:highlight w:val="none"/>
          <w:lang w:val="en-US" w:eastAsia="zh-CN"/>
        </w:rPr>
        <w:t>217.29</w:t>
      </w:r>
      <w:r>
        <w:rPr>
          <w:rFonts w:hint="eastAsia" w:ascii="仿宋_GB2312" w:hAnsi="仿宋_GB2312" w:cs="仿宋_GB2312"/>
          <w:color w:val="auto"/>
          <w:highlight w:val="none"/>
        </w:rPr>
        <w:t>万元，实际支出</w:t>
      </w:r>
      <w:r>
        <w:rPr>
          <w:rFonts w:hint="eastAsia" w:ascii="仿宋_GB2312" w:hAnsi="仿宋_GB2312" w:cs="仿宋_GB2312"/>
          <w:color w:val="auto"/>
          <w:highlight w:val="none"/>
          <w:lang w:val="en-US" w:eastAsia="zh-CN"/>
        </w:rPr>
        <w:t>155.24</w:t>
      </w:r>
      <w:r>
        <w:rPr>
          <w:rFonts w:hint="eastAsia" w:ascii="仿宋_GB2312" w:hAnsi="仿宋_GB2312" w:cs="仿宋_GB2312"/>
          <w:color w:val="auto"/>
          <w:highlight w:val="none"/>
        </w:rPr>
        <w:t>万元，预算执行率</w:t>
      </w:r>
      <w:r>
        <w:rPr>
          <w:rFonts w:hint="eastAsia" w:ascii="仿宋_GB2312" w:hAnsi="仿宋_GB2312" w:cs="仿宋_GB2312"/>
          <w:color w:val="auto"/>
          <w:highlight w:val="none"/>
          <w:lang w:val="en-US" w:eastAsia="zh-CN"/>
        </w:rPr>
        <w:t>71.4</w:t>
      </w:r>
      <w:r>
        <w:rPr>
          <w:rFonts w:hint="eastAsia" w:ascii="仿宋_GB2312" w:hAnsi="仿宋_GB2312" w:cs="仿宋_GB2312"/>
          <w:color w:val="auto"/>
          <w:highlight w:val="none"/>
        </w:rPr>
        <w:t>%。项目资金使用合规，项目财务管理制度健全，财务监控到位，所有资金支付均按照国库集中支付制度严格执行，现有项目管理制度执行情况良好。</w:t>
      </w:r>
    </w:p>
    <w:p>
      <w:pPr>
        <w:pStyle w:val="32"/>
        <w:keepNext w:val="0"/>
        <w:keepLines w:val="0"/>
        <w:pageBreakBefore w:val="0"/>
        <w:widowControl w:val="0"/>
        <w:kinsoku/>
        <w:wordWrap/>
        <w:overflowPunct/>
        <w:topLinePunct w:val="0"/>
        <w:autoSpaceDE/>
        <w:autoSpaceDN/>
        <w:bidi w:val="0"/>
        <w:adjustRightInd/>
        <w:snapToGrid/>
        <w:spacing w:line="520" w:lineRule="exact"/>
        <w:ind w:firstLine="560"/>
        <w:textAlignment w:val="auto"/>
        <w:rPr>
          <w:rFonts w:ascii="仿宋_GB2312" w:hAnsi="仿宋_GB2312" w:cs="仿宋_GB2312"/>
          <w:color w:val="auto"/>
          <w:highlight w:val="none"/>
        </w:rPr>
      </w:pPr>
      <w:r>
        <w:rPr>
          <w:rFonts w:hint="eastAsia" w:ascii="仿宋_GB2312" w:hAnsi="仿宋_GB2312" w:cs="仿宋_GB2312"/>
          <w:color w:val="auto"/>
          <w:highlight w:val="none"/>
        </w:rPr>
        <w:t>在项目效果方面</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已完成8口地下水监测井的建设。预算执行率为71.4%。通过项目的实施有效加强地下水监测效果，及时掌握地下水水质变化情况，有利于采取有效的保护机制和防治手段。</w:t>
      </w:r>
    </w:p>
    <w:p>
      <w:pPr>
        <w:pStyle w:val="52"/>
        <w:keepNext w:val="0"/>
        <w:keepLines w:val="0"/>
        <w:spacing w:line="520" w:lineRule="exact"/>
        <w:ind w:left="560"/>
        <w:jc w:val="both"/>
      </w:pPr>
      <w:bookmarkStart w:id="89" w:name="_Toc25689_WPSOffice_Level2"/>
      <w:bookmarkStart w:id="90" w:name="_Toc30582_WPSOffice_Level2"/>
      <w:bookmarkStart w:id="91" w:name="_Toc7246"/>
      <w:bookmarkStart w:id="92" w:name="_Toc127054592"/>
      <w:bookmarkStart w:id="93" w:name="_Toc19466"/>
      <w:bookmarkStart w:id="94" w:name="_Toc24314"/>
      <w:bookmarkStart w:id="95" w:name="_Toc20924_WPSOffice_Level2"/>
      <w:bookmarkStart w:id="96" w:name="_Toc5518"/>
      <w:bookmarkStart w:id="97" w:name="_Toc6175"/>
      <w:bookmarkStart w:id="98" w:name="_Toc5858"/>
      <w:r>
        <w:rPr>
          <w:rFonts w:hint="eastAsia"/>
        </w:rPr>
        <w:t>（二）综合评价结论</w:t>
      </w:r>
      <w:bookmarkEnd w:id="89"/>
      <w:bookmarkEnd w:id="90"/>
      <w:bookmarkEnd w:id="91"/>
      <w:bookmarkEnd w:id="92"/>
      <w:bookmarkEnd w:id="93"/>
      <w:bookmarkEnd w:id="94"/>
      <w:bookmarkEnd w:id="95"/>
      <w:bookmarkEnd w:id="96"/>
      <w:bookmarkEnd w:id="97"/>
      <w:bookmarkEnd w:id="98"/>
    </w:p>
    <w:p>
      <w:pPr>
        <w:pStyle w:val="32"/>
        <w:spacing w:line="520" w:lineRule="exact"/>
        <w:ind w:firstLine="560"/>
        <w:rPr>
          <w:rFonts w:hint="eastAsia" w:ascii="仿宋_GB2312" w:hAnsi="仿宋_GB2312" w:cs="仿宋_GB2312"/>
          <w:highlight w:val="none"/>
        </w:rPr>
      </w:pPr>
      <w:r>
        <w:rPr>
          <w:rFonts w:hint="eastAsia" w:ascii="仿宋_GB2312" w:hAnsi="仿宋_GB2312" w:cs="仿宋_GB2312"/>
          <w:highlight w:val="none"/>
        </w:rPr>
        <w:t>运用绩效评价组制定的评价指标体系以及财政部《项目支出绩效评价管理办法》（财预〔2020〕10号）文件的评分标准，通过数据采集、访谈等方式</w:t>
      </w:r>
      <w:r>
        <w:rPr>
          <w:rFonts w:hint="eastAsia" w:ascii="仿宋_GB2312" w:hAnsi="仿宋_GB2312" w:cs="仿宋_GB2312"/>
          <w:highlight w:val="none"/>
        </w:rPr>
        <w:t>，对本项目进行客观评价，总分一般设置为100分，其中项目决策20分、项目过程</w:t>
      </w:r>
      <w:r>
        <w:rPr>
          <w:rFonts w:hint="eastAsia" w:ascii="仿宋_GB2312" w:hAnsi="仿宋_GB2312" w:cs="仿宋_GB2312"/>
          <w:highlight w:val="none"/>
          <w:lang w:val="en-US" w:eastAsia="zh-CN"/>
        </w:rPr>
        <w:t>15</w:t>
      </w:r>
      <w:r>
        <w:rPr>
          <w:rFonts w:hint="eastAsia" w:ascii="仿宋_GB2312" w:hAnsi="仿宋_GB2312" w:cs="仿宋_GB2312"/>
          <w:highlight w:val="none"/>
        </w:rPr>
        <w:t>分、项目产出</w:t>
      </w:r>
      <w:r>
        <w:rPr>
          <w:rFonts w:hint="eastAsia" w:ascii="仿宋_GB2312" w:hAnsi="仿宋_GB2312" w:cs="仿宋_GB2312"/>
          <w:highlight w:val="none"/>
          <w:lang w:val="en-US" w:eastAsia="zh-CN"/>
        </w:rPr>
        <w:t>35</w:t>
      </w:r>
      <w:r>
        <w:rPr>
          <w:rFonts w:hint="eastAsia" w:ascii="仿宋_GB2312" w:hAnsi="仿宋_GB2312" w:cs="仿宋_GB2312"/>
          <w:highlight w:val="none"/>
        </w:rPr>
        <w:t>分、项目效益</w:t>
      </w:r>
      <w:r>
        <w:rPr>
          <w:rFonts w:hint="eastAsia" w:ascii="仿宋_GB2312" w:hAnsi="仿宋_GB2312" w:cs="仿宋_GB2312"/>
          <w:highlight w:val="none"/>
          <w:lang w:val="en-US" w:eastAsia="zh-CN"/>
        </w:rPr>
        <w:t>30</w:t>
      </w:r>
      <w:r>
        <w:rPr>
          <w:rFonts w:hint="eastAsia" w:ascii="仿宋_GB2312" w:hAnsi="仿宋_GB2312" w:cs="仿宋_GB2312"/>
          <w:highlight w:val="none"/>
        </w:rPr>
        <w:t>分。评价结果分为优、良、中、差四个等级：优（90分（含）—100分）；良（80分（含）—90分）；中（60分（含）—80分）；差（0分—60分）。</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lang w:val="en-US" w:eastAsia="zh-CN"/>
        </w:rPr>
        <w:t>本项目</w:t>
      </w:r>
      <w:r>
        <w:rPr>
          <w:rFonts w:hint="eastAsia" w:ascii="仿宋_GB2312" w:hAnsi="仿宋_GB2312" w:cs="仿宋_GB2312"/>
          <w:highlight w:val="none"/>
        </w:rPr>
        <w:t>最终评分结果：总得分为</w:t>
      </w:r>
      <w:r>
        <w:rPr>
          <w:rFonts w:hint="eastAsia" w:ascii="仿宋_GB2312" w:hAnsi="仿宋_GB2312" w:cs="仿宋_GB2312"/>
          <w:highlight w:val="none"/>
          <w:lang w:val="en-US" w:eastAsia="zh-CN"/>
        </w:rPr>
        <w:t>95.43</w:t>
      </w:r>
      <w:r>
        <w:rPr>
          <w:rFonts w:hint="eastAsia" w:ascii="仿宋_GB2312" w:hAnsi="仿宋_GB2312" w:cs="仿宋_GB2312"/>
          <w:highlight w:val="none"/>
        </w:rPr>
        <w:t>分，绩效评级为“优”。</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具体得分情况</w:t>
      </w:r>
      <w:r>
        <w:rPr>
          <w:rFonts w:hint="eastAsia" w:ascii="仿宋_GB2312" w:hAnsi="仿宋_GB2312" w:cs="仿宋_GB2312"/>
          <w:highlight w:val="none"/>
          <w:lang w:val="en-US" w:eastAsia="zh-CN"/>
        </w:rPr>
        <w:t>如下</w:t>
      </w:r>
      <w:r>
        <w:rPr>
          <w:rFonts w:hint="eastAsia" w:ascii="仿宋_GB2312" w:hAnsi="仿宋_GB2312" w:cs="仿宋_GB2312"/>
          <w:highlight w:val="none"/>
        </w:rPr>
        <w:t>:</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1.项目决策指标权重为20分，得分为20分，得分率为100%。</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2.项目过程指标权重为</w:t>
      </w:r>
      <w:r>
        <w:rPr>
          <w:rFonts w:hint="eastAsia" w:ascii="仿宋_GB2312" w:hAnsi="仿宋_GB2312" w:cs="仿宋_GB2312"/>
          <w:highlight w:val="none"/>
          <w:lang w:val="en-US" w:eastAsia="zh-CN"/>
        </w:rPr>
        <w:t>15</w:t>
      </w:r>
      <w:r>
        <w:rPr>
          <w:rFonts w:hint="eastAsia" w:ascii="仿宋_GB2312" w:hAnsi="仿宋_GB2312" w:cs="仿宋_GB2312"/>
          <w:highlight w:val="none"/>
        </w:rPr>
        <w:t>分，得分为</w:t>
      </w:r>
      <w:r>
        <w:rPr>
          <w:rFonts w:hint="eastAsia" w:ascii="仿宋_GB2312" w:hAnsi="仿宋_GB2312" w:cs="仿宋_GB2312"/>
          <w:highlight w:val="none"/>
          <w:lang w:val="en-US" w:eastAsia="zh-CN"/>
        </w:rPr>
        <w:t>14.14</w:t>
      </w:r>
      <w:r>
        <w:rPr>
          <w:rFonts w:hint="eastAsia" w:ascii="仿宋_GB2312" w:hAnsi="仿宋_GB2312" w:cs="仿宋_GB2312"/>
          <w:highlight w:val="none"/>
        </w:rPr>
        <w:t>分，得分率为</w:t>
      </w:r>
      <w:r>
        <w:rPr>
          <w:rFonts w:hint="eastAsia" w:ascii="仿宋_GB2312" w:hAnsi="仿宋_GB2312" w:cs="仿宋_GB2312"/>
          <w:highlight w:val="none"/>
          <w:lang w:val="en-US" w:eastAsia="zh-CN"/>
        </w:rPr>
        <w:t>94.3</w:t>
      </w:r>
      <w:r>
        <w:rPr>
          <w:rFonts w:hint="eastAsia" w:ascii="仿宋_GB2312" w:hAnsi="仿宋_GB2312" w:cs="仿宋_GB2312"/>
          <w:highlight w:val="none"/>
        </w:rPr>
        <w:t>%。</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3.项目产出指标权重为</w:t>
      </w:r>
      <w:r>
        <w:rPr>
          <w:rFonts w:hint="eastAsia" w:ascii="仿宋_GB2312" w:hAnsi="仿宋_GB2312" w:cs="仿宋_GB2312"/>
          <w:highlight w:val="none"/>
          <w:lang w:val="en-US" w:eastAsia="zh-CN"/>
        </w:rPr>
        <w:t>35</w:t>
      </w:r>
      <w:r>
        <w:rPr>
          <w:rFonts w:hint="eastAsia" w:ascii="仿宋_GB2312" w:hAnsi="仿宋_GB2312" w:cs="仿宋_GB2312"/>
          <w:highlight w:val="none"/>
        </w:rPr>
        <w:t>分，得分为</w:t>
      </w:r>
      <w:r>
        <w:rPr>
          <w:rFonts w:hint="eastAsia" w:ascii="仿宋_GB2312" w:hAnsi="仿宋_GB2312" w:cs="仿宋_GB2312"/>
          <w:highlight w:val="none"/>
          <w:lang w:val="en-US" w:eastAsia="zh-CN"/>
        </w:rPr>
        <w:t>31.28</w:t>
      </w:r>
      <w:r>
        <w:rPr>
          <w:rFonts w:hint="eastAsia" w:ascii="仿宋_GB2312" w:hAnsi="仿宋_GB2312" w:cs="仿宋_GB2312"/>
          <w:highlight w:val="none"/>
        </w:rPr>
        <w:t>分，得分率为</w:t>
      </w:r>
      <w:r>
        <w:rPr>
          <w:rFonts w:hint="eastAsia" w:ascii="仿宋_GB2312" w:hAnsi="仿宋_GB2312" w:cs="仿宋_GB2312"/>
          <w:highlight w:val="none"/>
          <w:lang w:val="en-US" w:eastAsia="zh-CN"/>
        </w:rPr>
        <w:t>89.4</w:t>
      </w:r>
      <w:r>
        <w:rPr>
          <w:rFonts w:hint="eastAsia" w:ascii="仿宋_GB2312" w:hAnsi="仿宋_GB2312" w:cs="仿宋_GB2312"/>
          <w:highlight w:val="none"/>
        </w:rPr>
        <w:t>%。</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highlight w:val="none"/>
        </w:rPr>
        <w:t>4.项目效益指标权重为30分，得分为30分，得分率为100%。</w:t>
      </w:r>
      <w:r>
        <w:rPr>
          <w:rFonts w:hint="eastAsia" w:ascii="仿宋_GB2312" w:hAnsi="仿宋_GB2312" w:cs="仿宋_GB2312"/>
          <w:color w:val="auto"/>
          <w:highlight w:val="none"/>
        </w:rPr>
        <w:t>具体打分情况详见：附件1综合评分表。</w:t>
      </w:r>
    </w:p>
    <w:p>
      <w:pPr>
        <w:pStyle w:val="32"/>
        <w:ind w:firstLine="562"/>
        <w:jc w:val="center"/>
        <w:rPr>
          <w:b/>
          <w:bCs/>
          <w:color w:val="auto"/>
          <w:highlight w:val="none"/>
        </w:rPr>
      </w:pPr>
      <w:bookmarkStart w:id="99" w:name="_Toc12641_WPSOffice_Level2"/>
      <w:bookmarkStart w:id="100" w:name="_Toc25446_WPSOffice_Level2"/>
      <w:bookmarkStart w:id="101" w:name="_Toc13636_WPSOffice_Level2"/>
      <w:r>
        <w:rPr>
          <w:rFonts w:hint="eastAsia"/>
          <w:b/>
          <w:bCs/>
          <w:color w:val="auto"/>
          <w:highlight w:val="none"/>
        </w:rPr>
        <w:t>项目绩效评价评分情况表</w:t>
      </w:r>
      <w:bookmarkEnd w:id="99"/>
      <w:bookmarkEnd w:id="100"/>
      <w:bookmarkEnd w:id="101"/>
    </w:p>
    <w:tbl>
      <w:tblPr>
        <w:tblStyle w:val="26"/>
        <w:tblW w:w="8309" w:type="dxa"/>
        <w:jc w:val="center"/>
        <w:tblInd w:w="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1382"/>
        <w:gridCol w:w="1382"/>
        <w:gridCol w:w="1382"/>
        <w:gridCol w:w="1382"/>
        <w:gridCol w:w="1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tblHeader/>
          <w:jc w:val="center"/>
        </w:trPr>
        <w:tc>
          <w:tcPr>
            <w:tcW w:w="1323"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指  标</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A.项目决策</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B.项目过程</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C.项目产出</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D.项目效益</w:t>
            </w:r>
          </w:p>
        </w:tc>
        <w:tc>
          <w:tcPr>
            <w:tcW w:w="1458"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合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323" w:type="dxa"/>
            <w:vAlign w:val="center"/>
          </w:tcPr>
          <w:p>
            <w:pPr>
              <w:pStyle w:val="57"/>
              <w:spacing w:line="520" w:lineRule="exact"/>
              <w:ind w:firstLine="0" w:firstLineChars="0"/>
              <w:rPr>
                <w:rFonts w:ascii="仿宋_GB2312" w:cs="Times New Roman"/>
                <w:b w:val="0"/>
                <w:sz w:val="21"/>
                <w:szCs w:val="21"/>
                <w:highlight w:val="none"/>
              </w:rPr>
            </w:pPr>
            <w:r>
              <w:rPr>
                <w:rFonts w:hint="eastAsia" w:ascii="仿宋_GB2312" w:cs="Times New Roman"/>
                <w:b w:val="0"/>
                <w:sz w:val="21"/>
                <w:szCs w:val="21"/>
                <w:highlight w:val="none"/>
              </w:rPr>
              <w:t>权  重</w:t>
            </w:r>
          </w:p>
        </w:tc>
        <w:tc>
          <w:tcPr>
            <w:tcW w:w="1382" w:type="dxa"/>
            <w:vAlign w:val="center"/>
          </w:tcPr>
          <w:p>
            <w:pPr>
              <w:pStyle w:val="57"/>
              <w:spacing w:line="520" w:lineRule="exact"/>
              <w:ind w:firstLine="420"/>
              <w:jc w:val="right"/>
              <w:rPr>
                <w:rFonts w:ascii="仿宋_GB2312" w:cs="Times New Roman"/>
                <w:b w:val="0"/>
                <w:sz w:val="21"/>
                <w:szCs w:val="21"/>
                <w:highlight w:val="none"/>
              </w:rPr>
            </w:pPr>
            <w:r>
              <w:rPr>
                <w:rFonts w:hint="eastAsia" w:ascii="仿宋_GB2312" w:cs="Times New Roman"/>
                <w:b w:val="0"/>
                <w:sz w:val="21"/>
                <w:szCs w:val="21"/>
                <w:highlight w:val="none"/>
              </w:rPr>
              <w:t>20.00</w:t>
            </w:r>
          </w:p>
        </w:tc>
        <w:tc>
          <w:tcPr>
            <w:tcW w:w="1382" w:type="dxa"/>
            <w:vAlign w:val="center"/>
          </w:tcPr>
          <w:p>
            <w:pPr>
              <w:pStyle w:val="57"/>
              <w:spacing w:line="520" w:lineRule="exact"/>
              <w:ind w:firstLine="420"/>
              <w:jc w:val="right"/>
              <w:rPr>
                <w:rFonts w:ascii="仿宋_GB2312" w:cs="Times New Roman"/>
                <w:b w:val="0"/>
                <w:sz w:val="21"/>
                <w:szCs w:val="21"/>
                <w:highlight w:val="none"/>
              </w:rPr>
            </w:pPr>
            <w:r>
              <w:rPr>
                <w:rFonts w:hint="eastAsia" w:ascii="仿宋_GB2312" w:cs="Times New Roman"/>
                <w:b w:val="0"/>
                <w:sz w:val="21"/>
                <w:szCs w:val="21"/>
                <w:highlight w:val="none"/>
                <w:lang w:val="en-US" w:eastAsia="zh-CN"/>
              </w:rPr>
              <w:t>15</w:t>
            </w:r>
            <w:r>
              <w:rPr>
                <w:rFonts w:hint="eastAsia" w:ascii="仿宋_GB2312" w:cs="Times New Roman"/>
                <w:b w:val="0"/>
                <w:sz w:val="21"/>
                <w:szCs w:val="21"/>
                <w:highlight w:val="none"/>
              </w:rPr>
              <w:t>.00</w:t>
            </w:r>
          </w:p>
        </w:tc>
        <w:tc>
          <w:tcPr>
            <w:tcW w:w="1382" w:type="dxa"/>
            <w:vAlign w:val="center"/>
          </w:tcPr>
          <w:p>
            <w:pPr>
              <w:pStyle w:val="57"/>
              <w:spacing w:line="520" w:lineRule="exact"/>
              <w:ind w:firstLine="420"/>
              <w:jc w:val="right"/>
              <w:rPr>
                <w:rFonts w:ascii="仿宋_GB2312" w:cs="Times New Roman"/>
                <w:b w:val="0"/>
                <w:sz w:val="21"/>
                <w:szCs w:val="21"/>
                <w:highlight w:val="none"/>
              </w:rPr>
            </w:pPr>
            <w:r>
              <w:rPr>
                <w:rFonts w:hint="eastAsia" w:ascii="仿宋_GB2312" w:cs="Times New Roman"/>
                <w:b w:val="0"/>
                <w:sz w:val="21"/>
                <w:szCs w:val="21"/>
                <w:highlight w:val="none"/>
              </w:rPr>
              <w:t>3</w:t>
            </w:r>
            <w:r>
              <w:rPr>
                <w:rFonts w:hint="eastAsia" w:ascii="仿宋_GB2312" w:cs="Times New Roman"/>
                <w:b w:val="0"/>
                <w:sz w:val="21"/>
                <w:szCs w:val="21"/>
                <w:highlight w:val="none"/>
                <w:lang w:val="en-US" w:eastAsia="zh-CN"/>
              </w:rPr>
              <w:t>5</w:t>
            </w:r>
            <w:r>
              <w:rPr>
                <w:rFonts w:hint="eastAsia" w:ascii="仿宋_GB2312" w:cs="Times New Roman"/>
                <w:b w:val="0"/>
                <w:sz w:val="21"/>
                <w:szCs w:val="21"/>
                <w:highlight w:val="none"/>
              </w:rPr>
              <w:t>.00</w:t>
            </w:r>
          </w:p>
        </w:tc>
        <w:tc>
          <w:tcPr>
            <w:tcW w:w="1382" w:type="dxa"/>
          </w:tcPr>
          <w:p>
            <w:pPr>
              <w:pStyle w:val="57"/>
              <w:spacing w:line="520" w:lineRule="exact"/>
              <w:ind w:firstLine="420"/>
              <w:jc w:val="right"/>
              <w:rPr>
                <w:rFonts w:ascii="仿宋_GB2312" w:cs="Times New Roman"/>
                <w:b w:val="0"/>
                <w:sz w:val="21"/>
                <w:szCs w:val="21"/>
                <w:highlight w:val="none"/>
              </w:rPr>
            </w:pPr>
            <w:r>
              <w:rPr>
                <w:rFonts w:hint="eastAsia" w:ascii="仿宋_GB2312" w:cs="Times New Roman"/>
                <w:b w:val="0"/>
                <w:sz w:val="21"/>
                <w:szCs w:val="21"/>
                <w:highlight w:val="none"/>
              </w:rPr>
              <w:t>30.00</w:t>
            </w:r>
          </w:p>
        </w:tc>
        <w:tc>
          <w:tcPr>
            <w:tcW w:w="1458" w:type="dxa"/>
            <w:vAlign w:val="center"/>
          </w:tcPr>
          <w:p>
            <w:pPr>
              <w:pStyle w:val="57"/>
              <w:spacing w:line="520" w:lineRule="exact"/>
              <w:ind w:firstLine="420"/>
              <w:jc w:val="right"/>
              <w:rPr>
                <w:rFonts w:ascii="仿宋_GB2312" w:cs="Times New Roman"/>
                <w:b w:val="0"/>
                <w:sz w:val="21"/>
                <w:szCs w:val="21"/>
                <w:highlight w:val="none"/>
              </w:rPr>
            </w:pPr>
            <w:r>
              <w:rPr>
                <w:rFonts w:hint="eastAsia" w:ascii="仿宋_GB2312" w:cs="Times New Roman"/>
                <w:b w:val="0"/>
                <w:sz w:val="21"/>
                <w:szCs w:val="21"/>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323" w:type="dxa"/>
            <w:vAlign w:val="center"/>
          </w:tcPr>
          <w:p>
            <w:pPr>
              <w:pStyle w:val="57"/>
              <w:spacing w:line="520" w:lineRule="exact"/>
              <w:ind w:firstLine="0" w:firstLineChars="0"/>
              <w:rPr>
                <w:rFonts w:hint="eastAsia" w:ascii="仿宋_GB2312" w:eastAsia="仿宋_GB2312" w:cs="Times New Roman"/>
                <w:b w:val="0"/>
                <w:sz w:val="21"/>
                <w:szCs w:val="21"/>
                <w:highlight w:val="none"/>
                <w:lang w:eastAsia="zh-CN"/>
              </w:rPr>
            </w:pPr>
            <w:r>
              <w:rPr>
                <w:rFonts w:hint="eastAsia" w:ascii="仿宋_GB2312" w:cs="Times New Roman"/>
                <w:b w:val="0"/>
                <w:sz w:val="21"/>
                <w:szCs w:val="21"/>
                <w:highlight w:val="none"/>
                <w:lang w:val="en-US" w:eastAsia="zh-CN"/>
              </w:rPr>
              <w:t>得</w:t>
            </w:r>
            <w:r>
              <w:rPr>
                <w:rFonts w:hint="eastAsia" w:ascii="仿宋_GB2312" w:cs="Times New Roman"/>
                <w:b w:val="0"/>
                <w:sz w:val="21"/>
                <w:szCs w:val="21"/>
                <w:highlight w:val="none"/>
              </w:rPr>
              <w:t xml:space="preserve">  </w:t>
            </w:r>
            <w:r>
              <w:rPr>
                <w:rFonts w:hint="eastAsia" w:ascii="仿宋_GB2312" w:cs="Times New Roman"/>
                <w:b w:val="0"/>
                <w:sz w:val="21"/>
                <w:szCs w:val="21"/>
                <w:highlight w:val="none"/>
                <w:lang w:val="en-US" w:eastAsia="zh-CN"/>
              </w:rPr>
              <w:t>分</w:t>
            </w:r>
          </w:p>
        </w:tc>
        <w:tc>
          <w:tcPr>
            <w:tcW w:w="1382" w:type="dxa"/>
            <w:vAlign w:val="center"/>
          </w:tcPr>
          <w:p>
            <w:pPr>
              <w:pStyle w:val="57"/>
              <w:spacing w:line="520" w:lineRule="exact"/>
              <w:ind w:firstLine="420"/>
              <w:jc w:val="right"/>
              <w:rPr>
                <w:rFonts w:ascii="仿宋_GB2312" w:cs="Times New Roman"/>
                <w:b w:val="0"/>
                <w:sz w:val="21"/>
                <w:szCs w:val="21"/>
                <w:highlight w:val="none"/>
              </w:rPr>
            </w:pPr>
            <w:r>
              <w:rPr>
                <w:rFonts w:hint="eastAsia" w:ascii="仿宋_GB2312" w:cs="Times New Roman"/>
                <w:b w:val="0"/>
                <w:sz w:val="21"/>
                <w:szCs w:val="21"/>
                <w:highlight w:val="none"/>
              </w:rPr>
              <w:t>20.00</w:t>
            </w:r>
          </w:p>
        </w:tc>
        <w:tc>
          <w:tcPr>
            <w:tcW w:w="1382" w:type="dxa"/>
            <w:vAlign w:val="center"/>
          </w:tcPr>
          <w:p>
            <w:pPr>
              <w:pStyle w:val="57"/>
              <w:spacing w:line="520" w:lineRule="exact"/>
              <w:ind w:firstLine="420"/>
              <w:jc w:val="right"/>
              <w:rPr>
                <w:rFonts w:hint="default" w:ascii="仿宋_GB2312" w:cs="Times New Roman"/>
                <w:b w:val="0"/>
                <w:sz w:val="21"/>
                <w:szCs w:val="21"/>
                <w:highlight w:val="none"/>
                <w:lang w:val="en-US"/>
              </w:rPr>
            </w:pPr>
            <w:r>
              <w:rPr>
                <w:rFonts w:hint="eastAsia" w:ascii="仿宋_GB2312" w:cs="Times New Roman"/>
                <w:b w:val="0"/>
                <w:sz w:val="21"/>
                <w:szCs w:val="21"/>
                <w:highlight w:val="none"/>
                <w:lang w:val="en-US" w:eastAsia="zh-CN"/>
              </w:rPr>
              <w:t>14.14</w:t>
            </w:r>
          </w:p>
        </w:tc>
        <w:tc>
          <w:tcPr>
            <w:tcW w:w="1382" w:type="dxa"/>
            <w:vAlign w:val="center"/>
          </w:tcPr>
          <w:p>
            <w:pPr>
              <w:pStyle w:val="57"/>
              <w:spacing w:line="520" w:lineRule="exact"/>
              <w:ind w:firstLine="420"/>
              <w:jc w:val="right"/>
              <w:rPr>
                <w:rFonts w:hint="default" w:ascii="仿宋_GB2312" w:eastAsia="仿宋_GB2312" w:cs="Times New Roman"/>
                <w:b w:val="0"/>
                <w:sz w:val="21"/>
                <w:szCs w:val="21"/>
                <w:highlight w:val="none"/>
                <w:lang w:val="en-US" w:eastAsia="zh-CN"/>
              </w:rPr>
            </w:pPr>
            <w:r>
              <w:rPr>
                <w:rFonts w:hint="eastAsia" w:ascii="仿宋_GB2312" w:cs="Times New Roman"/>
                <w:b w:val="0"/>
                <w:sz w:val="21"/>
                <w:szCs w:val="21"/>
                <w:highlight w:val="none"/>
                <w:lang w:val="en-US" w:eastAsia="zh-CN"/>
              </w:rPr>
              <w:t>31.29</w:t>
            </w:r>
          </w:p>
        </w:tc>
        <w:tc>
          <w:tcPr>
            <w:tcW w:w="1382" w:type="dxa"/>
          </w:tcPr>
          <w:p>
            <w:pPr>
              <w:pStyle w:val="57"/>
              <w:spacing w:line="520" w:lineRule="exact"/>
              <w:ind w:firstLine="420"/>
              <w:jc w:val="right"/>
              <w:rPr>
                <w:rFonts w:ascii="仿宋_GB2312" w:cs="Times New Roman"/>
                <w:b w:val="0"/>
                <w:sz w:val="21"/>
                <w:szCs w:val="21"/>
                <w:highlight w:val="none"/>
              </w:rPr>
            </w:pPr>
            <w:r>
              <w:rPr>
                <w:rFonts w:hint="eastAsia" w:ascii="仿宋_GB2312" w:cs="Times New Roman"/>
                <w:b w:val="0"/>
                <w:sz w:val="21"/>
                <w:szCs w:val="21"/>
                <w:highlight w:val="none"/>
              </w:rPr>
              <w:t>30.00</w:t>
            </w:r>
          </w:p>
        </w:tc>
        <w:tc>
          <w:tcPr>
            <w:tcW w:w="1458" w:type="dxa"/>
            <w:vAlign w:val="center"/>
          </w:tcPr>
          <w:p>
            <w:pPr>
              <w:pStyle w:val="57"/>
              <w:spacing w:line="520" w:lineRule="exact"/>
              <w:ind w:firstLine="420"/>
              <w:jc w:val="right"/>
              <w:rPr>
                <w:rFonts w:hint="default" w:ascii="仿宋_GB2312" w:eastAsia="仿宋_GB2312" w:cs="Times New Roman"/>
                <w:b w:val="0"/>
                <w:sz w:val="21"/>
                <w:szCs w:val="21"/>
                <w:highlight w:val="none"/>
                <w:lang w:val="en-US" w:eastAsia="zh-CN"/>
              </w:rPr>
            </w:pPr>
            <w:r>
              <w:rPr>
                <w:rFonts w:hint="eastAsia" w:ascii="仿宋_GB2312" w:cs="Times New Roman"/>
                <w:b w:val="0"/>
                <w:sz w:val="21"/>
                <w:szCs w:val="21"/>
                <w:highlight w:val="none"/>
                <w:lang w:val="en-US" w:eastAsia="zh-CN"/>
              </w:rPr>
              <w:t>95.43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323" w:type="dxa"/>
            <w:vAlign w:val="center"/>
          </w:tcPr>
          <w:p>
            <w:pPr>
              <w:pStyle w:val="57"/>
              <w:spacing w:line="520" w:lineRule="exact"/>
              <w:ind w:firstLine="0" w:firstLineChars="0"/>
              <w:rPr>
                <w:rFonts w:ascii="仿宋_GB2312" w:cs="Times New Roman"/>
                <w:bCs/>
                <w:sz w:val="21"/>
                <w:szCs w:val="21"/>
                <w:highlight w:val="none"/>
              </w:rPr>
            </w:pPr>
            <w:r>
              <w:rPr>
                <w:rFonts w:hint="eastAsia" w:ascii="仿宋_GB2312" w:cs="Times New Roman"/>
                <w:bCs/>
                <w:sz w:val="21"/>
                <w:szCs w:val="21"/>
                <w:highlight w:val="none"/>
              </w:rPr>
              <w:t>得分率</w:t>
            </w:r>
          </w:p>
        </w:tc>
        <w:tc>
          <w:tcPr>
            <w:tcW w:w="1382" w:type="dxa"/>
            <w:vAlign w:val="center"/>
          </w:tcPr>
          <w:p>
            <w:pPr>
              <w:pStyle w:val="57"/>
              <w:spacing w:line="520" w:lineRule="exact"/>
              <w:ind w:firstLine="422"/>
              <w:jc w:val="right"/>
              <w:rPr>
                <w:rFonts w:ascii="仿宋_GB2312" w:cs="Times New Roman"/>
                <w:bCs/>
                <w:sz w:val="21"/>
                <w:szCs w:val="21"/>
                <w:highlight w:val="none"/>
              </w:rPr>
            </w:pPr>
            <w:r>
              <w:rPr>
                <w:rFonts w:hint="eastAsia" w:ascii="仿宋_GB2312" w:cs="Times New Roman"/>
                <w:bCs/>
                <w:sz w:val="21"/>
                <w:szCs w:val="21"/>
                <w:highlight w:val="none"/>
              </w:rPr>
              <w:t>100.00</w:t>
            </w:r>
            <w:r>
              <w:rPr>
                <w:rFonts w:ascii="仿宋_GB2312" w:cs="Times New Roman"/>
                <w:bCs/>
                <w:sz w:val="21"/>
                <w:szCs w:val="21"/>
                <w:highlight w:val="none"/>
              </w:rPr>
              <w:t>%</w:t>
            </w:r>
          </w:p>
        </w:tc>
        <w:tc>
          <w:tcPr>
            <w:tcW w:w="1382" w:type="dxa"/>
            <w:vAlign w:val="center"/>
          </w:tcPr>
          <w:p>
            <w:pPr>
              <w:pStyle w:val="57"/>
              <w:spacing w:line="520" w:lineRule="exact"/>
              <w:ind w:firstLine="422"/>
              <w:jc w:val="right"/>
              <w:rPr>
                <w:rFonts w:ascii="仿宋_GB2312" w:cs="Times New Roman"/>
                <w:bCs/>
                <w:sz w:val="21"/>
                <w:szCs w:val="21"/>
                <w:highlight w:val="none"/>
              </w:rPr>
            </w:pPr>
            <w:r>
              <w:rPr>
                <w:rFonts w:hint="eastAsia" w:ascii="仿宋_GB2312" w:cs="Times New Roman"/>
                <w:bCs/>
                <w:sz w:val="21"/>
                <w:szCs w:val="21"/>
                <w:highlight w:val="none"/>
                <w:lang w:val="en-US" w:eastAsia="zh-CN"/>
              </w:rPr>
              <w:t>94.3</w:t>
            </w:r>
            <w:r>
              <w:rPr>
                <w:rFonts w:ascii="仿宋_GB2312" w:cs="Times New Roman"/>
                <w:bCs/>
                <w:sz w:val="21"/>
                <w:szCs w:val="21"/>
                <w:highlight w:val="none"/>
              </w:rPr>
              <w:t>%</w:t>
            </w:r>
          </w:p>
        </w:tc>
        <w:tc>
          <w:tcPr>
            <w:tcW w:w="1382" w:type="dxa"/>
            <w:vAlign w:val="center"/>
          </w:tcPr>
          <w:p>
            <w:pPr>
              <w:pStyle w:val="57"/>
              <w:spacing w:line="520" w:lineRule="exact"/>
              <w:ind w:firstLine="422"/>
              <w:jc w:val="right"/>
              <w:rPr>
                <w:rFonts w:ascii="仿宋_GB2312" w:cs="Times New Roman"/>
                <w:bCs/>
                <w:sz w:val="21"/>
                <w:szCs w:val="21"/>
                <w:highlight w:val="none"/>
              </w:rPr>
            </w:pPr>
            <w:r>
              <w:rPr>
                <w:rFonts w:hint="eastAsia" w:ascii="仿宋_GB2312" w:cs="Times New Roman"/>
                <w:bCs/>
                <w:sz w:val="21"/>
                <w:szCs w:val="21"/>
                <w:highlight w:val="none"/>
                <w:lang w:val="en-US" w:eastAsia="zh-CN"/>
              </w:rPr>
              <w:t>89.4</w:t>
            </w:r>
            <w:r>
              <w:rPr>
                <w:rFonts w:ascii="仿宋_GB2312" w:cs="Times New Roman"/>
                <w:bCs/>
                <w:sz w:val="21"/>
                <w:szCs w:val="21"/>
                <w:highlight w:val="none"/>
              </w:rPr>
              <w:t>%</w:t>
            </w:r>
          </w:p>
        </w:tc>
        <w:tc>
          <w:tcPr>
            <w:tcW w:w="1382" w:type="dxa"/>
          </w:tcPr>
          <w:p>
            <w:pPr>
              <w:pStyle w:val="57"/>
              <w:spacing w:line="520" w:lineRule="exact"/>
              <w:ind w:firstLine="422"/>
              <w:jc w:val="right"/>
              <w:rPr>
                <w:rFonts w:ascii="仿宋_GB2312" w:cs="Times New Roman"/>
                <w:bCs/>
                <w:sz w:val="21"/>
                <w:szCs w:val="21"/>
                <w:highlight w:val="none"/>
              </w:rPr>
            </w:pPr>
            <w:r>
              <w:rPr>
                <w:rFonts w:hint="eastAsia" w:ascii="仿宋_GB2312" w:cs="Times New Roman"/>
                <w:bCs/>
                <w:sz w:val="21"/>
                <w:szCs w:val="21"/>
                <w:highlight w:val="none"/>
              </w:rPr>
              <w:t>100.00</w:t>
            </w:r>
            <w:r>
              <w:rPr>
                <w:rFonts w:ascii="仿宋_GB2312" w:cs="Times New Roman"/>
                <w:bCs/>
                <w:sz w:val="21"/>
                <w:szCs w:val="21"/>
                <w:highlight w:val="none"/>
              </w:rPr>
              <w:t>%</w:t>
            </w:r>
          </w:p>
        </w:tc>
        <w:tc>
          <w:tcPr>
            <w:tcW w:w="1458" w:type="dxa"/>
            <w:vAlign w:val="center"/>
          </w:tcPr>
          <w:p>
            <w:pPr>
              <w:pStyle w:val="57"/>
              <w:spacing w:line="520" w:lineRule="exact"/>
              <w:ind w:firstLine="422"/>
              <w:jc w:val="right"/>
              <w:rPr>
                <w:rFonts w:hint="default" w:ascii="仿宋_GB2312" w:cs="Times New Roman"/>
                <w:bCs/>
                <w:sz w:val="21"/>
                <w:szCs w:val="21"/>
                <w:highlight w:val="none"/>
                <w:lang w:val="en-US"/>
              </w:rPr>
            </w:pPr>
            <w:r>
              <w:rPr>
                <w:rFonts w:hint="eastAsia" w:ascii="仿宋_GB2312" w:cs="Times New Roman"/>
                <w:bCs/>
                <w:sz w:val="21"/>
                <w:szCs w:val="21"/>
                <w:highlight w:val="none"/>
                <w:lang w:val="en-US" w:eastAsia="zh-CN"/>
              </w:rPr>
              <w:t>95.4%</w:t>
            </w:r>
          </w:p>
        </w:tc>
      </w:tr>
    </w:tbl>
    <w:p>
      <w:pPr>
        <w:pStyle w:val="31"/>
        <w:keepNext w:val="0"/>
        <w:keepLines w:val="0"/>
        <w:spacing w:line="520" w:lineRule="exact"/>
        <w:ind w:firstLine="640" w:firstLineChars="200"/>
        <w:jc w:val="both"/>
        <w:rPr>
          <w:highlight w:val="none"/>
        </w:rPr>
      </w:pPr>
      <w:bookmarkStart w:id="102" w:name="_Toc19284"/>
      <w:bookmarkStart w:id="103" w:name="_Toc4090"/>
      <w:bookmarkStart w:id="104" w:name="_Toc31634"/>
      <w:bookmarkStart w:id="105" w:name="_Toc17696_WPSOffice_Level1"/>
      <w:bookmarkStart w:id="106" w:name="_Toc21991"/>
      <w:bookmarkStart w:id="107" w:name="_Toc127054593"/>
      <w:bookmarkStart w:id="108" w:name="_Toc14202_WPSOffice_Level1"/>
      <w:bookmarkStart w:id="109" w:name="_Toc27609"/>
      <w:bookmarkStart w:id="110" w:name="_Toc23593"/>
      <w:bookmarkStart w:id="111" w:name="_Toc10259_WPSOffice_Level1"/>
      <w:r>
        <w:rPr>
          <w:rFonts w:hint="eastAsia"/>
          <w:highlight w:val="none"/>
        </w:rPr>
        <w:t>四、绩效评价指标分析</w:t>
      </w:r>
      <w:bookmarkEnd w:id="102"/>
      <w:bookmarkEnd w:id="103"/>
      <w:bookmarkEnd w:id="104"/>
      <w:bookmarkEnd w:id="105"/>
      <w:bookmarkEnd w:id="106"/>
      <w:bookmarkEnd w:id="107"/>
      <w:bookmarkEnd w:id="108"/>
      <w:bookmarkEnd w:id="109"/>
      <w:bookmarkEnd w:id="110"/>
      <w:bookmarkEnd w:id="111"/>
    </w:p>
    <w:p>
      <w:pPr>
        <w:pStyle w:val="52"/>
        <w:keepNext w:val="0"/>
        <w:keepLines w:val="0"/>
        <w:spacing w:line="520" w:lineRule="exact"/>
        <w:ind w:left="560"/>
        <w:jc w:val="both"/>
        <w:rPr>
          <w:rFonts w:ascii="仿宋_GB2312" w:hAnsi="仿宋_GB2312" w:cs="仿宋_GB2312"/>
          <w:highlight w:val="none"/>
        </w:rPr>
      </w:pPr>
      <w:bookmarkStart w:id="112" w:name="_Toc30064_WPSOffice_Level2"/>
      <w:bookmarkStart w:id="113" w:name="_Toc17002"/>
      <w:bookmarkStart w:id="114" w:name="_Toc13717_WPSOffice_Level2"/>
      <w:bookmarkStart w:id="115" w:name="_Toc127054594"/>
      <w:bookmarkStart w:id="116" w:name="_Toc12537"/>
      <w:bookmarkStart w:id="117" w:name="_Toc23212"/>
      <w:bookmarkStart w:id="118" w:name="_Toc23471_WPSOffice_Level2"/>
      <w:bookmarkStart w:id="119" w:name="_Toc24898"/>
      <w:bookmarkStart w:id="120" w:name="_Toc1351"/>
      <w:bookmarkStart w:id="121" w:name="_Toc15622"/>
      <w:r>
        <w:rPr>
          <w:rFonts w:hint="eastAsia" w:ascii="仿宋_GB2312" w:hAnsi="仿宋_GB2312" w:cs="仿宋_GB2312"/>
          <w:highlight w:val="none"/>
        </w:rPr>
        <w:t>（一）项目决策情况</w:t>
      </w:r>
      <w:bookmarkEnd w:id="112"/>
      <w:bookmarkEnd w:id="113"/>
      <w:bookmarkEnd w:id="114"/>
      <w:bookmarkEnd w:id="115"/>
      <w:bookmarkEnd w:id="116"/>
      <w:bookmarkEnd w:id="117"/>
      <w:bookmarkEnd w:id="118"/>
      <w:bookmarkEnd w:id="119"/>
      <w:bookmarkEnd w:id="120"/>
      <w:bookmarkEnd w:id="121"/>
    </w:p>
    <w:p>
      <w:pPr>
        <w:pStyle w:val="32"/>
        <w:spacing w:line="520" w:lineRule="exact"/>
        <w:ind w:firstLine="560"/>
        <w:rPr>
          <w:rFonts w:ascii="仿宋_GB2312" w:hAnsi="仿宋_GB2312" w:cs="仿宋_GB2312"/>
        </w:rPr>
      </w:pPr>
      <w:r>
        <w:rPr>
          <w:rFonts w:hint="eastAsia" w:ascii="仿宋_GB2312" w:hAnsi="仿宋_GB2312" w:cs="仿宋_GB2312"/>
          <w:highlight w:val="none"/>
        </w:rPr>
        <w:t>决策类指标包括项目立项、绩效目标和资金投入三方面的内容，由6个三级指标构成，权重分值为20分，实际得分20分，得分率为</w:t>
      </w:r>
      <w:r>
        <w:rPr>
          <w:rFonts w:hint="eastAsia" w:ascii="仿宋_GB2312" w:hAnsi="仿宋_GB2312" w:cs="仿宋_GB2312"/>
        </w:rPr>
        <w:t>100%。</w:t>
      </w:r>
    </w:p>
    <w:p>
      <w:pPr>
        <w:pStyle w:val="32"/>
        <w:spacing w:line="520" w:lineRule="exact"/>
        <w:ind w:firstLine="562"/>
        <w:rPr>
          <w:rFonts w:ascii="仿宋_GB2312" w:hAnsi="仿宋_GB2312" w:cs="仿宋_GB2312"/>
          <w:b/>
          <w:bCs/>
        </w:rPr>
      </w:pPr>
      <w:bookmarkStart w:id="122" w:name="_Toc25023_WPSOffice_Level2"/>
      <w:r>
        <w:rPr>
          <w:rFonts w:hint="eastAsia" w:ascii="仿宋_GB2312" w:hAnsi="仿宋_GB2312" w:cs="仿宋_GB2312"/>
          <w:b/>
          <w:bCs/>
        </w:rPr>
        <w:t>1.项目立项</w:t>
      </w:r>
      <w:bookmarkEnd w:id="122"/>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rPr>
        <w:t>项目立项指标从立项依据充分性、立项程序规范性2个方面进行评价，</w:t>
      </w:r>
      <w:r>
        <w:rPr>
          <w:rFonts w:hint="eastAsia" w:ascii="仿宋_GB2312" w:hAnsi="仿宋_GB2312" w:cs="仿宋_GB2312"/>
          <w:color w:val="auto"/>
          <w:highlight w:val="none"/>
        </w:rPr>
        <w:t>权重分值8分，实际得分8分。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（1）立项依据充分性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该项目立项符合国家相关法律法规及发展政策，符合行业规划要求，结合单位的管理职责和履职效能组织实施，围绕单位的本年度工作重点和工作计划制定</w:t>
      </w:r>
      <w:r>
        <w:rPr>
          <w:rFonts w:hint="eastAsia" w:ascii="仿宋_GB2312" w:hAnsi="仿宋_GB2312" w:cs="仿宋_GB2312"/>
          <w:color w:val="auto"/>
          <w:highlight w:val="none"/>
          <w:lang w:val="en-US" w:eastAsia="zh-CN"/>
        </w:rPr>
        <w:t>资金</w:t>
      </w:r>
      <w:r>
        <w:rPr>
          <w:rFonts w:hint="eastAsia" w:ascii="仿宋_GB2312" w:hAnsi="仿宋_GB2312" w:cs="仿宋_GB2312"/>
          <w:color w:val="auto"/>
          <w:highlight w:val="none"/>
        </w:rPr>
        <w:t>预算，属于公共财政支持范围。本项目与部门内部其他相关项目不重复。部门发展规划及职能文件等归档完整。根据评分标准，该指标不扣分，实际得分5分。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（2）立项程序规范性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根据决算依据编制工作计划和</w:t>
      </w:r>
      <w:r>
        <w:rPr>
          <w:rFonts w:hint="eastAsia" w:ascii="仿宋_GB2312" w:hAnsi="仿宋_GB2312" w:cs="仿宋_GB2312"/>
          <w:color w:val="auto"/>
          <w:highlight w:val="none"/>
          <w:lang w:val="en-US" w:eastAsia="zh-CN"/>
        </w:rPr>
        <w:t>资金</w:t>
      </w:r>
      <w:r>
        <w:rPr>
          <w:rFonts w:hint="eastAsia" w:ascii="仿宋_GB2312" w:hAnsi="仿宋_GB2312" w:cs="仿宋_GB2312"/>
          <w:color w:val="auto"/>
          <w:highlight w:val="none"/>
        </w:rPr>
        <w:t>预算，经过与</w:t>
      </w:r>
      <w:r>
        <w:rPr>
          <w:rFonts w:hint="eastAsia" w:ascii="仿宋_GB2312" w:hAnsi="仿宋_GB2312" w:cs="仿宋_GB2312"/>
          <w:color w:val="auto"/>
          <w:highlight w:val="none"/>
        </w:rPr>
        <w:t>部门项目分管领导沟通、筛选确定</w:t>
      </w:r>
      <w:r>
        <w:rPr>
          <w:rFonts w:hint="eastAsia" w:ascii="仿宋_GB2312" w:hAnsi="仿宋_GB2312" w:cs="仿宋_GB2312"/>
          <w:color w:val="auto"/>
          <w:highlight w:val="none"/>
          <w:lang w:val="en-US" w:eastAsia="zh-CN"/>
        </w:rPr>
        <w:t>资金</w:t>
      </w:r>
      <w:r>
        <w:rPr>
          <w:rFonts w:hint="eastAsia" w:ascii="仿宋_GB2312" w:hAnsi="仿宋_GB2312" w:cs="仿宋_GB2312"/>
          <w:color w:val="auto"/>
          <w:highlight w:val="none"/>
        </w:rPr>
        <w:t>预算计划</w:t>
      </w:r>
      <w:r>
        <w:rPr>
          <w:rFonts w:hint="eastAsia" w:ascii="仿宋_GB2312" w:hAnsi="仿宋_GB2312" w:cs="仿宋_GB2312"/>
          <w:color w:val="auto"/>
          <w:highlight w:val="none"/>
        </w:rPr>
        <w:t>，确定最终预算方案。项目的审批文件、材料符合相关要求，项目事前经过必要的专家论证、评估及集体决策，保障了程序的规范性。根据评价标准，该指标不扣分，实际得分3分。</w:t>
      </w:r>
    </w:p>
    <w:p>
      <w:pPr>
        <w:pStyle w:val="32"/>
        <w:spacing w:line="520" w:lineRule="exact"/>
        <w:ind w:firstLine="562"/>
        <w:rPr>
          <w:rFonts w:ascii="仿宋_GB2312" w:hAnsi="仿宋_GB2312" w:cs="仿宋_GB2312"/>
          <w:b/>
          <w:bCs/>
          <w:color w:val="auto"/>
          <w:highlight w:val="none"/>
        </w:rPr>
      </w:pPr>
      <w:bookmarkStart w:id="123" w:name="_Toc20733_WPSOffice_Level2"/>
      <w:r>
        <w:rPr>
          <w:rFonts w:hint="eastAsia" w:ascii="仿宋_GB2312" w:hAnsi="仿宋_GB2312" w:cs="仿宋_GB2312"/>
          <w:b/>
          <w:bCs/>
          <w:color w:val="auto"/>
          <w:highlight w:val="none"/>
        </w:rPr>
        <w:t>2.绩效目标</w:t>
      </w:r>
      <w:bookmarkEnd w:id="123"/>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绩效目标指标从绩效目标合理性、绩效指标明确性2个方面进行评价，权重分值5分，实际得分5分。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（1）绩效目标合理性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（2）绩效指标明确性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项目设置了明确的预期产出效益和效果，将绩效目标细化分解为具体的绩效指标，绩效目标与项目目标任务数相对应，绩效目标设定的绩效指标清晰、细化、可衡量。根据评价标准，该指标不扣分，实际得分2分。</w:t>
      </w:r>
    </w:p>
    <w:p>
      <w:pPr>
        <w:pStyle w:val="32"/>
        <w:spacing w:line="520" w:lineRule="exact"/>
        <w:ind w:firstLine="562"/>
        <w:rPr>
          <w:rFonts w:ascii="仿宋_GB2312" w:hAnsi="仿宋_GB2312" w:cs="仿宋_GB2312"/>
          <w:b/>
          <w:bCs/>
          <w:color w:val="auto"/>
          <w:highlight w:val="none"/>
        </w:rPr>
      </w:pPr>
      <w:bookmarkStart w:id="124" w:name="_Toc32610_WPSOffice_Level2"/>
      <w:r>
        <w:rPr>
          <w:rFonts w:hint="eastAsia" w:ascii="仿宋_GB2312" w:hAnsi="仿宋_GB2312" w:cs="仿宋_GB2312"/>
          <w:b/>
          <w:bCs/>
          <w:color w:val="auto"/>
          <w:highlight w:val="none"/>
        </w:rPr>
        <w:t>3.资金投入</w:t>
      </w:r>
      <w:bookmarkEnd w:id="12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资金投入指标从预算编制科学性、资金分配合理性2个方面进行评价，权重分值7分，实际得分7分。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（1）预算编制科学性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预算编制经过科学论证，提供充分的测算依据佐证资料，</w:t>
      </w:r>
      <w:r>
        <w:rPr>
          <w:rFonts w:hint="eastAsia" w:ascii="仿宋_GB2312" w:hAnsi="仿宋_GB2312" w:cs="仿宋_GB2312"/>
          <w:color w:val="auto"/>
          <w:highlight w:val="none"/>
          <w:lang w:val="en-US" w:eastAsia="zh-CN"/>
        </w:rPr>
        <w:t>编制</w:t>
      </w:r>
      <w:r>
        <w:rPr>
          <w:rFonts w:hint="eastAsia" w:ascii="仿宋_GB2312" w:hAnsi="仿宋_GB2312" w:cs="仿宋_GB2312"/>
          <w:color w:val="auto"/>
          <w:highlight w:val="none"/>
        </w:rPr>
        <w:t>准确可靠的数据和信息</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确保</w:t>
      </w:r>
      <w:r>
        <w:rPr>
          <w:rFonts w:hint="eastAsia" w:ascii="仿宋_GB2312" w:hAnsi="仿宋_GB2312" w:cs="仿宋_GB2312"/>
          <w:color w:val="auto"/>
          <w:highlight w:val="none"/>
        </w:rPr>
        <w:t>预算内容与项目内容相匹配。项目投资额与工作任务相匹配。预算编制的程序规范、透明，确保预算的公正性和公平性</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根据评价标准，该指标不扣分，实际得分5分。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（2）资金分配合理性</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项目进行全面的评估和分析，确定各个环节和部门的资金需求，确保资金的使用与项目的进展和目标实现紧密相关。通过合理的资金分配，确保项目的顺利进行，避免资金短缺或浪费，提高项目的整体效益</w:t>
      </w:r>
      <w:r>
        <w:rPr>
          <w:rFonts w:hint="eastAsia" w:ascii="仿宋_GB2312" w:hAnsi="仿宋_GB2312" w:cs="仿宋_GB2312"/>
          <w:color w:val="auto"/>
          <w:highlight w:val="none"/>
          <w:lang w:eastAsia="zh-CN"/>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eastAsia="zh-CN"/>
        </w:rPr>
        <w:t>资金分配时，优先满足关键任务的资金需求，确保项目按照计划和时间表进行。</w:t>
      </w:r>
      <w:r>
        <w:rPr>
          <w:rFonts w:hint="eastAsia" w:ascii="仿宋_GB2312" w:hAnsi="仿宋_GB2312" w:cs="仿宋_GB2312"/>
          <w:color w:val="auto"/>
          <w:highlight w:val="none"/>
        </w:rPr>
        <w:t>资金分配额度与项目单位实际工作内容相适应，资金分配额度合理，资金分配依据充分。根据评价标准，该指标不扣分，实际得分2分。</w:t>
      </w:r>
    </w:p>
    <w:p>
      <w:pPr>
        <w:pStyle w:val="52"/>
        <w:keepNext w:val="0"/>
        <w:keepLines w:val="0"/>
        <w:spacing w:line="520" w:lineRule="exact"/>
        <w:ind w:left="560"/>
        <w:jc w:val="both"/>
        <w:rPr>
          <w:rFonts w:ascii="仿宋_GB2312" w:hAnsi="仿宋_GB2312" w:cs="仿宋_GB2312"/>
          <w:color w:val="auto"/>
          <w:highlight w:val="none"/>
        </w:rPr>
      </w:pPr>
      <w:bookmarkStart w:id="125" w:name="_Toc15035_WPSOffice_Level2"/>
      <w:bookmarkStart w:id="126" w:name="_Toc4615_WPSOffice_Level2"/>
      <w:bookmarkStart w:id="127" w:name="_Toc21518"/>
      <w:bookmarkStart w:id="128" w:name="_Toc30208"/>
      <w:bookmarkStart w:id="129" w:name="_Toc127054595"/>
      <w:bookmarkStart w:id="130" w:name="_Toc30315"/>
      <w:bookmarkStart w:id="131" w:name="_Toc18771"/>
      <w:bookmarkStart w:id="132" w:name="_Toc18592"/>
      <w:bookmarkStart w:id="133" w:name="_Toc804"/>
      <w:bookmarkStart w:id="134" w:name="_Toc22525_WPSOffice_Level2"/>
      <w:r>
        <w:rPr>
          <w:rFonts w:hint="eastAsia" w:ascii="仿宋_GB2312" w:hAnsi="仿宋_GB2312" w:cs="仿宋_GB2312"/>
          <w:color w:val="auto"/>
          <w:highlight w:val="none"/>
        </w:rPr>
        <w:t>（二）项目过程情况</w:t>
      </w:r>
      <w:bookmarkEnd w:id="125"/>
      <w:bookmarkEnd w:id="126"/>
      <w:bookmarkEnd w:id="127"/>
      <w:bookmarkEnd w:id="128"/>
      <w:bookmarkEnd w:id="129"/>
      <w:bookmarkEnd w:id="130"/>
      <w:bookmarkEnd w:id="131"/>
      <w:bookmarkEnd w:id="132"/>
      <w:bookmarkEnd w:id="133"/>
      <w:bookmarkEnd w:id="13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过程类指标包括资金管理和组织实施两方面的内容，由</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个三级指标构成，权重分值为</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14.14</w:t>
      </w:r>
      <w:r>
        <w:rPr>
          <w:rFonts w:hint="eastAsia" w:ascii="仿宋_GB2312" w:hAnsi="仿宋_GB2312" w:cs="仿宋_GB2312"/>
          <w:color w:val="auto"/>
          <w:highlight w:val="none"/>
        </w:rPr>
        <w:t>分，得分率为</w:t>
      </w:r>
      <w:r>
        <w:rPr>
          <w:rFonts w:hint="eastAsia" w:ascii="仿宋_GB2312" w:hAnsi="仿宋_GB2312" w:cs="仿宋_GB2312"/>
          <w:color w:val="auto"/>
          <w:highlight w:val="none"/>
          <w:lang w:val="en-US" w:eastAsia="zh-CN"/>
        </w:rPr>
        <w:t>94.3</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rPr>
      </w:pPr>
      <w:r>
        <w:rPr>
          <w:rFonts w:hint="eastAsia" w:ascii="仿宋_GB2312" w:hAnsi="仿宋_GB2312" w:cs="仿宋_GB2312"/>
          <w:b/>
          <w:bCs/>
        </w:rPr>
        <w:t>1.资金管理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资金管理指标从资金到位率、预算执行率、资金使用合规性3个方面进行评价，权重分值</w:t>
      </w:r>
      <w:r>
        <w:rPr>
          <w:rFonts w:hint="eastAsia" w:ascii="仿宋_GB2312" w:hAnsi="仿宋_GB2312" w:cs="仿宋_GB2312"/>
          <w:color w:val="auto"/>
          <w:highlight w:val="none"/>
          <w:lang w:val="en-US" w:eastAsia="zh-CN"/>
        </w:rPr>
        <w:t>8</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7.14</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（1）资金到位率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财政资金及时足额到位，牵头单位能够及时足额按照合同约定将专项资金拨付给联合体单位，预算资金按计划进度执行。根据评分标准，该指标不扣分，得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（2）预算执行率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预算编制较为详细，项目资金支出总体能够按照预算执行，预算执行率为</w:t>
      </w:r>
      <w:r>
        <w:rPr>
          <w:rFonts w:hint="eastAsia" w:ascii="仿宋_GB2312" w:hAnsi="仿宋_GB2312" w:cs="仿宋_GB2312"/>
          <w:color w:val="auto"/>
          <w:highlight w:val="none"/>
          <w:lang w:val="en-US" w:eastAsia="zh-CN"/>
        </w:rPr>
        <w:t>71.4</w:t>
      </w:r>
      <w:r>
        <w:rPr>
          <w:rFonts w:hint="eastAsia" w:ascii="仿宋_GB2312" w:hAnsi="仿宋_GB2312" w:cs="仿宋_GB2312"/>
          <w:color w:val="auto"/>
          <w:highlight w:val="none"/>
        </w:rPr>
        <w:t>%。根据评分标准，该指标扣</w:t>
      </w:r>
      <w:r>
        <w:rPr>
          <w:rFonts w:hint="eastAsia" w:ascii="仿宋_GB2312" w:hAnsi="仿宋_GB2312" w:cs="仿宋_GB2312"/>
          <w:color w:val="auto"/>
          <w:highlight w:val="none"/>
          <w:lang w:val="en-US" w:eastAsia="zh-CN"/>
        </w:rPr>
        <w:t>0.86</w:t>
      </w:r>
      <w:r>
        <w:rPr>
          <w:rFonts w:hint="eastAsia" w:ascii="仿宋_GB2312" w:hAnsi="仿宋_GB2312" w:cs="仿宋_GB2312"/>
          <w:color w:val="auto"/>
          <w:highlight w:val="none"/>
        </w:rPr>
        <w:t>分，得</w:t>
      </w:r>
      <w:r>
        <w:rPr>
          <w:rFonts w:hint="eastAsia" w:ascii="仿宋_GB2312" w:hAnsi="仿宋_GB2312" w:cs="仿宋_GB2312"/>
          <w:color w:val="auto"/>
          <w:highlight w:val="none"/>
          <w:lang w:val="en-US" w:eastAsia="zh-CN"/>
        </w:rPr>
        <w:t>2.14</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（3）资金使用合规性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制定了相关的制度和管理规定，对项目</w:t>
      </w:r>
      <w:r>
        <w:rPr>
          <w:rFonts w:hint="eastAsia" w:ascii="仿宋_GB2312" w:hAnsi="仿宋_GB2312" w:cs="仿宋_GB2312"/>
          <w:color w:val="auto"/>
          <w:highlight w:val="none"/>
          <w:lang w:val="en-US" w:eastAsia="zh-CN"/>
        </w:rPr>
        <w:t>资金</w:t>
      </w:r>
      <w:r>
        <w:rPr>
          <w:rFonts w:hint="eastAsia" w:ascii="仿宋_GB2312" w:hAnsi="仿宋_GB2312" w:cs="仿宋_GB2312"/>
          <w:color w:val="auto"/>
          <w:highlight w:val="none"/>
        </w:rPr>
        <w:t>使用进行规范管</w:t>
      </w:r>
      <w:r>
        <w:rPr>
          <w:rFonts w:hint="eastAsia" w:ascii="仿宋_GB2312" w:hAnsi="仿宋_GB2312" w:cs="仿宋_GB2312"/>
          <w:color w:val="auto"/>
          <w:highlight w:val="none"/>
        </w:rPr>
        <w:t>理，财务制度健全、执行严格，资金的拨付有完整的审批程序和手续，资金使用符合该项目的立项批复。资金不存在截留、挤占、挪用、虚列支出等情况。根据评分标准，该指标不扣分，得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2.组织实施</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组织实施指标从管理制度健全性、制度执行有效性</w:t>
      </w:r>
      <w:r>
        <w:rPr>
          <w:rFonts w:hint="eastAsia" w:ascii="仿宋_GB2312" w:hAnsi="仿宋_GB2312" w:cs="仿宋_GB2312"/>
          <w:color w:val="auto"/>
          <w:highlight w:val="none"/>
          <w:lang w:eastAsia="zh-CN"/>
        </w:rPr>
        <w:t>、项目实施管理规范性</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个方面进行评价，权重分值</w:t>
      </w:r>
      <w:r>
        <w:rPr>
          <w:rFonts w:hint="eastAsia" w:ascii="仿宋_GB2312" w:hAnsi="仿宋_GB2312" w:cs="仿宋_GB2312"/>
          <w:color w:val="auto"/>
          <w:highlight w:val="none"/>
          <w:lang w:val="en-US" w:eastAsia="zh-CN"/>
        </w:rPr>
        <w:t>7</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7</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rPr>
      </w:pPr>
      <w:r>
        <w:rPr>
          <w:rFonts w:hint="eastAsia" w:ascii="仿宋_GB2312" w:hAnsi="仿宋_GB2312" w:cs="仿宋_GB2312"/>
        </w:rPr>
        <w:t>（1）管理制度健全性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w:t>
      </w:r>
      <w:r>
        <w:rPr>
          <w:rFonts w:hint="eastAsia" w:ascii="仿宋_GB2312" w:hAnsi="仿宋_GB2312" w:cs="仿宋_GB2312"/>
          <w:color w:val="auto"/>
          <w:highlight w:val="none"/>
          <w:lang w:eastAsia="zh-CN"/>
        </w:rPr>
        <w:t>岳普湖县水利局</w:t>
      </w:r>
      <w:r>
        <w:rPr>
          <w:rFonts w:hint="eastAsia" w:ascii="仿宋_GB2312" w:hAnsi="仿宋_GB2312" w:cs="仿宋_GB2312"/>
          <w:color w:val="auto"/>
          <w:highlight w:val="none"/>
        </w:rPr>
        <w:t>项目经费管理办法》等相关管理办法，对财政资金进行严格管理，做到专款专用。项目的执行符合《</w:t>
      </w:r>
      <w:r>
        <w:rPr>
          <w:rFonts w:hint="eastAsia" w:ascii="仿宋_GB2312" w:hAnsi="仿宋_GB2312" w:cs="仿宋_GB2312"/>
          <w:color w:val="auto"/>
          <w:highlight w:val="none"/>
          <w:lang w:eastAsia="zh-CN"/>
        </w:rPr>
        <w:t>岳普湖县水利局</w:t>
      </w:r>
      <w:r>
        <w:rPr>
          <w:rFonts w:hint="eastAsia" w:ascii="仿宋_GB2312" w:hAnsi="仿宋_GB2312" w:cs="仿宋_GB2312"/>
          <w:color w:val="auto"/>
          <w:highlight w:val="none"/>
        </w:rPr>
        <w:t>项目管理办法》等相关法律法规和管理规定。根据评分标准，该指标不扣分，得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（2）制度执行有效性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rPr>
        <w:t>对资金使用的合法合规性进行监督，年末对资金使用效果进行评</w:t>
      </w:r>
      <w:r>
        <w:rPr>
          <w:rFonts w:hint="eastAsia" w:ascii="仿宋_GB2312" w:hAnsi="仿宋_GB2312" w:cs="仿宋_GB2312"/>
          <w:color w:val="auto"/>
          <w:highlight w:val="none"/>
        </w:rPr>
        <w:t>价。项目管理、实施人员落实到位，有效按照计划执行。项目执行情况等资料齐全，项目相关手续完备，及时进行归档。根据评分标准，该指标不扣分，得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）项目实施管理规范性</w:t>
      </w:r>
    </w:p>
    <w:p>
      <w:pPr>
        <w:pStyle w:val="32"/>
        <w:spacing w:line="520" w:lineRule="exact"/>
        <w:ind w:firstLine="560"/>
        <w:rPr>
          <w:rFonts w:hint="eastAsia" w:ascii="仿宋_GB2312" w:hAnsi="仿宋_GB2312" w:cs="仿宋_GB2312"/>
        </w:rPr>
      </w:pPr>
      <w:r>
        <w:rPr>
          <w:rFonts w:hint="eastAsia" w:ascii="仿宋_GB2312" w:hAnsi="仿宋_GB2312" w:cs="仿宋_GB2312"/>
        </w:rPr>
        <w:t>①承接主体项目管理制度健全，项目实施符合相关项目管理规定；</w:t>
      </w:r>
    </w:p>
    <w:p>
      <w:pPr>
        <w:pStyle w:val="32"/>
        <w:spacing w:line="520" w:lineRule="exact"/>
        <w:ind w:firstLine="560"/>
        <w:rPr>
          <w:rFonts w:hint="eastAsia" w:ascii="仿宋_GB2312" w:hAnsi="仿宋_GB2312" w:cs="仿宋_GB2312"/>
        </w:rPr>
      </w:pPr>
      <w:r>
        <w:rPr>
          <w:rFonts w:hint="eastAsia" w:ascii="仿宋_GB2312" w:hAnsi="仿宋_GB2312" w:cs="仿宋_GB2312"/>
        </w:rPr>
        <w:t>②建立了实施领导机制并建立了完善的实施方案；</w:t>
      </w:r>
    </w:p>
    <w:p>
      <w:pPr>
        <w:pStyle w:val="32"/>
        <w:spacing w:line="520" w:lineRule="exact"/>
        <w:ind w:firstLine="560"/>
        <w:rPr>
          <w:rFonts w:hint="eastAsia" w:ascii="仿宋_GB2312" w:hAnsi="仿宋_GB2312" w:cs="仿宋_GB2312"/>
        </w:rPr>
      </w:pPr>
      <w:r>
        <w:rPr>
          <w:rFonts w:hint="eastAsia" w:ascii="仿宋_GB2312" w:hAnsi="仿宋_GB2312" w:cs="仿宋_GB2312"/>
        </w:rPr>
        <w:t>③建立了项目台账，台账记录全面、完整；</w:t>
      </w:r>
    </w:p>
    <w:p>
      <w:pPr>
        <w:pStyle w:val="32"/>
        <w:spacing w:line="520" w:lineRule="exact"/>
        <w:ind w:firstLine="560"/>
        <w:rPr>
          <w:rFonts w:hint="eastAsia" w:ascii="仿宋_GB2312" w:hAnsi="仿宋_GB2312" w:cs="仿宋_GB2312"/>
          <w:lang w:eastAsia="zh-CN"/>
        </w:rPr>
      </w:pPr>
      <w:r>
        <w:rPr>
          <w:rFonts w:hint="eastAsia" w:ascii="仿宋_GB2312" w:hAnsi="仿宋_GB2312" w:cs="仿宋_GB2312"/>
        </w:rPr>
        <w:t>④能接受和配合相关部门的监督检查及绩效评价</w:t>
      </w:r>
      <w:r>
        <w:rPr>
          <w:rFonts w:hint="eastAsia" w:ascii="仿宋_GB2312" w:hAnsi="仿宋_GB2312" w:cs="仿宋_GB2312"/>
          <w:lang w:eastAsia="zh-CN"/>
        </w:rPr>
        <w:t>。</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根据评分标准，该指标不扣分，得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52"/>
        <w:keepNext w:val="0"/>
        <w:keepLines w:val="0"/>
        <w:spacing w:line="520" w:lineRule="exact"/>
        <w:ind w:left="560"/>
        <w:jc w:val="both"/>
        <w:rPr>
          <w:rFonts w:ascii="仿宋_GB2312" w:hAnsi="仿宋_GB2312" w:cs="仿宋_GB2312"/>
          <w:color w:val="auto"/>
          <w:highlight w:val="none"/>
        </w:rPr>
      </w:pPr>
      <w:bookmarkStart w:id="135" w:name="_Toc28910"/>
      <w:bookmarkStart w:id="136" w:name="_Toc19500"/>
      <w:bookmarkStart w:id="137" w:name="_Toc127054596"/>
      <w:bookmarkStart w:id="138" w:name="_Toc15778_WPSOffice_Level2"/>
      <w:bookmarkStart w:id="139" w:name="_Toc10585"/>
      <w:bookmarkStart w:id="140" w:name="_Toc13773_WPSOffice_Level2"/>
      <w:bookmarkStart w:id="141" w:name="_Toc28623"/>
      <w:bookmarkStart w:id="142" w:name="_Toc10055_WPSOffice_Level2"/>
      <w:bookmarkStart w:id="143" w:name="_Toc12847"/>
      <w:bookmarkStart w:id="144" w:name="_Toc3716"/>
      <w:r>
        <w:rPr>
          <w:rFonts w:hint="eastAsia" w:ascii="仿宋_GB2312" w:hAnsi="仿宋_GB2312" w:cs="仿宋_GB2312"/>
          <w:color w:val="auto"/>
          <w:highlight w:val="none"/>
        </w:rPr>
        <w:t>（三）项目产出情况</w:t>
      </w:r>
      <w:bookmarkEnd w:id="135"/>
      <w:bookmarkEnd w:id="136"/>
      <w:bookmarkEnd w:id="137"/>
      <w:bookmarkEnd w:id="138"/>
      <w:bookmarkEnd w:id="139"/>
      <w:bookmarkEnd w:id="140"/>
      <w:bookmarkEnd w:id="141"/>
      <w:bookmarkEnd w:id="142"/>
      <w:bookmarkEnd w:id="143"/>
      <w:bookmarkEnd w:id="14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产出类指标包括产出数量、产出质量、产出时效</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产出成本四方</w:t>
      </w:r>
      <w:r>
        <w:rPr>
          <w:rFonts w:hint="eastAsia" w:ascii="仿宋_GB2312" w:hAnsi="仿宋_GB2312" w:cs="仿宋_GB2312"/>
          <w:color w:val="auto"/>
          <w:highlight w:val="none"/>
        </w:rPr>
        <w:t>面的内容，由</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个三级指标构成，权重分为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31.29</w:t>
      </w:r>
      <w:r>
        <w:rPr>
          <w:rFonts w:hint="eastAsia" w:ascii="仿宋_GB2312" w:hAnsi="仿宋_GB2312" w:cs="仿宋_GB2312"/>
          <w:color w:val="auto"/>
          <w:highlight w:val="none"/>
        </w:rPr>
        <w:t>分，得分率为</w:t>
      </w:r>
      <w:r>
        <w:rPr>
          <w:rFonts w:hint="eastAsia" w:ascii="仿宋_GB2312" w:hAnsi="仿宋_GB2312" w:cs="仿宋_GB2312"/>
          <w:color w:val="auto"/>
          <w:highlight w:val="none"/>
          <w:lang w:val="en-US" w:eastAsia="zh-CN"/>
        </w:rPr>
        <w:t>89.4</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rPr>
      </w:pPr>
      <w:r>
        <w:rPr>
          <w:rFonts w:hint="eastAsia" w:ascii="仿宋_GB2312" w:hAnsi="仿宋_GB2312" w:cs="仿宋_GB2312"/>
          <w:b/>
          <w:bCs/>
        </w:rPr>
        <w:t>1.产出数量</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建设地下水监测井数量年度指标值为大于等于</w:t>
      </w:r>
      <w:r>
        <w:rPr>
          <w:rFonts w:hint="eastAsia" w:ascii="仿宋_GB2312" w:hAnsi="仿宋_GB2312" w:cs="仿宋_GB2312"/>
          <w:color w:val="auto"/>
          <w:highlight w:val="none"/>
          <w:lang w:val="en-US" w:eastAsia="zh-CN"/>
        </w:rPr>
        <w:t>8口</w:t>
      </w:r>
      <w:r>
        <w:rPr>
          <w:rFonts w:hint="eastAsia" w:ascii="仿宋_GB2312" w:hAnsi="仿宋_GB2312" w:cs="仿宋_GB2312"/>
          <w:color w:val="auto"/>
          <w:highlight w:val="none"/>
        </w:rPr>
        <w:t>，实际完成值为</w:t>
      </w:r>
      <w:r>
        <w:rPr>
          <w:rFonts w:hint="eastAsia" w:ascii="仿宋_GB2312" w:hAnsi="仿宋_GB2312" w:cs="仿宋_GB2312"/>
          <w:color w:val="auto"/>
          <w:highlight w:val="none"/>
          <w:lang w:val="en-US" w:eastAsia="zh-CN"/>
        </w:rPr>
        <w:t>8口</w:t>
      </w:r>
      <w:r>
        <w:rPr>
          <w:rFonts w:hint="eastAsia" w:ascii="仿宋_GB2312" w:hAnsi="仿宋_GB2312" w:cs="仿宋_GB2312"/>
          <w:color w:val="auto"/>
          <w:highlight w:val="none"/>
        </w:rPr>
        <w:t>，完成预期目标，根据评分标准，该指标不扣分。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产出数量三级指标共计</w:t>
      </w:r>
      <w:r>
        <w:rPr>
          <w:rFonts w:hint="eastAsia" w:ascii="仿宋_GB2312" w:hAnsi="仿宋_GB2312" w:cs="仿宋_GB2312"/>
          <w:color w:val="auto"/>
          <w:highlight w:val="none"/>
          <w:lang w:val="en-US" w:eastAsia="zh-CN"/>
        </w:rPr>
        <w:t>1</w:t>
      </w:r>
      <w:r>
        <w:rPr>
          <w:rFonts w:hint="eastAsia" w:ascii="仿宋_GB2312" w:hAnsi="仿宋_GB2312" w:cs="仿宋_GB2312"/>
          <w:color w:val="auto"/>
          <w:highlight w:val="none"/>
        </w:rPr>
        <w:t>个，指标从实际完成情况方面进行评价，权重分值</w:t>
      </w:r>
      <w:r>
        <w:rPr>
          <w:rFonts w:hint="eastAsia" w:ascii="仿宋_GB2312" w:hAnsi="仿宋_GB2312" w:cs="仿宋_GB2312"/>
          <w:color w:val="auto"/>
          <w:highlight w:val="none"/>
          <w:lang w:val="en-US" w:eastAsia="zh-CN"/>
        </w:rPr>
        <w:t>9</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9</w:t>
      </w:r>
      <w:r>
        <w:rPr>
          <w:rFonts w:hint="eastAsia" w:ascii="仿宋_GB2312" w:hAnsi="仿宋_GB2312" w:cs="仿宋_GB2312"/>
          <w:color w:val="auto"/>
          <w:highlight w:val="none"/>
        </w:rPr>
        <w:t>分。</w:t>
      </w:r>
    </w:p>
    <w:p>
      <w:pPr>
        <w:pStyle w:val="32"/>
        <w:spacing w:line="520" w:lineRule="exact"/>
        <w:ind w:firstLine="562"/>
        <w:rPr>
          <w:rFonts w:ascii="仿宋_GB2312" w:hAnsi="仿宋_GB2312" w:cs="仿宋_GB2312"/>
          <w:b/>
          <w:bCs/>
        </w:rPr>
      </w:pPr>
      <w:r>
        <w:rPr>
          <w:rFonts w:hint="eastAsia" w:ascii="仿宋_GB2312" w:hAnsi="仿宋_GB2312" w:cs="仿宋_GB2312"/>
          <w:b/>
          <w:bCs/>
        </w:rPr>
        <w:t>2.产出质量</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资金使用合规性年度指标值为等于100%，实际完成值为100%，完成预期目标，根据评分标准，该指标不扣分。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工程验收合格率年度指标值为等于100%，实际完成值为100%，完成预期目标，根据评分标准，该指标不扣分。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产出质量三级指标共计2个，指标从质量达标方面进行评价，权重分值</w:t>
      </w:r>
      <w:r>
        <w:rPr>
          <w:rFonts w:hint="eastAsia" w:ascii="仿宋_GB2312" w:hAnsi="仿宋_GB2312" w:cs="仿宋_GB2312"/>
          <w:color w:val="auto"/>
          <w:highlight w:val="none"/>
          <w:lang w:val="en-US" w:eastAsia="zh-CN"/>
        </w:rPr>
        <w:t>9</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9</w:t>
      </w:r>
      <w:r>
        <w:rPr>
          <w:rFonts w:hint="eastAsia" w:ascii="仿宋_GB2312" w:hAnsi="仿宋_GB2312" w:cs="仿宋_GB2312"/>
          <w:color w:val="auto"/>
          <w:highlight w:val="none"/>
        </w:rPr>
        <w:t>分。</w:t>
      </w:r>
    </w:p>
    <w:p>
      <w:pPr>
        <w:pStyle w:val="32"/>
        <w:spacing w:line="520" w:lineRule="exact"/>
        <w:ind w:firstLine="562"/>
        <w:rPr>
          <w:rFonts w:ascii="仿宋_GB2312" w:hAnsi="仿宋_GB2312" w:cs="仿宋_GB2312"/>
          <w:b/>
          <w:bCs/>
        </w:rPr>
      </w:pPr>
      <w:r>
        <w:rPr>
          <w:rFonts w:hint="eastAsia" w:ascii="仿宋_GB2312" w:hAnsi="仿宋_GB2312" w:cs="仿宋_GB2312"/>
          <w:b/>
          <w:bCs/>
        </w:rPr>
        <w:t>3.产出时效</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资金按期支付及时率年度指标值为等于100%，实际完成值为</w:t>
      </w:r>
      <w:r>
        <w:rPr>
          <w:rFonts w:hint="eastAsia" w:ascii="仿宋_GB2312" w:hAnsi="仿宋_GB2312" w:cs="仿宋_GB2312"/>
          <w:color w:val="auto"/>
          <w:highlight w:val="none"/>
          <w:lang w:val="en-US" w:eastAsia="zh-CN"/>
        </w:rPr>
        <w:t>71.4</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未</w:t>
      </w:r>
      <w:r>
        <w:rPr>
          <w:rFonts w:hint="eastAsia" w:ascii="仿宋_GB2312" w:hAnsi="仿宋_GB2312" w:cs="仿宋_GB2312"/>
          <w:color w:val="auto"/>
          <w:highlight w:val="none"/>
        </w:rPr>
        <w:t>完成预期目标，根据评分标准，该指标</w:t>
      </w:r>
      <w:r>
        <w:rPr>
          <w:rFonts w:hint="eastAsia" w:ascii="仿宋_GB2312" w:hAnsi="仿宋_GB2312" w:cs="仿宋_GB2312"/>
          <w:color w:val="auto"/>
          <w:highlight w:val="none"/>
          <w:lang w:val="en-US" w:eastAsia="zh-CN"/>
        </w:rPr>
        <w:t>扣1.14分，实际得分2.86分</w:t>
      </w:r>
      <w:r>
        <w:rPr>
          <w:rFonts w:hint="eastAsia" w:ascii="仿宋_GB2312" w:hAnsi="仿宋_GB2312" w:cs="仿宋_GB2312"/>
          <w:color w:val="auto"/>
          <w:highlight w:val="none"/>
        </w:rPr>
        <w:t>。</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未完成原因：项目已完工并验收，因正在进行审计，剩余款项尚未支付。</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改进措施：待审计结束后，按照资金审批程序支付剩余工程款项。</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项目</w:t>
      </w:r>
      <w:r>
        <w:rPr>
          <w:rFonts w:hint="eastAsia" w:ascii="仿宋_GB2312" w:hAnsi="仿宋_GB2312" w:cs="仿宋_GB2312"/>
          <w:color w:val="auto"/>
          <w:highlight w:val="none"/>
          <w:lang w:val="en-US" w:eastAsia="zh-CN"/>
        </w:rPr>
        <w:t>验收</w:t>
      </w:r>
      <w:r>
        <w:rPr>
          <w:rFonts w:hint="eastAsia" w:ascii="仿宋_GB2312" w:hAnsi="仿宋_GB2312" w:cs="仿宋_GB2312"/>
          <w:color w:val="auto"/>
          <w:highlight w:val="none"/>
        </w:rPr>
        <w:t>完成时间年度指标值为202</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年</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月</w:t>
      </w:r>
      <w:r>
        <w:rPr>
          <w:rFonts w:hint="eastAsia" w:ascii="仿宋_GB2312" w:hAnsi="仿宋_GB2312" w:cs="仿宋_GB2312"/>
          <w:color w:val="auto"/>
          <w:highlight w:val="none"/>
          <w:lang w:val="en-US" w:eastAsia="zh-CN"/>
        </w:rPr>
        <w:t>30</w:t>
      </w:r>
      <w:r>
        <w:rPr>
          <w:rFonts w:hint="eastAsia" w:ascii="仿宋_GB2312" w:hAnsi="仿宋_GB2312" w:cs="仿宋_GB2312"/>
          <w:color w:val="auto"/>
          <w:highlight w:val="none"/>
        </w:rPr>
        <w:t>日前，实际完成值为202</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年</w:t>
      </w:r>
      <w:r>
        <w:rPr>
          <w:rFonts w:hint="eastAsia" w:ascii="仿宋_GB2312" w:hAnsi="仿宋_GB2312" w:cs="仿宋_GB2312"/>
          <w:color w:val="auto"/>
          <w:highlight w:val="none"/>
          <w:lang w:val="en-US" w:eastAsia="zh-CN"/>
        </w:rPr>
        <w:t>5</w:t>
      </w:r>
      <w:r>
        <w:rPr>
          <w:rFonts w:hint="eastAsia" w:ascii="仿宋_GB2312" w:hAnsi="仿宋_GB2312" w:cs="仿宋_GB2312"/>
          <w:color w:val="auto"/>
          <w:highlight w:val="none"/>
        </w:rPr>
        <w:t>月</w:t>
      </w:r>
      <w:r>
        <w:rPr>
          <w:rFonts w:hint="eastAsia" w:ascii="仿宋_GB2312" w:hAnsi="仿宋_GB2312" w:cs="仿宋_GB2312"/>
          <w:color w:val="auto"/>
          <w:highlight w:val="none"/>
          <w:lang w:val="en-US" w:eastAsia="zh-CN"/>
        </w:rPr>
        <w:t>25</w:t>
      </w:r>
      <w:r>
        <w:rPr>
          <w:rFonts w:hint="eastAsia" w:ascii="仿宋_GB2312" w:hAnsi="仿宋_GB2312" w:cs="仿宋_GB2312"/>
          <w:color w:val="auto"/>
          <w:highlight w:val="none"/>
        </w:rPr>
        <w:t>日，完成预期目标，根据评分标准，该指标不扣分。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产出时效三级指标共计2个，指标从完成及时性方面进行评价，权重分值</w:t>
      </w:r>
      <w:r>
        <w:rPr>
          <w:rFonts w:hint="eastAsia" w:ascii="仿宋_GB2312" w:hAnsi="仿宋_GB2312" w:cs="仿宋_GB2312"/>
          <w:color w:val="auto"/>
          <w:highlight w:val="none"/>
          <w:lang w:val="en-US" w:eastAsia="zh-CN"/>
        </w:rPr>
        <w:t>8</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6.86</w:t>
      </w:r>
      <w:r>
        <w:rPr>
          <w:rFonts w:hint="eastAsia" w:ascii="仿宋_GB2312" w:hAnsi="仿宋_GB2312" w:cs="仿宋_GB2312"/>
          <w:color w:val="auto"/>
          <w:highlight w:val="none"/>
        </w:rPr>
        <w:t>分。</w:t>
      </w:r>
    </w:p>
    <w:p>
      <w:pPr>
        <w:pStyle w:val="32"/>
        <w:spacing w:line="520" w:lineRule="exact"/>
        <w:ind w:firstLine="562"/>
        <w:rPr>
          <w:rFonts w:ascii="仿宋_GB2312" w:hAnsi="仿宋_GB2312" w:cs="仿宋_GB2312"/>
          <w:b/>
          <w:bCs/>
        </w:rPr>
      </w:pPr>
      <w:bookmarkStart w:id="145" w:name="_Toc127054597"/>
      <w:bookmarkStart w:id="146" w:name="_Toc646"/>
      <w:bookmarkStart w:id="147" w:name="_Toc21869"/>
      <w:bookmarkStart w:id="148" w:name="_Toc1244"/>
      <w:bookmarkStart w:id="149" w:name="_Toc26374_WPSOffice_Level2"/>
      <w:bookmarkStart w:id="150" w:name="_Toc20923_WPSOffice_Level2"/>
      <w:bookmarkStart w:id="151" w:name="_Toc17557"/>
      <w:bookmarkStart w:id="152" w:name="_Toc4222"/>
      <w:bookmarkStart w:id="153" w:name="_Toc25428"/>
      <w:bookmarkStart w:id="154" w:name="_Toc32262_WPSOffice_Level2"/>
      <w:r>
        <w:rPr>
          <w:rFonts w:hint="eastAsia" w:ascii="仿宋_GB2312" w:hAnsi="仿宋_GB2312" w:cs="仿宋_GB2312"/>
          <w:lang w:val="en-US" w:eastAsia="zh-CN"/>
        </w:rPr>
        <w:t>4</w:t>
      </w:r>
      <w:r>
        <w:rPr>
          <w:rFonts w:hint="eastAsia" w:ascii="仿宋_GB2312" w:hAnsi="仿宋_GB2312" w:cs="仿宋_GB2312"/>
          <w:b/>
          <w:bCs/>
        </w:rPr>
        <w:t>.产出成本</w:t>
      </w:r>
    </w:p>
    <w:p>
      <w:pPr>
        <w:pStyle w:val="32"/>
        <w:spacing w:line="520" w:lineRule="exact"/>
        <w:ind w:firstLine="560"/>
        <w:rPr>
          <w:rFonts w:hint="eastAsia" w:ascii="仿宋_GB2312" w:hAnsi="仿宋_GB2312" w:cs="仿宋_GB2312"/>
          <w:highlight w:val="none"/>
        </w:rPr>
      </w:pPr>
      <w:r>
        <w:rPr>
          <w:rFonts w:hint="eastAsia" w:ascii="仿宋_GB2312" w:hAnsi="仿宋_GB2312" w:cs="仿宋_GB2312"/>
          <w:highlight w:val="none"/>
        </w:rPr>
        <w:t>监测井建设成本年度指标值为小于等于</w:t>
      </w:r>
      <w:r>
        <w:rPr>
          <w:rFonts w:hint="eastAsia" w:ascii="仿宋_GB2312" w:hAnsi="仿宋_GB2312" w:cs="仿宋_GB2312"/>
          <w:highlight w:val="none"/>
          <w:lang w:val="en-US" w:eastAsia="zh-CN"/>
        </w:rPr>
        <w:t>27.16</w:t>
      </w:r>
      <w:r>
        <w:rPr>
          <w:rFonts w:hint="eastAsia" w:ascii="仿宋_GB2312" w:hAnsi="仿宋_GB2312" w:cs="仿宋_GB2312"/>
          <w:highlight w:val="none"/>
        </w:rPr>
        <w:t>万元/</w:t>
      </w:r>
      <w:r>
        <w:rPr>
          <w:rFonts w:hint="eastAsia" w:ascii="仿宋_GB2312" w:hAnsi="仿宋_GB2312" w:cs="仿宋_GB2312"/>
          <w:highlight w:val="none"/>
          <w:lang w:val="en-US" w:eastAsia="zh-CN"/>
        </w:rPr>
        <w:t>口</w:t>
      </w:r>
      <w:r>
        <w:rPr>
          <w:rFonts w:hint="eastAsia" w:ascii="仿宋_GB2312" w:hAnsi="仿宋_GB2312" w:cs="仿宋_GB2312"/>
          <w:highlight w:val="none"/>
        </w:rPr>
        <w:t>，实际完成值为</w:t>
      </w:r>
      <w:r>
        <w:rPr>
          <w:rFonts w:hint="eastAsia" w:ascii="仿宋_GB2312" w:hAnsi="仿宋_GB2312" w:cs="仿宋_GB2312"/>
          <w:highlight w:val="none"/>
          <w:lang w:val="en-US" w:eastAsia="zh-CN"/>
        </w:rPr>
        <w:t>19.405</w:t>
      </w:r>
      <w:r>
        <w:rPr>
          <w:rFonts w:hint="eastAsia" w:ascii="仿宋_GB2312" w:hAnsi="仿宋_GB2312" w:cs="仿宋_GB2312"/>
          <w:highlight w:val="none"/>
        </w:rPr>
        <w:t>万元/</w:t>
      </w:r>
      <w:r>
        <w:rPr>
          <w:rFonts w:hint="eastAsia" w:ascii="仿宋_GB2312" w:hAnsi="仿宋_GB2312" w:cs="仿宋_GB2312"/>
          <w:highlight w:val="none"/>
          <w:lang w:val="en-US" w:eastAsia="zh-CN"/>
        </w:rPr>
        <w:t>口</w:t>
      </w:r>
      <w:r>
        <w:rPr>
          <w:rFonts w:hint="eastAsia" w:ascii="仿宋_GB2312" w:hAnsi="仿宋_GB2312" w:cs="仿宋_GB2312"/>
          <w:highlight w:val="none"/>
        </w:rPr>
        <w:t>，</w:t>
      </w:r>
      <w:r>
        <w:rPr>
          <w:rFonts w:hint="eastAsia" w:ascii="仿宋_GB2312" w:hAnsi="仿宋_GB2312" w:cs="仿宋_GB2312"/>
          <w:highlight w:val="none"/>
          <w:lang w:val="en-US" w:eastAsia="zh-CN"/>
        </w:rPr>
        <w:t>未</w:t>
      </w:r>
      <w:r>
        <w:rPr>
          <w:rFonts w:hint="eastAsia" w:ascii="仿宋_GB2312" w:hAnsi="仿宋_GB2312" w:cs="仿宋_GB2312"/>
          <w:highlight w:val="none"/>
        </w:rPr>
        <w:t>完成预期目标，根据评分标准，该指标扣</w:t>
      </w:r>
      <w:r>
        <w:rPr>
          <w:rFonts w:hint="eastAsia" w:ascii="仿宋_GB2312" w:hAnsi="仿宋_GB2312" w:cs="仿宋_GB2312"/>
          <w:highlight w:val="none"/>
          <w:lang w:val="en-US" w:eastAsia="zh-CN"/>
        </w:rPr>
        <w:t>2.57</w:t>
      </w:r>
      <w:r>
        <w:rPr>
          <w:rFonts w:hint="eastAsia" w:ascii="仿宋_GB2312" w:hAnsi="仿宋_GB2312" w:cs="仿宋_GB2312"/>
          <w:highlight w:val="none"/>
        </w:rPr>
        <w:t>分</w:t>
      </w:r>
      <w:r>
        <w:rPr>
          <w:rFonts w:hint="eastAsia" w:ascii="仿宋_GB2312" w:hAnsi="仿宋_GB2312" w:cs="仿宋_GB2312"/>
          <w:highlight w:val="none"/>
          <w:lang w:eastAsia="zh-CN"/>
        </w:rPr>
        <w:t>，</w:t>
      </w:r>
      <w:r>
        <w:rPr>
          <w:rFonts w:hint="eastAsia" w:ascii="仿宋_GB2312" w:hAnsi="仿宋_GB2312" w:cs="仿宋_GB2312"/>
          <w:highlight w:val="none"/>
          <w:lang w:val="en-US" w:eastAsia="zh-CN"/>
        </w:rPr>
        <w:t>实际得分6.43分</w:t>
      </w:r>
      <w:r>
        <w:rPr>
          <w:rFonts w:hint="eastAsia" w:ascii="仿宋_GB2312" w:hAnsi="仿宋_GB2312" w:cs="仿宋_GB2312"/>
          <w:highlight w:val="none"/>
        </w:rPr>
        <w:t>。</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未完成原因：项目已完工并验收，因正在进行审计，剩余款项尚未支付。</w:t>
      </w:r>
    </w:p>
    <w:p>
      <w:pPr>
        <w:pStyle w:val="32"/>
        <w:spacing w:line="520" w:lineRule="exact"/>
        <w:ind w:firstLine="560"/>
        <w:rPr>
          <w:rFonts w:ascii="仿宋_GB2312" w:hAnsi="仿宋_GB2312" w:cs="仿宋_GB2312"/>
          <w:highlight w:val="none"/>
        </w:rPr>
      </w:pPr>
      <w:r>
        <w:rPr>
          <w:rFonts w:hint="eastAsia" w:ascii="仿宋_GB2312" w:hAnsi="仿宋_GB2312" w:cs="仿宋_GB2312"/>
          <w:color w:val="auto"/>
          <w:highlight w:val="none"/>
          <w:lang w:val="en-US" w:eastAsia="zh-CN"/>
        </w:rPr>
        <w:t>改进措施：待审计结束后，按照资金审批程序支付剩余工程款项。</w:t>
      </w:r>
    </w:p>
    <w:p>
      <w:pPr>
        <w:pStyle w:val="32"/>
        <w:rPr>
          <w:rFonts w:hint="eastAsia"/>
          <w:highlight w:val="none"/>
          <w:lang w:val="en-US" w:eastAsia="zh-CN"/>
        </w:rPr>
      </w:pPr>
      <w:r>
        <w:rPr>
          <w:rFonts w:hint="eastAsia" w:ascii="仿宋_GB2312" w:hAnsi="仿宋_GB2312" w:cs="仿宋_GB2312"/>
          <w:highlight w:val="none"/>
        </w:rPr>
        <w:t>产出成本三级</w:t>
      </w:r>
      <w:r>
        <w:rPr>
          <w:rFonts w:hint="eastAsia" w:ascii="仿宋_GB2312" w:hAnsi="仿宋_GB2312" w:cs="仿宋_GB2312"/>
          <w:color w:val="auto"/>
          <w:highlight w:val="none"/>
        </w:rPr>
        <w:t>指标共计1个，指标从成本节约情况进行评价，权重分值</w:t>
      </w:r>
      <w:r>
        <w:rPr>
          <w:rFonts w:hint="eastAsia" w:ascii="仿宋_GB2312" w:hAnsi="仿宋_GB2312" w:cs="仿宋_GB2312"/>
          <w:color w:val="auto"/>
          <w:highlight w:val="none"/>
          <w:lang w:val="en-US" w:eastAsia="zh-CN"/>
        </w:rPr>
        <w:t>9</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6.43</w:t>
      </w:r>
      <w:r>
        <w:rPr>
          <w:rFonts w:hint="eastAsia" w:ascii="仿宋_GB2312" w:hAnsi="仿宋_GB2312" w:cs="仿宋_GB2312"/>
          <w:color w:val="auto"/>
          <w:highlight w:val="none"/>
        </w:rPr>
        <w:t>分。</w:t>
      </w:r>
    </w:p>
    <w:p>
      <w:pPr>
        <w:pStyle w:val="52"/>
        <w:keepNext w:val="0"/>
        <w:keepLines w:val="0"/>
        <w:spacing w:line="520" w:lineRule="exact"/>
        <w:ind w:left="560"/>
        <w:jc w:val="both"/>
        <w:rPr>
          <w:rFonts w:ascii="仿宋_GB2312" w:hAnsi="仿宋_GB2312" w:cs="仿宋_GB2312"/>
        </w:rPr>
      </w:pPr>
      <w:r>
        <w:rPr>
          <w:rFonts w:hint="eastAsia" w:ascii="仿宋_GB2312" w:hAnsi="仿宋_GB2312" w:cs="仿宋_GB2312"/>
        </w:rPr>
        <w:t>（</w:t>
      </w:r>
      <w:r>
        <w:rPr>
          <w:rFonts w:hint="eastAsia" w:ascii="仿宋_GB2312" w:hAnsi="仿宋_GB2312" w:cs="仿宋_GB2312"/>
          <w:lang w:val="en-US" w:eastAsia="zh-CN"/>
        </w:rPr>
        <w:t>四</w:t>
      </w:r>
      <w:r>
        <w:rPr>
          <w:rFonts w:hint="eastAsia" w:ascii="仿宋_GB2312" w:hAnsi="仿宋_GB2312" w:cs="仿宋_GB2312"/>
        </w:rPr>
        <w:t>）项目效益情况</w:t>
      </w:r>
      <w:bookmarkEnd w:id="145"/>
      <w:bookmarkEnd w:id="146"/>
      <w:bookmarkEnd w:id="147"/>
      <w:bookmarkEnd w:id="148"/>
      <w:bookmarkEnd w:id="149"/>
      <w:bookmarkEnd w:id="150"/>
      <w:bookmarkEnd w:id="151"/>
      <w:bookmarkEnd w:id="152"/>
      <w:bookmarkEnd w:id="153"/>
      <w:bookmarkEnd w:id="15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效益类指标包括项目效益1个方面的内容，由</w:t>
      </w:r>
      <w:r>
        <w:rPr>
          <w:rFonts w:hint="eastAsia" w:ascii="仿宋_GB2312" w:hAnsi="仿宋_GB2312" w:cs="仿宋_GB2312"/>
          <w:color w:val="auto"/>
          <w:highlight w:val="none"/>
          <w:lang w:val="en-US" w:eastAsia="zh-CN"/>
        </w:rPr>
        <w:t>1</w:t>
      </w:r>
      <w:r>
        <w:rPr>
          <w:rFonts w:hint="eastAsia" w:ascii="仿宋_GB2312" w:hAnsi="仿宋_GB2312" w:cs="仿宋_GB2312"/>
          <w:color w:val="auto"/>
          <w:highlight w:val="none"/>
        </w:rPr>
        <w:t>个三级指标构成，权重分为30分，实际得分30分，得分率为100%。</w:t>
      </w:r>
    </w:p>
    <w:p>
      <w:pPr>
        <w:pStyle w:val="32"/>
        <w:spacing w:line="520" w:lineRule="exact"/>
        <w:ind w:firstLine="562"/>
        <w:rPr>
          <w:rFonts w:ascii="仿宋_GB2312" w:hAnsi="仿宋_GB2312" w:cs="仿宋_GB2312"/>
          <w:b/>
          <w:bCs/>
          <w:highlight w:val="none"/>
        </w:rPr>
      </w:pPr>
      <w:r>
        <w:rPr>
          <w:rFonts w:hint="eastAsia" w:ascii="仿宋_GB2312" w:hAnsi="仿宋_GB2312" w:cs="仿宋_GB2312"/>
          <w:b/>
          <w:bCs/>
          <w:highlight w:val="none"/>
        </w:rPr>
        <w:t>1.项目效益</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（1）实施效益指标</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实施效益指标从项目实施所产生的效益</w:t>
      </w:r>
      <w:r>
        <w:rPr>
          <w:rFonts w:hint="eastAsia" w:ascii="仿宋_GB2312" w:hAnsi="仿宋_GB2312" w:cs="仿宋_GB2312"/>
          <w:highlight w:val="none"/>
          <w:lang w:val="en-US" w:eastAsia="zh-CN"/>
        </w:rPr>
        <w:t>方面</w:t>
      </w:r>
      <w:r>
        <w:rPr>
          <w:rFonts w:hint="eastAsia" w:ascii="仿宋_GB2312" w:hAnsi="仿宋_GB2312" w:cs="仿宋_GB2312"/>
          <w:highlight w:val="none"/>
        </w:rPr>
        <w:t>进行评价，权重分值</w:t>
      </w:r>
      <w:r>
        <w:rPr>
          <w:rFonts w:hint="eastAsia" w:ascii="仿宋_GB2312" w:hAnsi="仿宋_GB2312" w:cs="仿宋_GB2312"/>
          <w:highlight w:val="none"/>
          <w:lang w:val="en-US" w:eastAsia="zh-CN"/>
        </w:rPr>
        <w:t>3</w:t>
      </w:r>
      <w:r>
        <w:rPr>
          <w:rFonts w:hint="eastAsia" w:ascii="仿宋_GB2312" w:hAnsi="仿宋_GB2312" w:cs="仿宋_GB2312"/>
          <w:highlight w:val="none"/>
        </w:rPr>
        <w:t>0分，实际得分</w:t>
      </w:r>
      <w:r>
        <w:rPr>
          <w:rFonts w:hint="eastAsia" w:ascii="仿宋_GB2312" w:hAnsi="仿宋_GB2312" w:cs="仿宋_GB2312"/>
          <w:highlight w:val="none"/>
          <w:lang w:val="en-US" w:eastAsia="zh-CN"/>
        </w:rPr>
        <w:t>3</w:t>
      </w:r>
      <w:r>
        <w:rPr>
          <w:rFonts w:hint="eastAsia" w:ascii="仿宋_GB2312" w:hAnsi="仿宋_GB2312" w:cs="仿宋_GB2312"/>
          <w:highlight w:val="none"/>
        </w:rPr>
        <w:t>0分。</w:t>
      </w:r>
    </w:p>
    <w:p>
      <w:pPr>
        <w:pStyle w:val="32"/>
        <w:spacing w:line="520" w:lineRule="exact"/>
        <w:ind w:firstLine="560"/>
        <w:rPr>
          <w:rFonts w:ascii="仿宋_GB2312" w:hAnsi="仿宋_GB2312" w:cs="仿宋_GB2312"/>
        </w:rPr>
      </w:pPr>
      <w:r>
        <w:rPr>
          <w:rFonts w:hint="eastAsia" w:ascii="仿宋_GB2312" w:hAnsi="仿宋_GB2312" w:cs="仿宋_GB2312"/>
        </w:rPr>
        <w:t>①项目实施的经济效益分析</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本项目无此指标。</w:t>
      </w:r>
    </w:p>
    <w:p>
      <w:pPr>
        <w:pStyle w:val="32"/>
        <w:spacing w:line="520" w:lineRule="exact"/>
        <w:ind w:firstLine="560"/>
        <w:rPr>
          <w:rFonts w:ascii="仿宋_GB2312" w:hAnsi="仿宋_GB2312" w:cs="仿宋_GB2312"/>
        </w:rPr>
      </w:pPr>
      <w:r>
        <w:rPr>
          <w:rFonts w:hint="eastAsia" w:ascii="仿宋_GB2312" w:hAnsi="仿宋_GB2312" w:cs="仿宋_GB2312"/>
        </w:rPr>
        <w:t>②项目实施的社会效益分析</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加强地下水监测效果，掌握水质变化情况年度指标值为有效</w:t>
      </w:r>
      <w:r>
        <w:rPr>
          <w:rFonts w:hint="eastAsia" w:ascii="仿宋_GB2312" w:hAnsi="仿宋_GB2312" w:cs="仿宋_GB2312"/>
          <w:highlight w:val="none"/>
          <w:lang w:val="en-US" w:eastAsia="zh-CN"/>
        </w:rPr>
        <w:t>加强</w:t>
      </w:r>
      <w:r>
        <w:rPr>
          <w:rFonts w:hint="eastAsia" w:ascii="仿宋_GB2312" w:hAnsi="仿宋_GB2312" w:cs="仿宋_GB2312"/>
          <w:highlight w:val="none"/>
        </w:rPr>
        <w:t>，实际完成值为有效</w:t>
      </w:r>
      <w:r>
        <w:rPr>
          <w:rFonts w:hint="eastAsia" w:ascii="仿宋_GB2312" w:hAnsi="仿宋_GB2312" w:cs="仿宋_GB2312"/>
          <w:highlight w:val="none"/>
          <w:lang w:val="en-US" w:eastAsia="zh-CN"/>
        </w:rPr>
        <w:t>加强</w:t>
      </w:r>
      <w:r>
        <w:rPr>
          <w:rFonts w:hint="eastAsia" w:ascii="仿宋_GB2312" w:hAnsi="仿宋_GB2312" w:cs="仿宋_GB2312"/>
          <w:highlight w:val="none"/>
        </w:rPr>
        <w:t>，完成预期目标，根据评分标准，该指标不扣分，实际得</w:t>
      </w:r>
      <w:r>
        <w:rPr>
          <w:rFonts w:hint="eastAsia" w:ascii="仿宋_GB2312" w:hAnsi="仿宋_GB2312" w:cs="仿宋_GB2312"/>
          <w:highlight w:val="none"/>
          <w:lang w:val="en-US" w:eastAsia="zh-CN"/>
        </w:rPr>
        <w:t>3</w:t>
      </w:r>
      <w:r>
        <w:rPr>
          <w:rFonts w:hint="eastAsia" w:ascii="仿宋_GB2312" w:hAnsi="仿宋_GB2312" w:cs="仿宋_GB2312"/>
          <w:highlight w:val="none"/>
        </w:rPr>
        <w:t>0分。</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③项目实施的生态效益分析</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本项目无此指标。</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④项目实施的可持续影响分析</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本项目无此指标。</w:t>
      </w:r>
    </w:p>
    <w:p>
      <w:pPr>
        <w:pStyle w:val="32"/>
        <w:spacing w:line="520" w:lineRule="exact"/>
        <w:ind w:firstLine="560"/>
        <w:rPr>
          <w:rFonts w:hint="default" w:ascii="仿宋_GB2312" w:hAnsi="仿宋_GB2312" w:cs="仿宋_GB2312"/>
          <w:highlight w:val="none"/>
          <w:lang w:val="en-US" w:eastAsia="zh-CN"/>
        </w:rPr>
      </w:pPr>
      <w:r>
        <w:rPr>
          <w:rFonts w:hint="eastAsia" w:ascii="仿宋_GB2312" w:hAnsi="仿宋_GB2312" w:cs="仿宋_GB2312"/>
          <w:highlight w:val="none"/>
          <w:lang w:val="en-US" w:eastAsia="zh-CN"/>
        </w:rPr>
        <w:t>（2）满意度指标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本项目无此指标。</w:t>
      </w:r>
    </w:p>
    <w:p>
      <w:pPr>
        <w:pStyle w:val="31"/>
        <w:keepNext w:val="0"/>
        <w:keepLines w:val="0"/>
        <w:spacing w:line="520" w:lineRule="exact"/>
        <w:ind w:firstLine="640" w:firstLineChars="200"/>
        <w:jc w:val="both"/>
      </w:pPr>
      <w:bookmarkStart w:id="155" w:name="_Toc10934"/>
      <w:bookmarkStart w:id="156" w:name="_Toc18449"/>
      <w:bookmarkStart w:id="157" w:name="_Toc10463_WPSOffice_Level1"/>
      <w:bookmarkStart w:id="158" w:name="_Toc15802"/>
      <w:bookmarkStart w:id="159" w:name="_Toc127054598"/>
      <w:bookmarkStart w:id="160" w:name="_Toc10930_WPSOffice_Level1"/>
      <w:bookmarkStart w:id="161" w:name="_Toc24849"/>
      <w:bookmarkStart w:id="162" w:name="_Toc24579"/>
      <w:bookmarkStart w:id="163" w:name="_Toc17211"/>
      <w:bookmarkStart w:id="164" w:name="_Toc2006_WPSOffice_Level1"/>
      <w:r>
        <w:rPr>
          <w:rFonts w:hint="eastAsia"/>
        </w:rPr>
        <w:t>五、预算执行进度与绩效指标偏差</w:t>
      </w:r>
      <w:bookmarkEnd w:id="155"/>
      <w:bookmarkEnd w:id="156"/>
      <w:bookmarkEnd w:id="157"/>
      <w:bookmarkEnd w:id="158"/>
      <w:bookmarkEnd w:id="159"/>
    </w:p>
    <w:p>
      <w:pPr>
        <w:pStyle w:val="32"/>
        <w:rPr>
          <w:rFonts w:hint="eastAsia" w:ascii="仿宋_GB2312" w:hAnsi="仿宋_GB2312" w:cs="仿宋_GB2312"/>
          <w:sz w:val="28"/>
          <w:szCs w:val="28"/>
          <w:highlight w:val="none"/>
          <w:lang w:val="en-US" w:eastAsia="zh-CN"/>
        </w:rPr>
      </w:pPr>
      <w:bookmarkStart w:id="165" w:name="_Toc28884"/>
      <w:bookmarkStart w:id="166" w:name="_Toc19104_WPSOffice_Level1"/>
      <w:bookmarkStart w:id="167" w:name="_Toc24452"/>
      <w:bookmarkStart w:id="168" w:name="_Toc127054599"/>
      <w:bookmarkStart w:id="169" w:name="_Toc12278"/>
      <w:r>
        <w:rPr>
          <w:rFonts w:hint="eastAsia" w:ascii="仿宋_GB2312" w:hAnsi="仿宋_GB2312" w:eastAsia="仿宋_GB2312" w:cs="仿宋_GB2312"/>
          <w:sz w:val="28"/>
          <w:szCs w:val="28"/>
          <w:highlight w:val="none"/>
          <w:lang w:val="en-US" w:eastAsia="zh-CN"/>
        </w:rPr>
        <w:t>“</w:t>
      </w:r>
      <w:r>
        <w:rPr>
          <w:rFonts w:hint="eastAsia" w:ascii="仿宋_GB2312" w:hAnsi="仿宋_GB2312" w:cs="仿宋_GB2312"/>
          <w:sz w:val="28"/>
          <w:szCs w:val="28"/>
          <w:highlight w:val="none"/>
          <w:lang w:val="en-US" w:eastAsia="zh-CN"/>
        </w:rPr>
        <w:t>喀什地区30口地下水监测井站岳普湖县8口井项目</w:t>
      </w:r>
      <w:r>
        <w:rPr>
          <w:rFonts w:hint="eastAsia" w:ascii="仿宋_GB2312" w:hAnsi="仿宋_GB2312" w:eastAsia="仿宋_GB2312" w:cs="仿宋_GB2312"/>
          <w:sz w:val="28"/>
          <w:szCs w:val="28"/>
          <w:highlight w:val="none"/>
          <w:lang w:val="en-US" w:eastAsia="zh-CN"/>
        </w:rPr>
        <w:t>”</w:t>
      </w:r>
      <w:r>
        <w:rPr>
          <w:rFonts w:hint="eastAsia" w:ascii="仿宋_GB2312" w:hAnsi="仿宋_GB2312" w:cs="仿宋_GB2312"/>
          <w:sz w:val="28"/>
          <w:szCs w:val="28"/>
          <w:highlight w:val="none"/>
          <w:lang w:val="en-US" w:eastAsia="zh-CN"/>
        </w:rPr>
        <w:t>预算执行率与绩效指标完成率存在重大偏差，项目预算执行率为71.4%，项目绩效指标总体完成率91.8%，偏差率为20.4%。</w:t>
      </w:r>
    </w:p>
    <w:p>
      <w:pPr>
        <w:pStyle w:val="32"/>
        <w:rPr>
          <w:rFonts w:hint="default" w:ascii="仿宋_GB2312" w:hAnsi="仿宋_GB2312" w:cs="仿宋_GB2312"/>
          <w:sz w:val="28"/>
          <w:szCs w:val="28"/>
          <w:highlight w:val="none"/>
          <w:lang w:val="en-US" w:eastAsia="zh-CN"/>
        </w:rPr>
      </w:pPr>
      <w:r>
        <w:rPr>
          <w:rFonts w:hint="eastAsia" w:ascii="仿宋_GB2312" w:hAnsi="仿宋_GB2312" w:cs="仿宋_GB2312"/>
          <w:sz w:val="28"/>
          <w:szCs w:val="28"/>
          <w:highlight w:val="none"/>
          <w:lang w:val="en-US" w:eastAsia="zh-CN"/>
        </w:rPr>
        <w:t>时效指标下的“资金按期支付及时率”、经济成本指标下的“监测井建设成本”实际完成值未达预期，造成指标完成率出现负偏差。</w:t>
      </w:r>
    </w:p>
    <w:p>
      <w:pPr>
        <w:pStyle w:val="32"/>
        <w:rPr>
          <w:rFonts w:hint="eastAsia" w:ascii="仿宋_GB2312" w:hAnsi="仿宋_GB2312" w:cs="仿宋_GB2312"/>
          <w:sz w:val="28"/>
          <w:szCs w:val="28"/>
          <w:highlight w:val="none"/>
          <w:lang w:val="en-US" w:eastAsia="zh-CN"/>
        </w:rPr>
      </w:pPr>
      <w:r>
        <w:rPr>
          <w:rFonts w:hint="eastAsia" w:ascii="仿宋_GB2312" w:hAnsi="仿宋_GB2312" w:cs="仿宋_GB2312"/>
          <w:sz w:val="28"/>
          <w:szCs w:val="28"/>
          <w:highlight w:val="none"/>
          <w:lang w:val="en-US" w:eastAsia="zh-CN"/>
        </w:rPr>
        <w:t>未完成原因：项目已完工并验收，因正在进行审计，剩余款项尚未支付。</w:t>
      </w:r>
    </w:p>
    <w:p>
      <w:pPr>
        <w:pStyle w:val="32"/>
        <w:rPr>
          <w:rFonts w:hint="eastAsia"/>
          <w:highlight w:val="none"/>
          <w:lang w:val="en-US" w:eastAsia="zh-CN"/>
        </w:rPr>
      </w:pPr>
      <w:r>
        <w:rPr>
          <w:rFonts w:hint="eastAsia" w:ascii="仿宋_GB2312" w:hAnsi="仿宋_GB2312" w:cs="仿宋_GB2312"/>
          <w:sz w:val="28"/>
          <w:szCs w:val="28"/>
          <w:highlight w:val="none"/>
          <w:lang w:val="en-US" w:eastAsia="zh-CN"/>
        </w:rPr>
        <w:t>改进措施：待审计结束后，按照资金审批程序支付剩余工程款项。</w:t>
      </w:r>
    </w:p>
    <w:p>
      <w:pPr>
        <w:pStyle w:val="31"/>
        <w:keepNext w:val="0"/>
        <w:keepLines w:val="0"/>
        <w:spacing w:line="520" w:lineRule="exact"/>
        <w:ind w:firstLine="640" w:firstLineChars="200"/>
        <w:jc w:val="both"/>
        <w:rPr>
          <w:rFonts w:hint="default" w:eastAsia="黑体"/>
          <w:lang w:val="en-US" w:eastAsia="zh-CN"/>
        </w:rPr>
      </w:pPr>
      <w:r>
        <w:rPr>
          <w:rFonts w:hint="eastAsia"/>
        </w:rPr>
        <w:t>六、主要经验及做法、存在的问题及原因分析</w:t>
      </w:r>
      <w:bookmarkEnd w:id="160"/>
      <w:bookmarkEnd w:id="161"/>
      <w:bookmarkEnd w:id="162"/>
      <w:bookmarkEnd w:id="163"/>
      <w:bookmarkEnd w:id="164"/>
      <w:bookmarkEnd w:id="165"/>
      <w:bookmarkEnd w:id="166"/>
      <w:bookmarkEnd w:id="167"/>
      <w:bookmarkEnd w:id="168"/>
      <w:bookmarkEnd w:id="169"/>
      <w:r>
        <w:rPr>
          <w:rFonts w:hint="eastAsia"/>
          <w:lang w:eastAsia="zh-CN"/>
        </w:rPr>
        <w:t>、</w:t>
      </w:r>
      <w:r>
        <w:rPr>
          <w:rFonts w:hint="eastAsia"/>
          <w:lang w:val="en-US" w:eastAsia="zh-CN"/>
        </w:rPr>
        <w:t>下一步改进措施</w:t>
      </w:r>
    </w:p>
    <w:p>
      <w:pPr>
        <w:pStyle w:val="52"/>
        <w:keepNext w:val="0"/>
        <w:keepLines w:val="0"/>
        <w:spacing w:line="520" w:lineRule="exact"/>
        <w:ind w:left="560"/>
        <w:jc w:val="both"/>
        <w:rPr>
          <w:rFonts w:hint="default" w:ascii="仿宋_GB2312" w:hAnsi="仿宋_GB2312" w:eastAsia="仿宋_GB2312" w:cs="仿宋_GB2312"/>
          <w:color w:val="FF0000"/>
          <w:lang w:val="en-US" w:eastAsia="zh-CN"/>
        </w:rPr>
      </w:pPr>
      <w:bookmarkStart w:id="170" w:name="_Toc6806_WPSOffice_Level2"/>
      <w:bookmarkStart w:id="171" w:name="_Toc19554"/>
      <w:bookmarkStart w:id="172" w:name="_Toc127054600"/>
      <w:bookmarkStart w:id="173" w:name="_Toc14218"/>
      <w:bookmarkStart w:id="174" w:name="_Toc23806_WPSOffice_Level2"/>
      <w:bookmarkStart w:id="175" w:name="_Toc12587"/>
      <w:bookmarkStart w:id="176" w:name="_Toc28921"/>
      <w:bookmarkStart w:id="177" w:name="_Toc16717"/>
      <w:bookmarkStart w:id="178" w:name="_Toc18033"/>
      <w:bookmarkStart w:id="179" w:name="_Toc5442_WPSOffice_Level2"/>
      <w:r>
        <w:rPr>
          <w:rFonts w:hint="eastAsia" w:ascii="仿宋_GB2312" w:hAnsi="仿宋_GB2312" w:cs="仿宋_GB2312"/>
        </w:rPr>
        <w:t>（一）主要经验及做法</w:t>
      </w:r>
      <w:bookmarkEnd w:id="170"/>
      <w:bookmarkEnd w:id="171"/>
      <w:bookmarkEnd w:id="172"/>
      <w:bookmarkEnd w:id="173"/>
      <w:bookmarkEnd w:id="174"/>
      <w:bookmarkEnd w:id="175"/>
      <w:bookmarkEnd w:id="176"/>
      <w:bookmarkEnd w:id="177"/>
      <w:bookmarkEnd w:id="178"/>
      <w:bookmarkEnd w:id="179"/>
    </w:p>
    <w:p>
      <w:pPr>
        <w:pStyle w:val="32"/>
        <w:spacing w:line="520" w:lineRule="exact"/>
        <w:ind w:firstLine="560"/>
        <w:rPr>
          <w:rFonts w:hint="eastAsia" w:ascii="仿宋_GB2312" w:hAnsi="仿宋_GB2312" w:cs="仿宋_GB2312"/>
        </w:rPr>
      </w:pPr>
      <w:r>
        <w:rPr>
          <w:rFonts w:hint="eastAsia" w:ascii="仿宋_GB2312" w:hAnsi="仿宋_GB2312" w:cs="仿宋_GB2312"/>
        </w:rPr>
        <w:t>1.项目前期进行充分的调研和规划。选择地下水丰富、水质较好的作为建设地点，确保监测数据的准确性和代表性。同时，避开污染源，防止对监测数据产生干扰。综合考虑地下水流动的方向和速度，选择合适的井深和井径，准确反映地下水的变化情况。</w:t>
      </w:r>
    </w:p>
    <w:p>
      <w:pPr>
        <w:pStyle w:val="32"/>
        <w:spacing w:line="520" w:lineRule="exact"/>
        <w:ind w:firstLine="560"/>
        <w:rPr>
          <w:rFonts w:hint="eastAsia" w:ascii="仿宋_GB2312" w:hAnsi="仿宋_GB2312" w:cs="仿宋_GB2312"/>
        </w:rPr>
      </w:pPr>
      <w:r>
        <w:rPr>
          <w:rFonts w:hint="eastAsia" w:ascii="仿宋_GB2312" w:hAnsi="仿宋_GB2312" w:cs="仿宋_GB2312"/>
          <w:lang w:val="en-US" w:eastAsia="zh-CN"/>
        </w:rPr>
        <w:t>2.</w:t>
      </w:r>
      <w:r>
        <w:rPr>
          <w:rFonts w:hint="eastAsia" w:ascii="仿宋_GB2312" w:hAnsi="仿宋_GB2312" w:cs="仿宋_GB2312"/>
        </w:rPr>
        <w:t>加强领导和组织。项目负责部门多次召开工作会议，制定严密的工作计划，落实定期汇报和检查制度。保障项目的有序开展，及时解决施工过程中出现的问题。</w:t>
      </w:r>
    </w:p>
    <w:p>
      <w:pPr>
        <w:pStyle w:val="52"/>
        <w:keepNext w:val="0"/>
        <w:keepLines w:val="0"/>
        <w:spacing w:line="520" w:lineRule="exact"/>
        <w:ind w:left="560"/>
        <w:jc w:val="both"/>
        <w:rPr>
          <w:rFonts w:ascii="仿宋_GB2312" w:hAnsi="仿宋_GB2312" w:cs="仿宋_GB2312"/>
          <w:sz w:val="18"/>
          <w:szCs w:val="18"/>
        </w:rPr>
      </w:pPr>
      <w:bookmarkStart w:id="180" w:name="_Toc14241"/>
      <w:bookmarkStart w:id="181" w:name="_Toc14455"/>
      <w:bookmarkStart w:id="182" w:name="_Toc22757"/>
      <w:bookmarkStart w:id="183" w:name="_Toc30239"/>
      <w:bookmarkStart w:id="184" w:name="_Toc27136_WPSOffice_Level2"/>
      <w:bookmarkStart w:id="185" w:name="_Toc2377_WPSOffice_Level2"/>
      <w:bookmarkStart w:id="186" w:name="_Toc29645_WPSOffice_Level2"/>
      <w:bookmarkStart w:id="187" w:name="_Toc16479"/>
      <w:bookmarkStart w:id="188" w:name="_Toc22477"/>
      <w:bookmarkStart w:id="189" w:name="_Toc127054601"/>
      <w:r>
        <w:rPr>
          <w:rFonts w:hint="eastAsia" w:ascii="仿宋_GB2312" w:hAnsi="仿宋_GB2312" w:cs="仿宋_GB2312"/>
        </w:rPr>
        <w:t>（二）存在</w:t>
      </w:r>
      <w:r>
        <w:rPr>
          <w:rFonts w:hint="eastAsia" w:ascii="仿宋_GB2312" w:hAnsi="仿宋_GB2312" w:cs="仿宋_GB2312"/>
          <w:lang w:val="en-US" w:eastAsia="zh-CN"/>
        </w:rPr>
        <w:t>的</w:t>
      </w:r>
      <w:r>
        <w:rPr>
          <w:rFonts w:hint="eastAsia" w:ascii="仿宋_GB2312" w:hAnsi="仿宋_GB2312" w:cs="仿宋_GB2312"/>
        </w:rPr>
        <w:t>问题及原因分析</w:t>
      </w:r>
      <w:bookmarkEnd w:id="180"/>
      <w:bookmarkEnd w:id="181"/>
      <w:bookmarkEnd w:id="182"/>
      <w:bookmarkEnd w:id="183"/>
      <w:bookmarkEnd w:id="184"/>
      <w:bookmarkEnd w:id="185"/>
      <w:bookmarkEnd w:id="186"/>
      <w:bookmarkEnd w:id="187"/>
      <w:bookmarkEnd w:id="188"/>
      <w:bookmarkEnd w:id="189"/>
    </w:p>
    <w:p>
      <w:pPr>
        <w:pStyle w:val="32"/>
        <w:spacing w:line="520" w:lineRule="exact"/>
        <w:ind w:firstLine="560"/>
        <w:rPr>
          <w:rFonts w:hint="eastAsia" w:ascii="仿宋_GB2312" w:hAnsi="仿宋_GB2312" w:cs="仿宋_GB2312"/>
        </w:rPr>
      </w:pPr>
      <w:bookmarkStart w:id="190" w:name="_Toc31693"/>
      <w:bookmarkStart w:id="191" w:name="_Toc20951"/>
      <w:bookmarkStart w:id="192" w:name="_Toc13442"/>
      <w:bookmarkStart w:id="193" w:name="_Toc25046"/>
      <w:bookmarkStart w:id="194" w:name="_Toc127054602"/>
      <w:bookmarkStart w:id="195" w:name="_Toc16264"/>
      <w:bookmarkStart w:id="196" w:name="_Toc8075"/>
      <w:bookmarkStart w:id="197" w:name="_Toc15650_WPSOffice_Level1"/>
      <w:bookmarkStart w:id="198" w:name="_Toc26233_WPSOffice_Level1"/>
      <w:bookmarkStart w:id="199" w:name="_Toc12413_WPSOffice_Level1"/>
      <w:r>
        <w:rPr>
          <w:rFonts w:hint="eastAsia" w:ascii="仿宋_GB2312" w:hAnsi="仿宋_GB2312" w:cs="仿宋_GB2312"/>
          <w:lang w:val="en-US" w:eastAsia="zh-CN"/>
        </w:rPr>
        <w:t>1.</w:t>
      </w:r>
      <w:r>
        <w:rPr>
          <w:rFonts w:hint="eastAsia" w:ascii="仿宋_GB2312" w:hAnsi="仿宋_GB2312" w:cs="仿宋_GB2312"/>
        </w:rPr>
        <w:t>监测数据的质量管理和分析利用不足：监测数据存在</w:t>
      </w:r>
      <w:r>
        <w:rPr>
          <w:rFonts w:hint="eastAsia" w:ascii="仿宋_GB2312" w:hAnsi="仿宋_GB2312" w:cs="仿宋_GB2312"/>
          <w:lang w:val="en-US" w:eastAsia="zh-CN"/>
        </w:rPr>
        <w:t>部分</w:t>
      </w:r>
      <w:r>
        <w:rPr>
          <w:rFonts w:hint="eastAsia" w:ascii="仿宋_GB2312" w:hAnsi="仿宋_GB2312" w:cs="仿宋_GB2312"/>
        </w:rPr>
        <w:t>错误或不规范的情况，导致</w:t>
      </w:r>
      <w:r>
        <w:rPr>
          <w:rFonts w:hint="eastAsia" w:ascii="仿宋_GB2312" w:hAnsi="仿宋_GB2312" w:cs="仿宋_GB2312"/>
          <w:lang w:val="en-US" w:eastAsia="zh-CN"/>
        </w:rPr>
        <w:t>部分</w:t>
      </w:r>
      <w:r>
        <w:rPr>
          <w:rFonts w:hint="eastAsia" w:ascii="仿宋_GB2312" w:hAnsi="仿宋_GB2312" w:cs="仿宋_GB2312"/>
        </w:rPr>
        <w:t>数据质量不高，</w:t>
      </w:r>
      <w:r>
        <w:rPr>
          <w:rFonts w:hint="eastAsia" w:ascii="仿宋_GB2312" w:hAnsi="仿宋_GB2312" w:cs="仿宋_GB2312"/>
          <w:lang w:val="en-US" w:eastAsia="zh-CN"/>
        </w:rPr>
        <w:t>数据修正不及时</w:t>
      </w:r>
      <w:r>
        <w:rPr>
          <w:rFonts w:hint="eastAsia" w:ascii="仿宋_GB2312" w:hAnsi="仿宋_GB2312" w:cs="仿宋_GB2312"/>
        </w:rPr>
        <w:t>。</w:t>
      </w:r>
    </w:p>
    <w:p>
      <w:pPr>
        <w:pStyle w:val="32"/>
        <w:spacing w:line="520" w:lineRule="exact"/>
        <w:ind w:firstLine="560"/>
        <w:rPr>
          <w:rFonts w:hint="eastAsia" w:ascii="仿宋_GB2312" w:hAnsi="仿宋_GB2312" w:cs="仿宋_GB2312"/>
        </w:rPr>
      </w:pPr>
      <w:r>
        <w:rPr>
          <w:rFonts w:hint="eastAsia" w:ascii="仿宋_GB2312" w:hAnsi="仿宋_GB2312" w:cs="仿宋_GB2312"/>
          <w:lang w:val="en-US" w:eastAsia="zh-CN"/>
        </w:rPr>
        <w:t>2.</w:t>
      </w:r>
      <w:r>
        <w:rPr>
          <w:rFonts w:hint="eastAsia" w:ascii="仿宋_GB2312" w:hAnsi="仿宋_GB2312" w:cs="仿宋_GB2312"/>
        </w:rPr>
        <w:t>项目管理和维护</w:t>
      </w:r>
      <w:r>
        <w:rPr>
          <w:rFonts w:hint="eastAsia" w:ascii="仿宋_GB2312" w:hAnsi="仿宋_GB2312" w:cs="仿宋_GB2312"/>
          <w:lang w:val="en-US" w:eastAsia="zh-CN"/>
        </w:rPr>
        <w:t>有待提升</w:t>
      </w:r>
      <w:r>
        <w:rPr>
          <w:rFonts w:hint="eastAsia" w:ascii="仿宋_GB2312" w:hAnsi="仿宋_GB2312" w:cs="仿宋_GB2312"/>
        </w:rPr>
        <w:t>：</w:t>
      </w:r>
      <w:r>
        <w:rPr>
          <w:rFonts w:hint="eastAsia" w:ascii="仿宋_GB2312" w:hAnsi="仿宋_GB2312" w:cs="仿宋_GB2312"/>
          <w:lang w:val="en-US" w:eastAsia="zh-CN"/>
        </w:rPr>
        <w:t>部分</w:t>
      </w:r>
      <w:r>
        <w:rPr>
          <w:rFonts w:hint="eastAsia" w:ascii="仿宋_GB2312" w:hAnsi="仿宋_GB2312" w:cs="仿宋_GB2312"/>
        </w:rPr>
        <w:t>监测站点存在管理维护不及时的问题，导致</w:t>
      </w:r>
      <w:r>
        <w:rPr>
          <w:rFonts w:hint="eastAsia" w:ascii="仿宋_GB2312" w:hAnsi="仿宋_GB2312" w:cs="仿宋_GB2312"/>
          <w:lang w:val="en-US" w:eastAsia="zh-CN"/>
        </w:rPr>
        <w:t>部分监测站点</w:t>
      </w:r>
      <w:r>
        <w:rPr>
          <w:rFonts w:hint="eastAsia" w:ascii="仿宋_GB2312" w:hAnsi="仿宋_GB2312" w:cs="仿宋_GB2312"/>
        </w:rPr>
        <w:t>数据</w:t>
      </w:r>
      <w:r>
        <w:rPr>
          <w:rFonts w:hint="eastAsia" w:ascii="仿宋_GB2312" w:hAnsi="仿宋_GB2312" w:cs="仿宋_GB2312"/>
          <w:lang w:val="en-US" w:eastAsia="zh-CN"/>
        </w:rPr>
        <w:t>有误</w:t>
      </w:r>
      <w:r>
        <w:rPr>
          <w:rFonts w:hint="eastAsia" w:ascii="仿宋_GB2312" w:hAnsi="仿宋_GB2312" w:cs="仿宋_GB2312"/>
        </w:rPr>
        <w:t>等现象发生。</w:t>
      </w:r>
    </w:p>
    <w:p>
      <w:pPr>
        <w:pStyle w:val="52"/>
        <w:keepNext w:val="0"/>
        <w:keepLines w:val="0"/>
        <w:spacing w:line="520" w:lineRule="exact"/>
        <w:ind w:left="560"/>
        <w:jc w:val="both"/>
        <w:rPr>
          <w:rFonts w:hint="eastAsia" w:ascii="仿宋_GB2312" w:hAnsi="仿宋_GB2312" w:cs="仿宋_GB2312"/>
          <w:sz w:val="21"/>
          <w:szCs w:val="21"/>
          <w:lang w:val="en-US" w:eastAsia="zh-CN"/>
        </w:rPr>
      </w:pPr>
      <w:r>
        <w:rPr>
          <w:rFonts w:hint="eastAsia" w:ascii="仿宋_GB2312" w:hAnsi="仿宋_GB2312" w:cs="仿宋_GB2312"/>
          <w:lang w:val="en-US" w:eastAsia="zh-CN"/>
        </w:rPr>
        <w:t>（三）下一步改进措施</w:t>
      </w:r>
    </w:p>
    <w:p>
      <w:pPr>
        <w:pStyle w:val="32"/>
        <w:spacing w:line="520" w:lineRule="exact"/>
        <w:ind w:firstLine="560"/>
        <w:rPr>
          <w:rFonts w:ascii="仿宋_GB2312" w:hAnsi="仿宋_GB2312" w:cs="仿宋_GB2312"/>
        </w:rPr>
      </w:pPr>
      <w:r>
        <w:rPr>
          <w:rFonts w:hint="eastAsia" w:ascii="仿宋_GB2312" w:hAnsi="仿宋_GB2312" w:cs="仿宋_GB2312"/>
        </w:rPr>
        <w:t>1.建立健全的数据质量管理体系</w:t>
      </w:r>
      <w:r>
        <w:rPr>
          <w:rFonts w:hint="eastAsia" w:ascii="仿宋_GB2312" w:hAnsi="仿宋_GB2312" w:cs="仿宋_GB2312"/>
          <w:lang w:eastAsia="zh-CN"/>
        </w:rPr>
        <w:t>。</w:t>
      </w:r>
      <w:r>
        <w:rPr>
          <w:rFonts w:hint="eastAsia" w:ascii="仿宋_GB2312" w:hAnsi="仿宋_GB2312" w:cs="仿宋_GB2312"/>
        </w:rPr>
        <w:t>加强对监测数据的审核和校验，确保数据的准确性和可靠性。同时，加强数据处理和分析能力建设，采用先进的数据分析方法和软件，提取有价值的监测信息，为地下水资源的保护和合理利用提供科学依据。</w:t>
      </w:r>
    </w:p>
    <w:p>
      <w:pPr>
        <w:pStyle w:val="32"/>
        <w:spacing w:line="520" w:lineRule="exact"/>
        <w:ind w:firstLine="560"/>
        <w:rPr>
          <w:rFonts w:ascii="仿宋_GB2312" w:hAnsi="仿宋_GB2312" w:cs="仿宋_GB2312"/>
        </w:rPr>
      </w:pPr>
      <w:r>
        <w:rPr>
          <w:rFonts w:hint="eastAsia" w:ascii="仿宋_GB2312" w:hAnsi="仿宋_GB2312" w:cs="仿宋_GB2312"/>
        </w:rPr>
        <w:t>2.强化项目管理和维护：建立完善的项目管理制度和维护体系，明确各方职责和工作流程；加强培训和技术支持，提高管理人员和维护人员的专业素质和技能水平；定期开展设备检查和维修工作，确保监测站点的正常运行和数据的准确性。</w:t>
      </w:r>
    </w:p>
    <w:p>
      <w:pPr>
        <w:pStyle w:val="31"/>
        <w:keepNext w:val="0"/>
        <w:keepLines w:val="0"/>
        <w:spacing w:line="520" w:lineRule="exact"/>
        <w:ind w:firstLine="640" w:firstLineChars="200"/>
        <w:jc w:val="both"/>
        <w:rPr>
          <w:sz w:val="21"/>
          <w:szCs w:val="21"/>
        </w:rPr>
      </w:pPr>
      <w:r>
        <w:rPr>
          <w:rFonts w:hint="eastAsia"/>
        </w:rPr>
        <w:t>七、有关建议</w:t>
      </w:r>
      <w:bookmarkEnd w:id="190"/>
      <w:bookmarkEnd w:id="191"/>
      <w:bookmarkEnd w:id="192"/>
      <w:bookmarkEnd w:id="193"/>
      <w:bookmarkEnd w:id="194"/>
      <w:bookmarkEnd w:id="195"/>
      <w:bookmarkEnd w:id="196"/>
      <w:bookmarkEnd w:id="197"/>
      <w:bookmarkEnd w:id="198"/>
      <w:bookmarkEnd w:id="199"/>
    </w:p>
    <w:p>
      <w:pPr>
        <w:pStyle w:val="32"/>
        <w:spacing w:line="520" w:lineRule="exact"/>
        <w:ind w:firstLine="560"/>
        <w:rPr>
          <w:rFonts w:hint="eastAsia" w:ascii="仿宋_GB2312" w:hAnsi="仿宋_GB2312" w:cs="仿宋_GB2312"/>
        </w:rPr>
      </w:pPr>
      <w:bookmarkStart w:id="200" w:name="_Toc20924_WPSOffice_Level1"/>
      <w:bookmarkStart w:id="201" w:name="_Toc6873"/>
      <w:bookmarkStart w:id="202" w:name="_Toc127054603"/>
      <w:bookmarkStart w:id="203" w:name="_Toc7041"/>
      <w:bookmarkStart w:id="204" w:name="_Toc17796"/>
      <w:bookmarkStart w:id="205" w:name="_Toc28208_WPSOffice_Level1"/>
      <w:bookmarkStart w:id="206" w:name="_Toc5941_WPSOffice_Level1"/>
      <w:bookmarkStart w:id="207" w:name="_Toc29208"/>
      <w:bookmarkStart w:id="208" w:name="_Toc23889"/>
      <w:bookmarkStart w:id="209" w:name="_Toc30131"/>
      <w:r>
        <w:rPr>
          <w:rFonts w:hint="eastAsia" w:ascii="仿宋_GB2312" w:hAnsi="仿宋_GB2312" w:cs="仿宋_GB2312"/>
        </w:rPr>
        <w:t>1.</w:t>
      </w:r>
      <w:r>
        <w:rPr>
          <w:rFonts w:hint="eastAsia" w:ascii="仿宋_GB2312" w:hAnsi="仿宋_GB2312" w:cs="仿宋_GB2312"/>
          <w:lang w:val="en-US" w:eastAsia="zh-CN"/>
        </w:rPr>
        <w:t>建议继续提高技术水平：积极引进和研发先进的地下水监测技术和设备，提高监测数据的准确性和稳定性。同时，加强技术培训，提高工作人员的专业素质和技术水平。</w:t>
      </w:r>
    </w:p>
    <w:p>
      <w:pPr>
        <w:pStyle w:val="32"/>
        <w:spacing w:line="520" w:lineRule="exact"/>
        <w:ind w:firstLine="560"/>
        <w:rPr>
          <w:rFonts w:hint="eastAsia" w:ascii="仿宋_GB2312" w:hAnsi="仿宋_GB2312" w:cs="仿宋_GB2312"/>
          <w:lang w:val="en-US" w:eastAsia="zh-CN"/>
        </w:rPr>
      </w:pPr>
      <w:r>
        <w:rPr>
          <w:rFonts w:hint="eastAsia" w:ascii="仿宋_GB2312" w:hAnsi="仿宋_GB2312" w:cs="仿宋_GB2312"/>
          <w:lang w:val="en-US" w:eastAsia="zh-CN"/>
        </w:rPr>
        <w:t>2.建议定期对设备进行维护和更新：定期对监测设备进行维护和检查，确保其正常运行。同时，随着技术的不断进步，应及时更新设备，提高监测效率。</w:t>
      </w:r>
    </w:p>
    <w:p>
      <w:pPr>
        <w:pStyle w:val="32"/>
        <w:spacing w:line="520" w:lineRule="exact"/>
        <w:ind w:firstLine="560"/>
        <w:rPr>
          <w:rFonts w:hint="default" w:ascii="仿宋_GB2312" w:hAnsi="仿宋_GB2312" w:cs="仿宋_GB2312"/>
          <w:lang w:val="en-US" w:eastAsia="zh-CN"/>
        </w:rPr>
      </w:pPr>
      <w:r>
        <w:rPr>
          <w:rFonts w:hint="eastAsia" w:ascii="仿宋_GB2312" w:hAnsi="仿宋_GB2312" w:cs="仿宋_GB2312"/>
          <w:lang w:val="en-US" w:eastAsia="zh-CN"/>
        </w:rPr>
        <w:t>3.建议对数据共享和公开：建立数据共享机制，实现监测数据的实时共享和公开，为相关部门和公众提供便捷的查询服务。</w:t>
      </w:r>
    </w:p>
    <w:p>
      <w:pPr>
        <w:pStyle w:val="31"/>
        <w:keepNext w:val="0"/>
        <w:keepLines w:val="0"/>
        <w:spacing w:line="520" w:lineRule="exact"/>
        <w:ind w:firstLine="640" w:firstLineChars="200"/>
        <w:jc w:val="both"/>
      </w:pPr>
      <w:r>
        <w:rPr>
          <w:rFonts w:hint="eastAsia"/>
        </w:rPr>
        <w:t>八、其他需要说明的问题</w:t>
      </w:r>
      <w:bookmarkEnd w:id="200"/>
      <w:bookmarkEnd w:id="201"/>
      <w:bookmarkEnd w:id="202"/>
      <w:bookmarkEnd w:id="203"/>
      <w:bookmarkEnd w:id="204"/>
      <w:bookmarkEnd w:id="205"/>
      <w:bookmarkEnd w:id="206"/>
      <w:bookmarkEnd w:id="207"/>
      <w:bookmarkEnd w:id="208"/>
      <w:bookmarkEnd w:id="209"/>
    </w:p>
    <w:p>
      <w:pPr>
        <w:pStyle w:val="32"/>
        <w:spacing w:line="520" w:lineRule="exact"/>
        <w:ind w:firstLine="560"/>
      </w:pPr>
      <w:r>
        <w:rPr>
          <w:rFonts w:hint="eastAsia"/>
        </w:rPr>
        <w:t>我单位对上述项目支出绩效评价报告内反映内容的真实性、完整性负责，接受上级部门及社会公众监督。</w:t>
      </w:r>
    </w:p>
    <w:p>
      <w:pPr>
        <w:pStyle w:val="32"/>
        <w:ind w:firstLine="560"/>
      </w:pPr>
      <w:bookmarkStart w:id="210" w:name="_Toc25689_WPSOffice_Level1"/>
      <w:bookmarkStart w:id="211" w:name="_Toc30582_WPSOffice_Level1"/>
    </w:p>
    <w:p>
      <w:pPr>
        <w:pStyle w:val="32"/>
        <w:ind w:firstLine="560"/>
      </w:pPr>
      <w:bookmarkStart w:id="212" w:name="_Toc13636_WPSOffice_Level1"/>
      <w:r>
        <w:rPr>
          <w:rFonts w:hint="eastAsia"/>
        </w:rPr>
        <w:t>附件1：综合评分表</w:t>
      </w:r>
      <w:bookmarkEnd w:id="210"/>
      <w:bookmarkEnd w:id="211"/>
      <w:bookmarkEnd w:id="212"/>
    </w:p>
    <w:p>
      <w:pPr>
        <w:pStyle w:val="32"/>
        <w:ind w:firstLine="560"/>
        <w:sectPr>
          <w:footerReference r:id="rId5" w:type="default"/>
          <w:pgSz w:w="11906" w:h="16838"/>
          <w:pgMar w:top="1440" w:right="1800" w:bottom="1440" w:left="1800" w:header="851" w:footer="992" w:gutter="0"/>
          <w:pgNumType w:fmt="numberInDash" w:start="1"/>
          <w:cols w:space="720" w:num="1"/>
          <w:docGrid w:type="lines" w:linePitch="312" w:charSpace="0"/>
        </w:sectPr>
      </w:pPr>
      <w:bookmarkStart w:id="219" w:name="_GoBack"/>
      <w:bookmarkEnd w:id="219"/>
    </w:p>
    <w:p>
      <w:pPr>
        <w:pStyle w:val="32"/>
        <w:ind w:firstLine="0" w:firstLineChars="0"/>
        <w:rPr>
          <w:rFonts w:ascii="仿宋_GB2312" w:hAnsi="仿宋_GB2312" w:cs="仿宋_GB2312"/>
          <w:b/>
          <w:bCs/>
        </w:rPr>
      </w:pPr>
      <w:bookmarkStart w:id="213" w:name="_Toc25446_WPSOffice_Level1"/>
      <w:bookmarkStart w:id="214" w:name="_Toc13717_WPSOffice_Level1"/>
      <w:bookmarkStart w:id="215" w:name="_Toc12641_WPSOffice_Level1"/>
      <w:r>
        <w:rPr>
          <w:rFonts w:hint="eastAsia" w:ascii="仿宋_GB2312" w:hAnsi="仿宋_GB2312" w:cs="仿宋_GB2312"/>
          <w:b/>
          <w:bCs/>
        </w:rPr>
        <w:t>附件1：综合评分表</w:t>
      </w:r>
      <w:bookmarkEnd w:id="213"/>
      <w:bookmarkEnd w:id="214"/>
      <w:bookmarkEnd w:id="215"/>
    </w:p>
    <w:p>
      <w:pPr>
        <w:pStyle w:val="32"/>
        <w:ind w:firstLine="562"/>
        <w:jc w:val="center"/>
        <w:rPr>
          <w:b/>
          <w:bCs/>
        </w:rPr>
      </w:pPr>
      <w:bookmarkStart w:id="216" w:name="_Toc12492_WPSOffice_Level2"/>
      <w:bookmarkStart w:id="217" w:name="_Toc26499_WPSOffice_Level2"/>
      <w:bookmarkStart w:id="218" w:name="_Toc30064_WPSOffice_Level1"/>
      <w:r>
        <w:rPr>
          <w:rFonts w:hint="eastAsia"/>
          <w:b/>
          <w:bCs/>
          <w:color w:val="auto"/>
          <w:highlight w:val="none"/>
          <w:lang w:eastAsia="zh-CN"/>
        </w:rPr>
        <w:t>喀什地区30口地下水监测井站岳普湖县8口井项目</w:t>
      </w:r>
      <w:r>
        <w:rPr>
          <w:rFonts w:hint="eastAsia"/>
          <w:b/>
          <w:bCs/>
          <w:highlight w:val="none"/>
        </w:rPr>
        <w:t>绩效评价指标体系及综合</w:t>
      </w:r>
      <w:r>
        <w:rPr>
          <w:rFonts w:hint="eastAsia"/>
          <w:b/>
          <w:bCs/>
        </w:rPr>
        <w:t>评分表</w:t>
      </w:r>
      <w:bookmarkEnd w:id="216"/>
      <w:bookmarkEnd w:id="217"/>
      <w:bookmarkEnd w:id="218"/>
    </w:p>
    <w:tbl>
      <w:tblPr>
        <w:tblStyle w:val="26"/>
        <w:tblW w:w="141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1140"/>
        <w:gridCol w:w="1186"/>
        <w:gridCol w:w="2315"/>
        <w:gridCol w:w="751"/>
        <w:gridCol w:w="6140"/>
        <w:gridCol w:w="717"/>
        <w:gridCol w:w="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blHeader/>
        </w:trPr>
        <w:tc>
          <w:tcPr>
            <w:tcW w:w="953" w:type="dxa"/>
            <w:shd w:val="clear" w:color="auto" w:fill="FFFFFF"/>
            <w:noWrap w:val="0"/>
            <w:vAlign w:val="center"/>
          </w:tcPr>
          <w:p>
            <w:pPr>
              <w:ind w:firstLine="0" w:firstLineChars="0"/>
              <w:textAlignment w:val="center"/>
              <w:rPr>
                <w:rFonts w:ascii="仿宋_GB2312" w:hAnsi="仿宋_GB2312" w:cs="仿宋_GB2312"/>
                <w:b/>
                <w:bCs/>
                <w:sz w:val="18"/>
                <w:szCs w:val="18"/>
              </w:rPr>
            </w:pPr>
            <w:r>
              <w:rPr>
                <w:rFonts w:hint="eastAsia" w:ascii="仿宋_GB2312" w:hAnsi="仿宋_GB2312" w:cs="仿宋_GB2312"/>
                <w:b/>
                <w:bCs/>
                <w:kern w:val="0"/>
                <w:sz w:val="18"/>
                <w:szCs w:val="18"/>
                <w:lang w:bidi="ar"/>
              </w:rPr>
              <w:t>一级指标</w:t>
            </w:r>
          </w:p>
        </w:tc>
        <w:tc>
          <w:tcPr>
            <w:tcW w:w="1140" w:type="dxa"/>
            <w:shd w:val="clear" w:color="auto" w:fill="FFFFFF"/>
            <w:noWrap w:val="0"/>
            <w:vAlign w:val="center"/>
          </w:tcPr>
          <w:p>
            <w:pPr>
              <w:ind w:firstLine="0" w:firstLineChars="0"/>
              <w:jc w:val="center"/>
              <w:textAlignment w:val="center"/>
              <w:rPr>
                <w:rFonts w:ascii="仿宋_GB2312" w:hAnsi="仿宋_GB2312" w:cs="仿宋_GB2312"/>
                <w:b/>
                <w:bCs/>
                <w:sz w:val="18"/>
                <w:szCs w:val="18"/>
              </w:rPr>
            </w:pPr>
            <w:r>
              <w:rPr>
                <w:rFonts w:hint="eastAsia" w:ascii="仿宋_GB2312" w:hAnsi="仿宋_GB2312" w:cs="仿宋_GB2312"/>
                <w:b/>
                <w:bCs/>
                <w:kern w:val="0"/>
                <w:sz w:val="18"/>
                <w:szCs w:val="18"/>
                <w:lang w:bidi="ar"/>
              </w:rPr>
              <w:t>二级指标</w:t>
            </w:r>
          </w:p>
        </w:tc>
        <w:tc>
          <w:tcPr>
            <w:tcW w:w="1186" w:type="dxa"/>
            <w:shd w:val="clear" w:color="auto" w:fill="FFFFFF"/>
            <w:noWrap w:val="0"/>
            <w:vAlign w:val="center"/>
          </w:tcPr>
          <w:p>
            <w:pPr>
              <w:ind w:firstLine="0" w:firstLineChars="0"/>
              <w:jc w:val="center"/>
              <w:textAlignment w:val="center"/>
              <w:rPr>
                <w:rFonts w:ascii="仿宋_GB2312" w:hAnsi="仿宋_GB2312" w:cs="仿宋_GB2312"/>
                <w:b/>
                <w:bCs/>
                <w:sz w:val="18"/>
                <w:szCs w:val="18"/>
              </w:rPr>
            </w:pPr>
            <w:r>
              <w:rPr>
                <w:rFonts w:hint="eastAsia" w:ascii="仿宋_GB2312" w:hAnsi="仿宋_GB2312" w:cs="仿宋_GB2312"/>
                <w:b/>
                <w:bCs/>
                <w:kern w:val="0"/>
                <w:sz w:val="18"/>
                <w:szCs w:val="18"/>
                <w:lang w:bidi="ar"/>
              </w:rPr>
              <w:t>三级指标</w:t>
            </w:r>
          </w:p>
        </w:tc>
        <w:tc>
          <w:tcPr>
            <w:tcW w:w="2315" w:type="dxa"/>
            <w:shd w:val="clear" w:color="auto" w:fill="FFFFFF"/>
            <w:noWrap w:val="0"/>
            <w:vAlign w:val="center"/>
          </w:tcPr>
          <w:p>
            <w:pPr>
              <w:ind w:firstLine="0" w:firstLineChars="0"/>
              <w:jc w:val="center"/>
              <w:textAlignment w:val="center"/>
              <w:rPr>
                <w:rFonts w:ascii="仿宋_GB2312" w:hAnsi="仿宋_GB2312" w:cs="仿宋_GB2312"/>
                <w:b/>
                <w:bCs/>
                <w:sz w:val="18"/>
                <w:szCs w:val="18"/>
              </w:rPr>
            </w:pPr>
            <w:r>
              <w:rPr>
                <w:rFonts w:hint="eastAsia" w:ascii="仿宋_GB2312" w:hAnsi="仿宋_GB2312" w:cs="仿宋_GB2312"/>
                <w:b/>
                <w:bCs/>
                <w:kern w:val="0"/>
                <w:sz w:val="18"/>
                <w:szCs w:val="18"/>
                <w:lang w:bidi="ar"/>
              </w:rPr>
              <w:t>指标解释</w:t>
            </w:r>
          </w:p>
        </w:tc>
        <w:tc>
          <w:tcPr>
            <w:tcW w:w="751" w:type="dxa"/>
            <w:shd w:val="clear" w:color="auto" w:fill="FFFFFF"/>
            <w:noWrap w:val="0"/>
            <w:vAlign w:val="center"/>
          </w:tcPr>
          <w:p>
            <w:pPr>
              <w:ind w:firstLine="0" w:firstLineChars="0"/>
              <w:jc w:val="center"/>
              <w:textAlignment w:val="center"/>
              <w:rPr>
                <w:rFonts w:ascii="仿宋_GB2312" w:hAnsi="仿宋_GB2312" w:cs="仿宋_GB2312"/>
                <w:b/>
                <w:bCs/>
                <w:sz w:val="18"/>
                <w:szCs w:val="18"/>
              </w:rPr>
            </w:pPr>
            <w:r>
              <w:rPr>
                <w:rFonts w:hint="eastAsia" w:ascii="仿宋_GB2312" w:hAnsi="仿宋_GB2312" w:cs="仿宋_GB2312"/>
                <w:b/>
                <w:bCs/>
                <w:kern w:val="0"/>
                <w:sz w:val="18"/>
                <w:szCs w:val="18"/>
                <w:lang w:bidi="ar"/>
              </w:rPr>
              <w:t>分值</w:t>
            </w:r>
          </w:p>
        </w:tc>
        <w:tc>
          <w:tcPr>
            <w:tcW w:w="6140" w:type="dxa"/>
            <w:shd w:val="clear" w:color="auto" w:fill="FFFFFF"/>
            <w:noWrap w:val="0"/>
            <w:vAlign w:val="center"/>
          </w:tcPr>
          <w:p>
            <w:pPr>
              <w:ind w:firstLine="361"/>
              <w:jc w:val="center"/>
              <w:textAlignment w:val="center"/>
              <w:rPr>
                <w:rFonts w:ascii="仿宋_GB2312" w:hAnsi="仿宋_GB2312" w:cs="仿宋_GB2312"/>
                <w:b/>
                <w:bCs/>
                <w:sz w:val="18"/>
                <w:szCs w:val="18"/>
              </w:rPr>
            </w:pPr>
            <w:r>
              <w:rPr>
                <w:rFonts w:hint="eastAsia" w:ascii="仿宋_GB2312" w:hAnsi="仿宋_GB2312" w:cs="仿宋_GB2312"/>
                <w:b/>
                <w:bCs/>
                <w:kern w:val="0"/>
                <w:sz w:val="18"/>
                <w:szCs w:val="18"/>
                <w:lang w:bidi="ar"/>
              </w:rPr>
              <w:t>指标说明</w:t>
            </w:r>
          </w:p>
        </w:tc>
        <w:tc>
          <w:tcPr>
            <w:tcW w:w="717" w:type="dxa"/>
            <w:noWrap/>
            <w:vAlign w:val="center"/>
          </w:tcPr>
          <w:p>
            <w:pPr>
              <w:ind w:firstLine="0" w:firstLineChars="0"/>
              <w:jc w:val="center"/>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得分</w:t>
            </w:r>
          </w:p>
        </w:tc>
        <w:tc>
          <w:tcPr>
            <w:tcW w:w="963" w:type="dxa"/>
            <w:noWrap w:val="0"/>
            <w:vAlign w:val="center"/>
          </w:tcPr>
          <w:p>
            <w:pPr>
              <w:ind w:firstLine="0" w:firstLineChars="0"/>
              <w:jc w:val="center"/>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0" w:hRule="atLeast"/>
        </w:trPr>
        <w:tc>
          <w:tcPr>
            <w:tcW w:w="953" w:type="dxa"/>
            <w:vMerge w:val="restart"/>
            <w:shd w:val="clear" w:color="auto" w:fill="FFFFFF"/>
            <w:noWrap w:val="0"/>
            <w:vAlign w:val="center"/>
          </w:tcPr>
          <w:p>
            <w:pPr>
              <w:ind w:firstLine="0" w:firstLineChars="0"/>
              <w:jc w:val="center"/>
              <w:textAlignment w:val="center"/>
              <w:rPr>
                <w:rFonts w:ascii="仿宋_GB2312" w:hAnsi="仿宋_GB2312" w:cs="仿宋_GB2312"/>
                <w:sz w:val="18"/>
                <w:szCs w:val="18"/>
              </w:rPr>
            </w:pPr>
          </w:p>
          <w:p>
            <w:pPr>
              <w:ind w:firstLine="0" w:firstLineChars="0"/>
              <w:jc w:val="center"/>
              <w:textAlignment w:val="center"/>
              <w:rPr>
                <w:rFonts w:ascii="仿宋_GB2312" w:hAnsi="仿宋_GB2312" w:cs="仿宋_GB2312"/>
                <w:sz w:val="18"/>
                <w:szCs w:val="18"/>
              </w:rPr>
            </w:pPr>
          </w:p>
          <w:p>
            <w:pPr>
              <w:ind w:firstLine="0" w:firstLineChars="0"/>
              <w:jc w:val="center"/>
              <w:textAlignment w:val="center"/>
              <w:rPr>
                <w:rFonts w:ascii="仿宋_GB2312" w:hAnsi="仿宋_GB2312" w:cs="仿宋_GB2312"/>
                <w:sz w:val="18"/>
                <w:szCs w:val="18"/>
              </w:rPr>
            </w:pPr>
          </w:p>
          <w:p>
            <w:pPr>
              <w:ind w:firstLine="0" w:firstLineChars="0"/>
              <w:jc w:val="center"/>
              <w:textAlignment w:val="center"/>
              <w:rPr>
                <w:rFonts w:ascii="仿宋_GB2312" w:hAnsi="仿宋_GB2312" w:cs="仿宋_GB2312"/>
                <w:sz w:val="18"/>
                <w:szCs w:val="18"/>
              </w:rPr>
            </w:pPr>
          </w:p>
          <w:p>
            <w:pPr>
              <w:pStyle w:val="34"/>
              <w:jc w:val="center"/>
              <w:rPr>
                <w:rFonts w:ascii="仿宋_GB2312" w:hAnsi="仿宋_GB2312" w:eastAsia="仿宋_GB2312" w:cs="仿宋_GB2312"/>
                <w:sz w:val="18"/>
                <w:szCs w:val="18"/>
              </w:rPr>
            </w:pPr>
          </w:p>
          <w:p>
            <w:pPr>
              <w:pStyle w:val="34"/>
              <w:jc w:val="center"/>
              <w:rPr>
                <w:rFonts w:ascii="仿宋_GB2312" w:hAnsi="仿宋_GB2312" w:eastAsia="仿宋_GB2312" w:cs="仿宋_GB2312"/>
                <w:sz w:val="18"/>
                <w:szCs w:val="18"/>
              </w:rPr>
            </w:pPr>
          </w:p>
          <w:p>
            <w:pPr>
              <w:pStyle w:val="34"/>
              <w:jc w:val="center"/>
              <w:rPr>
                <w:rFonts w:ascii="仿宋_GB2312" w:hAnsi="仿宋_GB2312" w:eastAsia="仿宋_GB2312" w:cs="仿宋_GB2312"/>
                <w:sz w:val="18"/>
                <w:szCs w:val="18"/>
              </w:rPr>
            </w:pPr>
          </w:p>
          <w:p>
            <w:pPr>
              <w:pStyle w:val="34"/>
              <w:jc w:val="center"/>
              <w:rPr>
                <w:rFonts w:ascii="仿宋_GB2312" w:hAnsi="仿宋_GB2312" w:eastAsia="仿宋_GB2312" w:cs="仿宋_GB2312"/>
                <w:sz w:val="18"/>
                <w:szCs w:val="18"/>
              </w:rPr>
            </w:pPr>
          </w:p>
          <w:p>
            <w:pPr>
              <w:pStyle w:val="34"/>
              <w:jc w:val="center"/>
              <w:rPr>
                <w:rFonts w:ascii="仿宋_GB2312" w:hAnsi="仿宋_GB2312" w:eastAsia="仿宋_GB2312" w:cs="仿宋_GB2312"/>
                <w:sz w:val="18"/>
                <w:szCs w:val="18"/>
              </w:rPr>
            </w:pPr>
          </w:p>
          <w:p>
            <w:pPr>
              <w:ind w:firstLine="0" w:firstLineChars="0"/>
              <w:jc w:val="center"/>
              <w:textAlignment w:val="center"/>
              <w:rPr>
                <w:rFonts w:hint="eastAsia" w:ascii="仿宋_GB2312" w:hAnsi="仿宋_GB2312" w:cs="仿宋_GB2312"/>
                <w:sz w:val="18"/>
                <w:szCs w:val="18"/>
              </w:rPr>
            </w:pPr>
            <w:r>
              <w:rPr>
                <w:rFonts w:hint="eastAsia" w:ascii="仿宋_GB2312" w:hAnsi="仿宋_GB2312" w:cs="仿宋_GB2312"/>
                <w:sz w:val="18"/>
                <w:szCs w:val="18"/>
              </w:rPr>
              <w:t>决策</w:t>
            </w:r>
          </w:p>
          <w:p>
            <w:pPr>
              <w:ind w:firstLine="0" w:firstLineChars="0"/>
              <w:jc w:val="center"/>
              <w:textAlignment w:val="center"/>
              <w:rPr>
                <w:rFonts w:hint="default" w:eastAsia="仿宋_GB2312"/>
                <w:lang w:val="en-US" w:eastAsia="zh-CN"/>
              </w:rPr>
            </w:pPr>
            <w:r>
              <w:rPr>
                <w:rFonts w:hint="eastAsia" w:ascii="仿宋_GB2312" w:hAnsi="仿宋_GB2312" w:cs="仿宋_GB2312"/>
                <w:sz w:val="18"/>
                <w:szCs w:val="18"/>
                <w:lang w:eastAsia="zh-CN"/>
              </w:rPr>
              <w:t>（</w:t>
            </w:r>
            <w:r>
              <w:rPr>
                <w:rFonts w:hint="eastAsia" w:ascii="仿宋_GB2312" w:hAnsi="仿宋_GB2312" w:cs="仿宋_GB2312"/>
                <w:sz w:val="18"/>
                <w:szCs w:val="18"/>
                <w:lang w:val="en-US" w:eastAsia="zh-CN"/>
              </w:rPr>
              <w:t>20分）</w:t>
            </w: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hint="eastAsia" w:ascii="仿宋_GB2312" w:hAnsi="仿宋_GB2312" w:eastAsia="仿宋_GB2312" w:cs="仿宋_GB2312"/>
                <w:kern w:val="0"/>
                <w:sz w:val="18"/>
                <w:szCs w:val="18"/>
                <w:lang w:bidi="ar"/>
              </w:rPr>
            </w:pPr>
            <w:r>
              <w:rPr>
                <w:rFonts w:hint="eastAsia" w:ascii="仿宋_GB2312" w:hAnsi="仿宋_GB2312" w:eastAsia="仿宋_GB2312" w:cs="仿宋_GB2312"/>
                <w:kern w:val="0"/>
                <w:sz w:val="18"/>
                <w:szCs w:val="18"/>
                <w:lang w:bidi="ar"/>
              </w:rPr>
              <w:t>决策</w:t>
            </w:r>
          </w:p>
          <w:p>
            <w:pPr>
              <w:pStyle w:val="34"/>
              <w:jc w:val="center"/>
              <w:rPr>
                <w:rFonts w:hint="default" w:ascii="仿宋_GB2312" w:hAnsi="仿宋_GB2312" w:eastAsia="仿宋_GB2312" w:cs="仿宋_GB2312"/>
                <w:kern w:val="0"/>
                <w:sz w:val="18"/>
                <w:szCs w:val="18"/>
                <w:lang w:val="en-US" w:eastAsia="zh-CN" w:bidi="ar"/>
              </w:rPr>
            </w:pPr>
            <w:r>
              <w:rPr>
                <w:rFonts w:hint="eastAsia" w:ascii="仿宋_GB2312" w:hAnsi="仿宋_GB2312" w:eastAsia="仿宋_GB2312" w:cs="仿宋_GB2312"/>
                <w:kern w:val="0"/>
                <w:sz w:val="18"/>
                <w:szCs w:val="18"/>
                <w:lang w:eastAsia="zh-CN" w:bidi="ar"/>
              </w:rPr>
              <w:t>（</w:t>
            </w:r>
            <w:r>
              <w:rPr>
                <w:rFonts w:hint="eastAsia" w:ascii="仿宋_GB2312" w:hAnsi="仿宋_GB2312" w:eastAsia="仿宋_GB2312" w:cs="仿宋_GB2312"/>
                <w:kern w:val="0"/>
                <w:sz w:val="18"/>
                <w:szCs w:val="18"/>
                <w:lang w:val="en-US" w:eastAsia="zh-CN" w:bidi="ar"/>
              </w:rPr>
              <w:t>20分）</w:t>
            </w:r>
          </w:p>
        </w:tc>
        <w:tc>
          <w:tcPr>
            <w:tcW w:w="1140" w:type="dxa"/>
            <w:vMerge w:val="restart"/>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项目立项</w:t>
            </w:r>
          </w:p>
          <w:p>
            <w:pPr>
              <w:ind w:firstLine="0" w:firstLineChars="0"/>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8分）</w:t>
            </w:r>
          </w:p>
        </w:tc>
        <w:tc>
          <w:tcPr>
            <w:tcW w:w="1186"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立项依据充分性</w:t>
            </w:r>
          </w:p>
        </w:tc>
        <w:tc>
          <w:tcPr>
            <w:tcW w:w="2315"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项目立项是否符合法律法规、相关政策、发展规划以及部门职责，用以反映和考核项目立项依据情况。</w:t>
            </w:r>
          </w:p>
        </w:tc>
        <w:tc>
          <w:tcPr>
            <w:tcW w:w="751"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5</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 xml:space="preserve">①项目立项符合国家法律法规、国民经济发展规划和相关政策（1分）；否则，不得分。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 xml:space="preserve">②项目立项符合行业发展规划和政策要求（1分）否则，不得分；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 xml:space="preserve">③项目立项与部门职责范围相符，属于部门履职所需（1分）否则，不得分；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④项目属于公共财政支持范围，符合中央、地方事权支出责任划分原则（1分）否则，不得分；</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⑤项目与相关部门同类项目或部门内部相关项目重复（1分）否则，不得分。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5</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1140" w:type="dxa"/>
            <w:vMerge w:val="continue"/>
            <w:shd w:val="clear" w:color="auto" w:fill="FFFFFF"/>
            <w:noWrap w:val="0"/>
            <w:vAlign w:val="center"/>
          </w:tcPr>
          <w:p>
            <w:pPr>
              <w:ind w:firstLine="0" w:firstLineChars="0"/>
              <w:jc w:val="center"/>
              <w:rPr>
                <w:rFonts w:ascii="仿宋_GB2312" w:hAnsi="仿宋_GB2312" w:cs="仿宋_GB2312"/>
                <w:sz w:val="18"/>
                <w:szCs w:val="18"/>
              </w:rPr>
            </w:pPr>
          </w:p>
        </w:tc>
        <w:tc>
          <w:tcPr>
            <w:tcW w:w="1186"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立项程序规范性</w:t>
            </w:r>
          </w:p>
        </w:tc>
        <w:tc>
          <w:tcPr>
            <w:tcW w:w="2315"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项目申请、设立过程是否符合相关要求，用以反映和考核项目立项的规范情况。</w:t>
            </w:r>
          </w:p>
        </w:tc>
        <w:tc>
          <w:tcPr>
            <w:tcW w:w="751"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3</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 xml:space="preserve">①项目按照规定的程序申请设立（1分）否则，不得分；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 xml:space="preserve">②审批文件、材料符合相关要求（1分）否则，不得分；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③事前已经过必要的可行性研究、专家论证、风险评估、绩效评估、集体决策（1分）否则，不得分。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3</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1140" w:type="dxa"/>
            <w:vMerge w:val="restart"/>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绩效目标</w:t>
            </w:r>
          </w:p>
          <w:p>
            <w:pPr>
              <w:ind w:firstLine="0" w:firstLineChars="0"/>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5分）</w:t>
            </w:r>
          </w:p>
        </w:tc>
        <w:tc>
          <w:tcPr>
            <w:tcW w:w="1186"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绩效目标合理性</w:t>
            </w:r>
          </w:p>
        </w:tc>
        <w:tc>
          <w:tcPr>
            <w:tcW w:w="2315"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项目所设定的绩效目标是否依据充分，是否符合客观实际，用以反映和考核项目绩效目标与项目实施的相符情况。</w:t>
            </w:r>
          </w:p>
        </w:tc>
        <w:tc>
          <w:tcPr>
            <w:tcW w:w="751"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3</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 xml:space="preserve">①项目有绩效目标，（1分），否则，不得分；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②项目绩效目标与实际工作内容具有相关性，预期产出效益和效果符合正常的业绩水平，否则，不得分（1分）；</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③与预算确定的项目投资额或资金量相匹配，否则，不得分（1分）。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3</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1140" w:type="dxa"/>
            <w:vMerge w:val="continue"/>
            <w:shd w:val="clear" w:color="auto" w:fill="FFFFFF"/>
            <w:noWrap w:val="0"/>
            <w:vAlign w:val="center"/>
          </w:tcPr>
          <w:p>
            <w:pPr>
              <w:ind w:firstLine="0" w:firstLineChars="0"/>
              <w:jc w:val="center"/>
              <w:textAlignment w:val="center"/>
              <w:rPr>
                <w:rFonts w:ascii="仿宋_GB2312" w:hAnsi="仿宋_GB2312" w:cs="仿宋_GB2312"/>
                <w:sz w:val="18"/>
                <w:szCs w:val="18"/>
              </w:rPr>
            </w:pPr>
          </w:p>
        </w:tc>
        <w:tc>
          <w:tcPr>
            <w:tcW w:w="1186"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绩效指标明确性</w:t>
            </w:r>
          </w:p>
        </w:tc>
        <w:tc>
          <w:tcPr>
            <w:tcW w:w="2315"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依据绩效目标设定的绩效指标是否清晰、细化、可衡量等，用以反映和考核项目绩效目标的明细化情况。</w:t>
            </w:r>
          </w:p>
        </w:tc>
        <w:tc>
          <w:tcPr>
            <w:tcW w:w="751"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2</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 xml:space="preserve">①项目绩效目标细化分解为具体的绩效指标，（1分）否则，不得分；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②通过清晰、可衡量的指标值予以体现，与项目目标任务数或计划数相对应，否则，不得分（1分）。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2</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3"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1140" w:type="dxa"/>
            <w:vMerge w:val="restart"/>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资金投入</w:t>
            </w:r>
          </w:p>
          <w:p>
            <w:pPr>
              <w:ind w:firstLine="0" w:firstLineChars="0"/>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7分）</w:t>
            </w:r>
          </w:p>
        </w:tc>
        <w:tc>
          <w:tcPr>
            <w:tcW w:w="1186"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预算编制科学性</w:t>
            </w:r>
          </w:p>
        </w:tc>
        <w:tc>
          <w:tcPr>
            <w:tcW w:w="2315" w:type="dxa"/>
            <w:shd w:val="clear" w:color="auto" w:fill="FFFFFF"/>
            <w:noWrap w:val="0"/>
            <w:vAlign w:val="center"/>
          </w:tcPr>
          <w:p>
            <w:pPr>
              <w:ind w:firstLine="0" w:firstLineChars="0"/>
              <w:jc w:val="left"/>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bidi="ar"/>
              </w:rPr>
              <w:t>项目预算编制是否经过科学论证、有明确标准，资金额度与年度目标是否相适应，用以反映和考核项目预算编制的科学性、合理性情况</w:t>
            </w:r>
            <w:r>
              <w:rPr>
                <w:rFonts w:hint="eastAsia" w:ascii="仿宋_GB2312" w:hAnsi="仿宋_GB2312" w:cs="仿宋_GB2312"/>
                <w:kern w:val="0"/>
                <w:sz w:val="18"/>
                <w:szCs w:val="18"/>
                <w:lang w:eastAsia="zh-CN" w:bidi="ar"/>
              </w:rPr>
              <w:t>。</w:t>
            </w:r>
          </w:p>
        </w:tc>
        <w:tc>
          <w:tcPr>
            <w:tcW w:w="751"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5</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 xml:space="preserve">①预算编制经过科学论证（1分）否则，不得分；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 xml:space="preserve">②预算内容与项目内容匹配（1.5分）否则，不得分；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 xml:space="preserve">③预算额度测算依据充分，按照标准编制（1.5分）否则，不得分；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④预算确定的项目投资额或资金量与工作任务相匹配（1分）否则，不得分。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5</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0"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1140" w:type="dxa"/>
            <w:vMerge w:val="continue"/>
            <w:shd w:val="clear" w:color="auto" w:fill="FFFFFF"/>
            <w:noWrap w:val="0"/>
            <w:vAlign w:val="center"/>
          </w:tcPr>
          <w:p>
            <w:pPr>
              <w:ind w:firstLine="0" w:firstLineChars="0"/>
              <w:jc w:val="center"/>
              <w:rPr>
                <w:rFonts w:ascii="仿宋_GB2312" w:hAnsi="仿宋_GB2312" w:cs="仿宋_GB2312"/>
                <w:sz w:val="18"/>
                <w:szCs w:val="18"/>
              </w:rPr>
            </w:pPr>
          </w:p>
        </w:tc>
        <w:tc>
          <w:tcPr>
            <w:tcW w:w="1186"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资金分配合理性</w:t>
            </w:r>
          </w:p>
        </w:tc>
        <w:tc>
          <w:tcPr>
            <w:tcW w:w="2315"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项目预算资金分配是否有测算依据，与补助单位或地方实际是否相适应，用以反映和考核项目预算资金分配的科学性、合理性情况。</w:t>
            </w:r>
          </w:p>
        </w:tc>
        <w:tc>
          <w:tcPr>
            <w:tcW w:w="751"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2</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 xml:space="preserve">①预算资金分配依据充分（1分）否则，不得分；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②资金分配额度合理，与项目单位或地方实际相适应（1分）否则，不得分。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2</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restart"/>
            <w:shd w:val="clear" w:color="auto" w:fill="FFFFFF"/>
            <w:noWrap w:val="0"/>
            <w:vAlign w:val="center"/>
          </w:tcPr>
          <w:p>
            <w:pPr>
              <w:ind w:firstLine="0" w:firstLineChars="0"/>
              <w:jc w:val="center"/>
              <w:textAlignment w:val="center"/>
              <w:rPr>
                <w:rFonts w:ascii="仿宋_GB2312" w:hAnsi="仿宋_GB2312" w:cs="仿宋_GB2312"/>
                <w:sz w:val="18"/>
                <w:szCs w:val="18"/>
              </w:rPr>
            </w:pPr>
          </w:p>
          <w:p>
            <w:pPr>
              <w:ind w:firstLine="0" w:firstLineChars="0"/>
              <w:jc w:val="center"/>
              <w:textAlignment w:val="center"/>
              <w:rPr>
                <w:rFonts w:ascii="仿宋_GB2312" w:hAnsi="仿宋_GB2312" w:cs="仿宋_GB2312"/>
                <w:sz w:val="18"/>
                <w:szCs w:val="18"/>
              </w:rPr>
            </w:pPr>
          </w:p>
          <w:p>
            <w:pPr>
              <w:ind w:firstLine="0" w:firstLineChars="0"/>
              <w:jc w:val="center"/>
              <w:textAlignment w:val="center"/>
              <w:rPr>
                <w:rFonts w:ascii="仿宋_GB2312" w:hAnsi="仿宋_GB2312" w:cs="仿宋_GB2312"/>
                <w:sz w:val="18"/>
                <w:szCs w:val="18"/>
              </w:rPr>
            </w:pPr>
          </w:p>
          <w:p>
            <w:pPr>
              <w:ind w:firstLine="0" w:firstLineChars="0"/>
              <w:jc w:val="center"/>
              <w:textAlignment w:val="center"/>
              <w:rPr>
                <w:rFonts w:ascii="仿宋_GB2312" w:hAnsi="仿宋_GB2312" w:cs="仿宋_GB2312"/>
                <w:sz w:val="18"/>
                <w:szCs w:val="18"/>
              </w:rPr>
            </w:pPr>
          </w:p>
          <w:p>
            <w:pPr>
              <w:ind w:firstLine="0" w:firstLineChars="0"/>
              <w:jc w:val="center"/>
              <w:textAlignment w:val="center"/>
              <w:rPr>
                <w:rFonts w:ascii="仿宋_GB2312" w:hAnsi="仿宋_GB2312" w:cs="仿宋_GB2312"/>
                <w:sz w:val="18"/>
                <w:szCs w:val="18"/>
              </w:rPr>
            </w:pPr>
          </w:p>
          <w:p>
            <w:pPr>
              <w:ind w:firstLine="0" w:firstLineChars="0"/>
              <w:jc w:val="center"/>
              <w:textAlignment w:val="center"/>
              <w:rPr>
                <w:rFonts w:ascii="仿宋_GB2312" w:hAnsi="仿宋_GB2312" w:cs="仿宋_GB2312"/>
                <w:sz w:val="18"/>
                <w:szCs w:val="18"/>
              </w:rPr>
            </w:pPr>
          </w:p>
          <w:p>
            <w:pPr>
              <w:ind w:firstLine="0" w:firstLineChars="0"/>
              <w:jc w:val="center"/>
              <w:textAlignment w:val="center"/>
              <w:rPr>
                <w:rFonts w:hint="eastAsia" w:ascii="仿宋_GB2312" w:hAnsi="仿宋_GB2312" w:cs="仿宋_GB2312"/>
                <w:sz w:val="18"/>
                <w:szCs w:val="18"/>
              </w:rPr>
            </w:pPr>
            <w:r>
              <w:rPr>
                <w:rFonts w:hint="eastAsia" w:ascii="仿宋_GB2312" w:hAnsi="仿宋_GB2312" w:cs="仿宋_GB2312"/>
                <w:sz w:val="18"/>
                <w:szCs w:val="18"/>
              </w:rPr>
              <w:t>过程</w:t>
            </w:r>
          </w:p>
          <w:p>
            <w:pPr>
              <w:ind w:firstLine="0" w:firstLineChars="0"/>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cs="仿宋_GB2312"/>
                <w:sz w:val="18"/>
                <w:szCs w:val="18"/>
                <w:lang w:eastAsia="zh-CN"/>
              </w:rPr>
              <w:t>（</w:t>
            </w:r>
            <w:r>
              <w:rPr>
                <w:rFonts w:hint="eastAsia" w:ascii="仿宋_GB2312" w:hAnsi="仿宋_GB2312" w:cs="仿宋_GB2312"/>
                <w:sz w:val="18"/>
                <w:szCs w:val="18"/>
                <w:lang w:val="en-US" w:eastAsia="zh-CN"/>
              </w:rPr>
              <w:t>15分）</w:t>
            </w: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hint="eastAsia" w:ascii="仿宋_GB2312" w:hAnsi="仿宋_GB2312" w:eastAsia="仿宋_GB2312" w:cs="仿宋_GB2312"/>
                <w:kern w:val="0"/>
                <w:sz w:val="18"/>
                <w:szCs w:val="18"/>
                <w:lang w:bidi="ar"/>
              </w:rPr>
            </w:pPr>
          </w:p>
          <w:p>
            <w:pPr>
              <w:pStyle w:val="34"/>
              <w:jc w:val="center"/>
              <w:rPr>
                <w:rFonts w:hint="eastAsia" w:ascii="仿宋_GB2312" w:hAnsi="仿宋_GB2312" w:eastAsia="仿宋_GB2312" w:cs="仿宋_GB2312"/>
                <w:kern w:val="0"/>
                <w:sz w:val="18"/>
                <w:szCs w:val="18"/>
                <w:lang w:bidi="ar"/>
              </w:rPr>
            </w:pPr>
          </w:p>
          <w:p>
            <w:pPr>
              <w:pStyle w:val="34"/>
              <w:jc w:val="center"/>
              <w:rPr>
                <w:rFonts w:hint="eastAsia" w:ascii="仿宋_GB2312" w:hAnsi="仿宋_GB2312" w:eastAsia="仿宋_GB2312" w:cs="仿宋_GB2312"/>
                <w:kern w:val="0"/>
                <w:sz w:val="18"/>
                <w:szCs w:val="18"/>
                <w:lang w:bidi="ar"/>
              </w:rPr>
            </w:pPr>
          </w:p>
          <w:p>
            <w:pPr>
              <w:pStyle w:val="34"/>
              <w:jc w:val="center"/>
              <w:rPr>
                <w:rFonts w:hint="eastAsia" w:ascii="仿宋_GB2312" w:hAnsi="仿宋_GB2312" w:eastAsia="仿宋_GB2312" w:cs="仿宋_GB2312"/>
                <w:kern w:val="0"/>
                <w:sz w:val="18"/>
                <w:szCs w:val="18"/>
                <w:lang w:bidi="ar"/>
              </w:rPr>
            </w:pPr>
          </w:p>
          <w:p>
            <w:pPr>
              <w:pStyle w:val="34"/>
              <w:jc w:val="center"/>
              <w:rPr>
                <w:rFonts w:hint="eastAsia" w:ascii="仿宋_GB2312" w:hAnsi="仿宋_GB2312" w:eastAsia="仿宋_GB2312" w:cs="仿宋_GB2312"/>
                <w:kern w:val="0"/>
                <w:sz w:val="18"/>
                <w:szCs w:val="18"/>
                <w:lang w:bidi="ar"/>
              </w:rPr>
            </w:pPr>
            <w:r>
              <w:rPr>
                <w:rFonts w:hint="eastAsia" w:ascii="仿宋_GB2312" w:hAnsi="仿宋_GB2312" w:eastAsia="仿宋_GB2312" w:cs="仿宋_GB2312"/>
                <w:kern w:val="0"/>
                <w:sz w:val="18"/>
                <w:szCs w:val="18"/>
                <w:lang w:bidi="ar"/>
              </w:rPr>
              <w:t>过程</w:t>
            </w:r>
          </w:p>
          <w:p>
            <w:pPr>
              <w:pStyle w:val="34"/>
              <w:jc w:val="center"/>
              <w:rPr>
                <w:rFonts w:hint="default" w:ascii="仿宋_GB2312" w:hAnsi="仿宋_GB2312" w:eastAsia="仿宋_GB2312" w:cs="仿宋_GB2312"/>
                <w:kern w:val="0"/>
                <w:sz w:val="18"/>
                <w:szCs w:val="18"/>
                <w:lang w:val="en-US" w:eastAsia="zh-CN" w:bidi="ar"/>
              </w:rPr>
            </w:pPr>
            <w:r>
              <w:rPr>
                <w:rFonts w:hint="eastAsia" w:ascii="仿宋_GB2312" w:hAnsi="仿宋_GB2312" w:eastAsia="仿宋_GB2312" w:cs="仿宋_GB2312"/>
                <w:kern w:val="0"/>
                <w:sz w:val="18"/>
                <w:szCs w:val="18"/>
                <w:lang w:eastAsia="zh-CN" w:bidi="ar"/>
              </w:rPr>
              <w:t>（</w:t>
            </w:r>
            <w:r>
              <w:rPr>
                <w:rFonts w:hint="eastAsia" w:ascii="仿宋_GB2312" w:hAnsi="仿宋_GB2312" w:eastAsia="仿宋_GB2312" w:cs="仿宋_GB2312"/>
                <w:kern w:val="0"/>
                <w:sz w:val="18"/>
                <w:szCs w:val="18"/>
                <w:lang w:val="en-US" w:eastAsia="zh-CN" w:bidi="ar"/>
              </w:rPr>
              <w:t>15分）</w:t>
            </w:r>
          </w:p>
        </w:tc>
        <w:tc>
          <w:tcPr>
            <w:tcW w:w="1140" w:type="dxa"/>
            <w:vMerge w:val="restart"/>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资金管理</w:t>
            </w:r>
          </w:p>
          <w:p>
            <w:pPr>
              <w:ind w:firstLine="0" w:firstLineChars="0"/>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8分）</w:t>
            </w:r>
          </w:p>
        </w:tc>
        <w:tc>
          <w:tcPr>
            <w:tcW w:w="1186" w:type="dxa"/>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资金到位率</w:t>
            </w:r>
          </w:p>
        </w:tc>
        <w:tc>
          <w:tcPr>
            <w:tcW w:w="2315" w:type="dxa"/>
            <w:noWrap w:val="0"/>
            <w:vAlign w:val="center"/>
          </w:tcPr>
          <w:p>
            <w:pPr>
              <w:ind w:firstLine="0" w:firstLineChars="0"/>
              <w:jc w:val="left"/>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bidi="ar"/>
              </w:rPr>
              <w:t>实际到位资金与预算资金的比率，用以反映和考核资金落实情况对项目实施的总体保障程度</w:t>
            </w:r>
            <w:r>
              <w:rPr>
                <w:rFonts w:hint="eastAsia" w:ascii="仿宋_GB2312" w:hAnsi="仿宋_GB2312" w:cs="仿宋_GB2312"/>
                <w:kern w:val="0"/>
                <w:sz w:val="18"/>
                <w:szCs w:val="18"/>
                <w:lang w:eastAsia="zh-CN" w:bidi="ar"/>
              </w:rPr>
              <w:t>。</w:t>
            </w:r>
          </w:p>
        </w:tc>
        <w:tc>
          <w:tcPr>
            <w:tcW w:w="751" w:type="dxa"/>
            <w:noWrap w:val="0"/>
            <w:vAlign w:val="center"/>
          </w:tcPr>
          <w:p>
            <w:pPr>
              <w:ind w:firstLine="0" w:firstLineChars="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cs="仿宋_GB2312"/>
                <w:sz w:val="18"/>
                <w:szCs w:val="18"/>
                <w:lang w:val="en-US" w:eastAsia="zh-CN"/>
              </w:rPr>
              <w:t>3</w:t>
            </w:r>
          </w:p>
        </w:tc>
        <w:tc>
          <w:tcPr>
            <w:tcW w:w="6140" w:type="dxa"/>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①资金到位率为100%的，得满分。（</w:t>
            </w:r>
            <w:r>
              <w:rPr>
                <w:rFonts w:hint="eastAsia" w:ascii="仿宋_GB2312" w:hAnsi="仿宋_GB2312" w:cs="仿宋_GB2312"/>
                <w:kern w:val="0"/>
                <w:sz w:val="18"/>
                <w:szCs w:val="18"/>
                <w:lang w:val="en-US" w:eastAsia="zh-CN" w:bidi="ar"/>
              </w:rPr>
              <w:t>3</w:t>
            </w:r>
            <w:r>
              <w:rPr>
                <w:rFonts w:hint="eastAsia" w:ascii="仿宋_GB2312" w:hAnsi="仿宋_GB2312" w:cs="仿宋_GB2312"/>
                <w:kern w:val="0"/>
                <w:sz w:val="18"/>
                <w:szCs w:val="18"/>
                <w:lang w:bidi="ar"/>
              </w:rPr>
              <w:t xml:space="preserve">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②资金未全额到位的，按照满分乘以到位率计算得分。</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（资金到位率=（实际到位资金/预算资金）×100% ）。</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eastAsia="zh-CN" w:bidi="ar"/>
              </w:rPr>
            </w:pPr>
            <w:r>
              <w:rPr>
                <w:rFonts w:hint="eastAsia" w:ascii="仿宋_GB2312" w:hAnsi="仿宋_GB2312" w:cs="仿宋_GB2312"/>
                <w:kern w:val="0"/>
                <w:sz w:val="18"/>
                <w:szCs w:val="18"/>
                <w:lang w:val="en-US" w:eastAsia="zh-CN" w:bidi="ar"/>
              </w:rPr>
              <w:t>3</w:t>
            </w:r>
          </w:p>
        </w:tc>
        <w:tc>
          <w:tcPr>
            <w:tcW w:w="963" w:type="dxa"/>
            <w:noWrap w:val="0"/>
            <w:vAlign w:val="center"/>
          </w:tcPr>
          <w:p>
            <w:pPr>
              <w:ind w:firstLine="0" w:firstLineChars="0"/>
              <w:jc w:val="left"/>
              <w:textAlignment w:val="center"/>
              <w:rPr>
                <w:rFonts w:hint="eastAsia" w:ascii="仿宋_GB2312" w:hAnsi="仿宋_GB2312" w:cs="仿宋_GB2312"/>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1140" w:type="dxa"/>
            <w:vMerge w:val="continue"/>
            <w:shd w:val="clear" w:color="auto" w:fill="FFFFFF"/>
            <w:noWrap w:val="0"/>
            <w:vAlign w:val="center"/>
          </w:tcPr>
          <w:p>
            <w:pPr>
              <w:ind w:firstLine="0" w:firstLineChars="0"/>
              <w:jc w:val="center"/>
              <w:rPr>
                <w:rFonts w:ascii="仿宋_GB2312" w:hAnsi="仿宋_GB2312" w:cs="仿宋_GB2312"/>
                <w:sz w:val="18"/>
                <w:szCs w:val="18"/>
              </w:rPr>
            </w:pPr>
          </w:p>
        </w:tc>
        <w:tc>
          <w:tcPr>
            <w:tcW w:w="1186" w:type="dxa"/>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预算执行率</w:t>
            </w:r>
          </w:p>
        </w:tc>
        <w:tc>
          <w:tcPr>
            <w:tcW w:w="2315" w:type="dxa"/>
            <w:noWrap w:val="0"/>
            <w:vAlign w:val="center"/>
          </w:tcPr>
          <w:p>
            <w:pPr>
              <w:ind w:firstLine="0" w:firstLineChars="0"/>
              <w:jc w:val="left"/>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bidi="ar"/>
              </w:rPr>
              <w:t>项目预算资金是否按照计划执行，用以反映或考核项目预算执行情况</w:t>
            </w:r>
            <w:r>
              <w:rPr>
                <w:rFonts w:hint="eastAsia" w:ascii="仿宋_GB2312" w:hAnsi="仿宋_GB2312" w:cs="仿宋_GB2312"/>
                <w:kern w:val="0"/>
                <w:sz w:val="18"/>
                <w:szCs w:val="18"/>
                <w:lang w:eastAsia="zh-CN" w:bidi="ar"/>
              </w:rPr>
              <w:t>。</w:t>
            </w:r>
          </w:p>
        </w:tc>
        <w:tc>
          <w:tcPr>
            <w:tcW w:w="751" w:type="dxa"/>
            <w:noWrap w:val="0"/>
            <w:vAlign w:val="center"/>
          </w:tcPr>
          <w:p>
            <w:pPr>
              <w:ind w:firstLine="0" w:firstLineChars="0"/>
              <w:jc w:val="center"/>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val="en-US" w:eastAsia="zh-CN" w:bidi="ar"/>
              </w:rPr>
              <w:t>3</w:t>
            </w:r>
          </w:p>
        </w:tc>
        <w:tc>
          <w:tcPr>
            <w:tcW w:w="6140" w:type="dxa"/>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①预算执行率为</w:t>
            </w:r>
            <w:r>
              <w:rPr>
                <w:rFonts w:hint="eastAsia" w:ascii="仿宋_GB2312" w:hAnsi="仿宋_GB2312" w:cs="仿宋_GB2312"/>
                <w:kern w:val="0"/>
                <w:sz w:val="18"/>
                <w:szCs w:val="18"/>
                <w:lang w:val="en-US" w:eastAsia="zh-CN" w:bidi="ar"/>
              </w:rPr>
              <w:t>71.4</w:t>
            </w:r>
            <w:r>
              <w:rPr>
                <w:rFonts w:hint="eastAsia" w:ascii="仿宋_GB2312" w:hAnsi="仿宋_GB2312" w:cs="仿宋_GB2312"/>
                <w:kern w:val="0"/>
                <w:sz w:val="18"/>
                <w:szCs w:val="18"/>
                <w:lang w:bidi="ar"/>
              </w:rPr>
              <w:t>%的，得满分（</w:t>
            </w:r>
            <w:r>
              <w:rPr>
                <w:rFonts w:hint="eastAsia" w:ascii="仿宋_GB2312" w:hAnsi="仿宋_GB2312" w:cs="仿宋_GB2312"/>
                <w:kern w:val="0"/>
                <w:sz w:val="18"/>
                <w:szCs w:val="18"/>
                <w:lang w:val="en-US" w:eastAsia="zh-CN" w:bidi="ar"/>
              </w:rPr>
              <w:t>3</w:t>
            </w:r>
            <w:r>
              <w:rPr>
                <w:rFonts w:hint="eastAsia" w:ascii="仿宋_GB2312" w:hAnsi="仿宋_GB2312" w:cs="仿宋_GB2312"/>
                <w:kern w:val="0"/>
                <w:sz w:val="18"/>
                <w:szCs w:val="18"/>
                <w:lang w:bidi="ar"/>
              </w:rPr>
              <w:t>分）；</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②资金未执行完毕的，按照满分乘以</w:t>
            </w:r>
            <w:r>
              <w:rPr>
                <w:rFonts w:hint="eastAsia" w:ascii="仿宋_GB2312" w:hAnsi="仿宋_GB2312" w:cs="仿宋_GB2312"/>
                <w:kern w:val="0"/>
                <w:sz w:val="18"/>
                <w:szCs w:val="18"/>
                <w:lang w:val="en-US" w:eastAsia="zh-CN" w:bidi="ar"/>
              </w:rPr>
              <w:t>执行</w:t>
            </w:r>
            <w:r>
              <w:rPr>
                <w:rFonts w:hint="eastAsia" w:ascii="仿宋_GB2312" w:hAnsi="仿宋_GB2312" w:cs="仿宋_GB2312"/>
                <w:kern w:val="0"/>
                <w:sz w:val="18"/>
                <w:szCs w:val="18"/>
                <w:lang w:bidi="ar"/>
              </w:rPr>
              <w:t>率计算得分。</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（预算执行率=（实际支出资金/实际到位资金）×100%）。</w:t>
            </w:r>
          </w:p>
        </w:tc>
        <w:tc>
          <w:tcPr>
            <w:tcW w:w="717" w:type="dxa"/>
            <w:noWrap w:val="0"/>
            <w:vAlign w:val="center"/>
          </w:tcPr>
          <w:p>
            <w:pPr>
              <w:ind w:firstLine="0" w:firstLineChars="0"/>
              <w:jc w:val="center"/>
              <w:textAlignment w:val="center"/>
              <w:rPr>
                <w:rFonts w:hint="default" w:ascii="仿宋_GB2312" w:hAnsi="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2.14</w:t>
            </w:r>
          </w:p>
        </w:tc>
        <w:tc>
          <w:tcPr>
            <w:tcW w:w="963" w:type="dxa"/>
            <w:noWrap w:val="0"/>
            <w:vAlign w:val="center"/>
          </w:tcPr>
          <w:p>
            <w:pPr>
              <w:ind w:firstLine="0" w:firstLineChars="0"/>
              <w:jc w:val="left"/>
              <w:textAlignment w:val="center"/>
              <w:rPr>
                <w:rFonts w:hint="default" w:ascii="仿宋_GB2312" w:hAnsi="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预算执行未达预期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0"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1140" w:type="dxa"/>
            <w:vMerge w:val="continue"/>
            <w:shd w:val="clear" w:color="auto" w:fill="FFFFFF"/>
            <w:noWrap w:val="0"/>
            <w:vAlign w:val="center"/>
          </w:tcPr>
          <w:p>
            <w:pPr>
              <w:ind w:firstLine="0" w:firstLineChars="0"/>
              <w:jc w:val="center"/>
              <w:rPr>
                <w:rFonts w:ascii="仿宋_GB2312" w:hAnsi="仿宋_GB2312" w:cs="仿宋_GB2312"/>
                <w:sz w:val="18"/>
                <w:szCs w:val="18"/>
              </w:rPr>
            </w:pPr>
          </w:p>
        </w:tc>
        <w:tc>
          <w:tcPr>
            <w:tcW w:w="1186"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资金使用合规性</w:t>
            </w:r>
          </w:p>
        </w:tc>
        <w:tc>
          <w:tcPr>
            <w:tcW w:w="2315" w:type="dxa"/>
            <w:shd w:val="clear" w:color="auto" w:fill="FFFFFF"/>
            <w:noWrap w:val="0"/>
            <w:vAlign w:val="center"/>
          </w:tcPr>
          <w:p>
            <w:pPr>
              <w:ind w:firstLine="0" w:firstLineChars="0"/>
              <w:jc w:val="left"/>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bidi="ar"/>
              </w:rPr>
              <w:t>项目资金使用是否符合相关的财务管理制度规定，用以反映和考核项目资金的规范运行情况</w:t>
            </w:r>
            <w:r>
              <w:rPr>
                <w:rFonts w:hint="eastAsia" w:ascii="仿宋_GB2312" w:hAnsi="仿宋_GB2312" w:cs="仿宋_GB2312"/>
                <w:kern w:val="0"/>
                <w:sz w:val="18"/>
                <w:szCs w:val="18"/>
                <w:lang w:eastAsia="zh-CN" w:bidi="ar"/>
              </w:rPr>
              <w:t>。</w:t>
            </w:r>
          </w:p>
        </w:tc>
        <w:tc>
          <w:tcPr>
            <w:tcW w:w="751" w:type="dxa"/>
            <w:shd w:val="clear" w:color="auto" w:fill="FFFFFF"/>
            <w:noWrap w:val="0"/>
            <w:vAlign w:val="center"/>
          </w:tcPr>
          <w:p>
            <w:pPr>
              <w:ind w:firstLine="0" w:firstLineChars="0"/>
              <w:jc w:val="center"/>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val="en-US" w:eastAsia="zh-CN" w:bidi="ar"/>
              </w:rPr>
              <w:t>2</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①符合国家财经法规和财务管理制度以及有关专项资金管理办法的规定（</w:t>
            </w:r>
            <w:r>
              <w:rPr>
                <w:rFonts w:hint="eastAsia" w:ascii="仿宋_GB2312" w:hAnsi="仿宋_GB2312" w:cs="仿宋_GB2312"/>
                <w:kern w:val="0"/>
                <w:sz w:val="18"/>
                <w:szCs w:val="18"/>
                <w:lang w:val="en-US" w:eastAsia="zh-CN" w:bidi="ar"/>
              </w:rPr>
              <w:t>0.5</w:t>
            </w:r>
            <w:r>
              <w:rPr>
                <w:rFonts w:hint="eastAsia" w:ascii="仿宋_GB2312" w:hAnsi="仿宋_GB2312" w:cs="仿宋_GB2312"/>
                <w:kern w:val="0"/>
                <w:sz w:val="18"/>
                <w:szCs w:val="18"/>
                <w:lang w:bidi="ar"/>
              </w:rPr>
              <w:t xml:space="preserve">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②资金的拨付有完整的审批程序和手续（</w:t>
            </w:r>
            <w:r>
              <w:rPr>
                <w:rFonts w:hint="eastAsia" w:ascii="仿宋_GB2312" w:hAnsi="仿宋_GB2312" w:cs="仿宋_GB2312"/>
                <w:kern w:val="0"/>
                <w:sz w:val="18"/>
                <w:szCs w:val="18"/>
                <w:lang w:val="en-US" w:eastAsia="zh-CN" w:bidi="ar"/>
              </w:rPr>
              <w:t>0.5</w:t>
            </w:r>
            <w:r>
              <w:rPr>
                <w:rFonts w:hint="eastAsia" w:ascii="仿宋_GB2312" w:hAnsi="仿宋_GB2312" w:cs="仿宋_GB2312"/>
                <w:kern w:val="0"/>
                <w:sz w:val="18"/>
                <w:szCs w:val="18"/>
                <w:lang w:bidi="ar"/>
              </w:rPr>
              <w:t xml:space="preserve">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③符合项目预算批复或合同规定的用途（</w:t>
            </w:r>
            <w:r>
              <w:rPr>
                <w:rFonts w:hint="eastAsia" w:ascii="仿宋_GB2312" w:hAnsi="仿宋_GB2312" w:cs="仿宋_GB2312"/>
                <w:kern w:val="0"/>
                <w:sz w:val="18"/>
                <w:szCs w:val="18"/>
                <w:lang w:val="en-US" w:eastAsia="zh-CN" w:bidi="ar"/>
              </w:rPr>
              <w:t>0.5</w:t>
            </w:r>
            <w:r>
              <w:rPr>
                <w:rFonts w:hint="eastAsia" w:ascii="仿宋_GB2312" w:hAnsi="仿宋_GB2312" w:cs="仿宋_GB2312"/>
                <w:kern w:val="0"/>
                <w:sz w:val="18"/>
                <w:szCs w:val="18"/>
                <w:lang w:bidi="ar"/>
              </w:rPr>
              <w:t xml:space="preserve">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④不存在截留、挤占、挪用、虚列支出等情况（</w:t>
            </w:r>
            <w:r>
              <w:rPr>
                <w:rFonts w:hint="eastAsia" w:ascii="仿宋_GB2312" w:hAnsi="仿宋_GB2312" w:cs="仿宋_GB2312"/>
                <w:kern w:val="0"/>
                <w:sz w:val="18"/>
                <w:szCs w:val="18"/>
                <w:lang w:val="en-US" w:eastAsia="zh-CN" w:bidi="ar"/>
              </w:rPr>
              <w:t>0.5</w:t>
            </w:r>
            <w:r>
              <w:rPr>
                <w:rFonts w:hint="eastAsia" w:ascii="仿宋_GB2312" w:hAnsi="仿宋_GB2312" w:cs="仿宋_GB2312"/>
                <w:kern w:val="0"/>
                <w:sz w:val="18"/>
                <w:szCs w:val="18"/>
                <w:lang w:bidi="ar"/>
              </w:rPr>
              <w:t>分）否则，不得分。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eastAsia="zh-CN" w:bidi="ar"/>
              </w:rPr>
            </w:pPr>
            <w:r>
              <w:rPr>
                <w:rFonts w:hint="eastAsia" w:ascii="仿宋_GB2312" w:hAnsi="仿宋_GB2312" w:cs="仿宋_GB2312"/>
                <w:kern w:val="0"/>
                <w:sz w:val="18"/>
                <w:szCs w:val="18"/>
                <w:lang w:val="en-US" w:eastAsia="zh-CN" w:bidi="ar"/>
              </w:rPr>
              <w:t>2</w:t>
            </w:r>
          </w:p>
        </w:tc>
        <w:tc>
          <w:tcPr>
            <w:tcW w:w="963" w:type="dxa"/>
            <w:noWrap w:val="0"/>
            <w:vAlign w:val="center"/>
          </w:tcPr>
          <w:p>
            <w:pPr>
              <w:ind w:firstLine="0" w:firstLineChars="0"/>
              <w:jc w:val="left"/>
              <w:textAlignment w:val="center"/>
              <w:rPr>
                <w:rFonts w:hint="eastAsia" w:ascii="仿宋_GB2312" w:hAnsi="仿宋_GB2312" w:cs="仿宋_GB2312"/>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1"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1140" w:type="dxa"/>
            <w:vMerge w:val="restart"/>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组织实施</w:t>
            </w:r>
          </w:p>
          <w:p>
            <w:pPr>
              <w:ind w:firstLine="0" w:firstLineChars="0"/>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7分）</w:t>
            </w:r>
          </w:p>
        </w:tc>
        <w:tc>
          <w:tcPr>
            <w:tcW w:w="1186"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管理制度健全性</w:t>
            </w:r>
          </w:p>
        </w:tc>
        <w:tc>
          <w:tcPr>
            <w:tcW w:w="2315"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项目实施单位的财务和业务管理制度是否健全，用以反映和考核财务和业务管理制度对项目顺利实施的保障情况。</w:t>
            </w:r>
          </w:p>
        </w:tc>
        <w:tc>
          <w:tcPr>
            <w:tcW w:w="751" w:type="dxa"/>
            <w:shd w:val="clear" w:color="auto" w:fill="FFFFFF"/>
            <w:noWrap w:val="0"/>
            <w:vAlign w:val="center"/>
          </w:tcPr>
          <w:p>
            <w:pPr>
              <w:ind w:firstLine="0" w:firstLineChars="0"/>
              <w:jc w:val="center"/>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val="en-US" w:eastAsia="zh-CN" w:bidi="ar"/>
              </w:rPr>
              <w:t>2</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①已制定或具有相应的财务和业务管理制度（</w:t>
            </w:r>
            <w:r>
              <w:rPr>
                <w:rFonts w:hint="eastAsia" w:ascii="仿宋_GB2312" w:hAnsi="仿宋_GB2312" w:cs="仿宋_GB2312"/>
                <w:kern w:val="0"/>
                <w:sz w:val="18"/>
                <w:szCs w:val="18"/>
                <w:lang w:val="en-US" w:eastAsia="zh-CN" w:bidi="ar"/>
              </w:rPr>
              <w:t>1</w:t>
            </w:r>
            <w:r>
              <w:rPr>
                <w:rFonts w:hint="eastAsia" w:ascii="仿宋_GB2312" w:hAnsi="仿宋_GB2312" w:cs="仿宋_GB2312"/>
                <w:kern w:val="0"/>
                <w:sz w:val="18"/>
                <w:szCs w:val="18"/>
                <w:lang w:bidi="ar"/>
              </w:rPr>
              <w:t xml:space="preserve">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②财务和业务管理制度合法、合规、完整（</w:t>
            </w:r>
            <w:r>
              <w:rPr>
                <w:rFonts w:hint="eastAsia" w:ascii="仿宋_GB2312" w:hAnsi="仿宋_GB2312" w:cs="仿宋_GB2312"/>
                <w:kern w:val="0"/>
                <w:sz w:val="18"/>
                <w:szCs w:val="18"/>
                <w:lang w:val="en-US" w:eastAsia="zh-CN" w:bidi="ar"/>
              </w:rPr>
              <w:t>1</w:t>
            </w:r>
            <w:r>
              <w:rPr>
                <w:rFonts w:hint="eastAsia" w:ascii="仿宋_GB2312" w:hAnsi="仿宋_GB2312" w:cs="仿宋_GB2312"/>
                <w:kern w:val="0"/>
                <w:sz w:val="18"/>
                <w:szCs w:val="18"/>
                <w:lang w:bidi="ar"/>
              </w:rPr>
              <w:t>分）否则，不得分。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2</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2"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1140" w:type="dxa"/>
            <w:vMerge w:val="continue"/>
            <w:shd w:val="clear" w:color="auto" w:fill="FFFFFF"/>
            <w:noWrap w:val="0"/>
            <w:vAlign w:val="center"/>
          </w:tcPr>
          <w:p>
            <w:pPr>
              <w:ind w:firstLine="0" w:firstLineChars="0"/>
              <w:jc w:val="center"/>
              <w:rPr>
                <w:rFonts w:ascii="仿宋_GB2312" w:hAnsi="仿宋_GB2312" w:cs="仿宋_GB2312"/>
                <w:sz w:val="18"/>
                <w:szCs w:val="18"/>
              </w:rPr>
            </w:pPr>
          </w:p>
        </w:tc>
        <w:tc>
          <w:tcPr>
            <w:tcW w:w="1186" w:type="dxa"/>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val="en-US" w:eastAsia="zh-CN" w:bidi="ar"/>
              </w:rPr>
            </w:pPr>
            <w:r>
              <w:rPr>
                <w:rFonts w:hint="eastAsia" w:ascii="仿宋_GB2312" w:hAnsi="仿宋_GB2312" w:cs="仿宋_GB2312"/>
                <w:kern w:val="0"/>
                <w:sz w:val="18"/>
                <w:szCs w:val="18"/>
                <w:lang w:bidi="ar"/>
              </w:rPr>
              <w:t>制度执行有效性</w:t>
            </w:r>
          </w:p>
        </w:tc>
        <w:tc>
          <w:tcPr>
            <w:tcW w:w="2315" w:type="dxa"/>
            <w:shd w:val="clear" w:color="auto" w:fill="FFFFFF"/>
            <w:noWrap w:val="0"/>
            <w:vAlign w:val="center"/>
          </w:tcPr>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项目实施是否符合相关管理规定，用以反映和考核相关管理制度的有效执行情况。</w:t>
            </w:r>
          </w:p>
        </w:tc>
        <w:tc>
          <w:tcPr>
            <w:tcW w:w="751" w:type="dxa"/>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2</w:t>
            </w:r>
          </w:p>
        </w:tc>
        <w:tc>
          <w:tcPr>
            <w:tcW w:w="6140" w:type="dxa"/>
            <w:shd w:val="clear" w:color="auto" w:fill="FFFFFF"/>
            <w:noWrap w:val="0"/>
            <w:vAlign w:val="center"/>
          </w:tcPr>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①遵守相关法律法规和相关管理规定（</w:t>
            </w:r>
            <w:r>
              <w:rPr>
                <w:rFonts w:hint="eastAsia" w:ascii="仿宋_GB2312" w:hAnsi="仿宋_GB2312" w:cs="仿宋_GB2312"/>
                <w:kern w:val="0"/>
                <w:sz w:val="18"/>
                <w:szCs w:val="18"/>
                <w:lang w:val="en-US" w:eastAsia="zh-CN" w:bidi="ar"/>
              </w:rPr>
              <w:t>0.5</w:t>
            </w:r>
            <w:r>
              <w:rPr>
                <w:rFonts w:hint="eastAsia" w:ascii="仿宋_GB2312" w:hAnsi="仿宋_GB2312" w:cs="仿宋_GB2312"/>
                <w:kern w:val="0"/>
                <w:sz w:val="18"/>
                <w:szCs w:val="18"/>
                <w:lang w:bidi="ar"/>
              </w:rPr>
              <w:t xml:space="preserve">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②项目调整及支出调整手续完备（</w:t>
            </w:r>
            <w:r>
              <w:rPr>
                <w:rFonts w:hint="eastAsia" w:ascii="仿宋_GB2312" w:hAnsi="仿宋_GB2312" w:cs="仿宋_GB2312"/>
                <w:kern w:val="0"/>
                <w:sz w:val="18"/>
                <w:szCs w:val="18"/>
                <w:lang w:val="en-US" w:eastAsia="zh-CN" w:bidi="ar"/>
              </w:rPr>
              <w:t>0.5</w:t>
            </w:r>
            <w:r>
              <w:rPr>
                <w:rFonts w:hint="eastAsia" w:ascii="仿宋_GB2312" w:hAnsi="仿宋_GB2312" w:cs="仿宋_GB2312"/>
                <w:kern w:val="0"/>
                <w:sz w:val="18"/>
                <w:szCs w:val="18"/>
                <w:lang w:bidi="ar"/>
              </w:rPr>
              <w:t xml:space="preserve">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③项目合同书、验收报告、技术鉴定等资料齐全并及时归档（</w:t>
            </w:r>
            <w:r>
              <w:rPr>
                <w:rFonts w:hint="eastAsia" w:ascii="仿宋_GB2312" w:hAnsi="仿宋_GB2312" w:cs="仿宋_GB2312"/>
                <w:kern w:val="0"/>
                <w:sz w:val="18"/>
                <w:szCs w:val="18"/>
                <w:lang w:val="en-US" w:eastAsia="zh-CN" w:bidi="ar"/>
              </w:rPr>
              <w:t>0.5</w:t>
            </w:r>
            <w:r>
              <w:rPr>
                <w:rFonts w:hint="eastAsia" w:ascii="仿宋_GB2312" w:hAnsi="仿宋_GB2312" w:cs="仿宋_GB2312"/>
                <w:kern w:val="0"/>
                <w:sz w:val="18"/>
                <w:szCs w:val="18"/>
                <w:lang w:bidi="ar"/>
              </w:rPr>
              <w:t xml:space="preserve">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④项目实施的人员条件、场地设备、信息支撑等落实到位（</w:t>
            </w:r>
            <w:r>
              <w:rPr>
                <w:rFonts w:hint="eastAsia" w:ascii="仿宋_GB2312" w:hAnsi="仿宋_GB2312" w:cs="仿宋_GB2312"/>
                <w:kern w:val="0"/>
                <w:sz w:val="18"/>
                <w:szCs w:val="18"/>
                <w:lang w:val="en-US" w:eastAsia="zh-CN" w:bidi="ar"/>
              </w:rPr>
              <w:t>0.5</w:t>
            </w:r>
            <w:r>
              <w:rPr>
                <w:rFonts w:hint="eastAsia" w:ascii="仿宋_GB2312" w:hAnsi="仿宋_GB2312" w:cs="仿宋_GB2312"/>
                <w:kern w:val="0"/>
                <w:sz w:val="18"/>
                <w:szCs w:val="18"/>
                <w:lang w:bidi="ar"/>
              </w:rPr>
              <w:t>分）否则，不得分。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2</w:t>
            </w:r>
          </w:p>
        </w:tc>
        <w:tc>
          <w:tcPr>
            <w:tcW w:w="963" w:type="dxa"/>
            <w:noWrap w:val="0"/>
            <w:vAlign w:val="center"/>
          </w:tcPr>
          <w:p>
            <w:pPr>
              <w:ind w:firstLine="360" w:firstLineChars="20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9"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1140" w:type="dxa"/>
            <w:vMerge w:val="continue"/>
            <w:shd w:val="clear" w:color="auto" w:fill="FFFFFF"/>
            <w:noWrap w:val="0"/>
            <w:vAlign w:val="center"/>
          </w:tcPr>
          <w:p>
            <w:pPr>
              <w:ind w:firstLine="0" w:firstLineChars="0"/>
              <w:jc w:val="center"/>
              <w:rPr>
                <w:rFonts w:ascii="仿宋_GB2312" w:hAnsi="仿宋_GB2312" w:cs="仿宋_GB2312"/>
                <w:sz w:val="18"/>
                <w:szCs w:val="18"/>
              </w:rPr>
            </w:pPr>
          </w:p>
        </w:tc>
        <w:tc>
          <w:tcPr>
            <w:tcW w:w="1186" w:type="dxa"/>
            <w:shd w:val="clear" w:color="auto" w:fill="FFFFFF"/>
            <w:noWrap w:val="0"/>
            <w:vAlign w:val="center"/>
          </w:tcPr>
          <w:p>
            <w:pPr>
              <w:ind w:firstLine="0" w:firstLineChars="0"/>
              <w:jc w:val="center"/>
              <w:textAlignment w:val="center"/>
              <w:rPr>
                <w:rFonts w:hint="default" w:ascii="仿宋_GB2312" w:hAnsi="仿宋_GB2312" w:eastAsia="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项目实施管理规范性</w:t>
            </w:r>
          </w:p>
        </w:tc>
        <w:tc>
          <w:tcPr>
            <w:tcW w:w="2315" w:type="dxa"/>
            <w:shd w:val="clear" w:color="auto" w:fill="FFFFFF"/>
            <w:noWrap w:val="0"/>
            <w:vAlign w:val="center"/>
          </w:tcPr>
          <w:p>
            <w:pPr>
              <w:ind w:firstLine="0" w:firstLineChars="0"/>
              <w:jc w:val="left"/>
              <w:textAlignment w:val="center"/>
              <w:rPr>
                <w:rFonts w:hint="eastAsia" w:ascii="仿宋_GB2312" w:hAnsi="仿宋_GB2312" w:eastAsia="仿宋_GB2312" w:cs="仿宋_GB2312"/>
                <w:kern w:val="0"/>
                <w:sz w:val="18"/>
                <w:szCs w:val="18"/>
                <w:lang w:eastAsia="zh-CN" w:bidi="ar"/>
              </w:rPr>
            </w:pPr>
            <w:r>
              <w:rPr>
                <w:rFonts w:hint="eastAsia" w:ascii="仿宋_GB2312" w:hAnsi="仿宋_GB2312" w:cs="仿宋_GB2312"/>
                <w:kern w:val="0"/>
                <w:sz w:val="18"/>
                <w:szCs w:val="18"/>
                <w:lang w:bidi="ar"/>
              </w:rPr>
              <w:t>承接主体项目管理制度是否健全，项目实施是否符合相关项目管理规定；是否建立了实施领导机制并建立了完善的实施方案，是否建立了项目台账，台账记录是否全面、完整，是否能接受和配合相关部门的监督检查及绩效评价，用以反映和考核承接主体对项目规范管理的执行情况</w:t>
            </w:r>
            <w:r>
              <w:rPr>
                <w:rFonts w:hint="eastAsia" w:ascii="仿宋_GB2312" w:hAnsi="仿宋_GB2312" w:cs="仿宋_GB2312"/>
                <w:kern w:val="0"/>
                <w:sz w:val="18"/>
                <w:szCs w:val="18"/>
                <w:lang w:eastAsia="zh-CN" w:bidi="ar"/>
              </w:rPr>
              <w:t>。</w:t>
            </w:r>
          </w:p>
        </w:tc>
        <w:tc>
          <w:tcPr>
            <w:tcW w:w="751" w:type="dxa"/>
            <w:shd w:val="clear" w:color="auto" w:fill="FFFFFF"/>
            <w:noWrap w:val="0"/>
            <w:vAlign w:val="center"/>
          </w:tcPr>
          <w:p>
            <w:pPr>
              <w:ind w:firstLine="0" w:firstLineChars="0"/>
              <w:jc w:val="center"/>
              <w:textAlignment w:val="center"/>
              <w:rPr>
                <w:rFonts w:hint="default" w:ascii="仿宋_GB2312" w:hAnsi="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3</w:t>
            </w:r>
          </w:p>
        </w:tc>
        <w:tc>
          <w:tcPr>
            <w:tcW w:w="6140" w:type="dxa"/>
            <w:shd w:val="clear" w:color="auto" w:fill="FFFFFF"/>
            <w:noWrap w:val="0"/>
            <w:vAlign w:val="center"/>
          </w:tcPr>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①承接主体项目管理制度健全，项目实施符合相关项目管理规定</w:t>
            </w: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0.5分</w:t>
            </w: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bidi="ar"/>
              </w:rPr>
              <w:t>否则，不得分；</w:t>
            </w:r>
          </w:p>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②建立了实施领导机制并建立了完善的实施方案</w:t>
            </w: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1分</w:t>
            </w: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bidi="ar"/>
              </w:rPr>
              <w:t>否则，不得分；</w:t>
            </w:r>
          </w:p>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③建立了项目台账，台账记录全面、完整</w:t>
            </w: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1分</w:t>
            </w: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bidi="ar"/>
              </w:rPr>
              <w:t>否则，不得分；</w:t>
            </w:r>
          </w:p>
          <w:p>
            <w:pPr>
              <w:ind w:firstLine="0" w:firstLineChars="0"/>
              <w:jc w:val="left"/>
              <w:textAlignment w:val="center"/>
              <w:rPr>
                <w:rFonts w:hint="eastAsia" w:ascii="仿宋_GB2312" w:hAnsi="仿宋_GB2312" w:eastAsia="仿宋_GB2312" w:cs="仿宋_GB2312"/>
                <w:kern w:val="0"/>
                <w:sz w:val="18"/>
                <w:szCs w:val="18"/>
                <w:lang w:eastAsia="zh-CN" w:bidi="ar"/>
              </w:rPr>
            </w:pPr>
            <w:r>
              <w:rPr>
                <w:rFonts w:hint="eastAsia" w:ascii="仿宋_GB2312" w:hAnsi="仿宋_GB2312" w:cs="仿宋_GB2312"/>
                <w:kern w:val="0"/>
                <w:sz w:val="18"/>
                <w:szCs w:val="18"/>
                <w:lang w:bidi="ar"/>
              </w:rPr>
              <w:t>④能接受和配合相关部门的监督检查及绩效评价</w:t>
            </w: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0.5分</w:t>
            </w: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bidi="ar"/>
              </w:rPr>
              <w:t>否则，不得分</w:t>
            </w:r>
            <w:r>
              <w:rPr>
                <w:rFonts w:hint="eastAsia" w:ascii="仿宋_GB2312" w:hAnsi="仿宋_GB2312" w:cs="仿宋_GB2312"/>
                <w:kern w:val="0"/>
                <w:sz w:val="18"/>
                <w:szCs w:val="18"/>
                <w:lang w:eastAsia="zh-CN" w:bidi="ar"/>
              </w:rPr>
              <w:t>。</w:t>
            </w:r>
          </w:p>
        </w:tc>
        <w:tc>
          <w:tcPr>
            <w:tcW w:w="717" w:type="dxa"/>
            <w:noWrap/>
            <w:vAlign w:val="center"/>
          </w:tcPr>
          <w:p>
            <w:pPr>
              <w:ind w:firstLine="0" w:firstLineChars="0"/>
              <w:jc w:val="center"/>
              <w:textAlignment w:val="center"/>
              <w:rPr>
                <w:rFonts w:hint="default" w:ascii="仿宋_GB2312" w:hAnsi="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3</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rPr>
        <w:tc>
          <w:tcPr>
            <w:tcW w:w="953" w:type="dxa"/>
            <w:vMerge w:val="restart"/>
            <w:shd w:val="clear" w:color="auto" w:fill="FFFFFF"/>
            <w:noWrap w:val="0"/>
            <w:vAlign w:val="center"/>
          </w:tcPr>
          <w:p>
            <w:pPr>
              <w:ind w:firstLine="0" w:firstLineChars="0"/>
              <w:jc w:val="center"/>
              <w:textAlignment w:val="center"/>
              <w:rPr>
                <w:rFonts w:hint="eastAsia" w:ascii="仿宋_GB2312" w:hAnsi="仿宋_GB2312" w:cs="仿宋_GB2312"/>
                <w:sz w:val="18"/>
                <w:szCs w:val="18"/>
              </w:rPr>
            </w:pPr>
            <w:r>
              <w:rPr>
                <w:rFonts w:hint="eastAsia" w:ascii="仿宋_GB2312" w:hAnsi="仿宋_GB2312" w:cs="仿宋_GB2312"/>
                <w:sz w:val="18"/>
                <w:szCs w:val="18"/>
              </w:rPr>
              <w:t>产出</w:t>
            </w:r>
          </w:p>
          <w:p>
            <w:pPr>
              <w:ind w:firstLine="0" w:firstLineChars="0"/>
              <w:jc w:val="center"/>
              <w:textAlignment w:val="center"/>
              <w:rPr>
                <w:rFonts w:hint="default" w:ascii="仿宋_GB2312" w:hAnsi="仿宋_GB2312" w:eastAsia="仿宋_GB2312" w:cs="仿宋_GB2312"/>
                <w:kern w:val="0"/>
                <w:sz w:val="18"/>
                <w:szCs w:val="18"/>
                <w:lang w:val="en-US" w:eastAsia="zh-CN" w:bidi="ar"/>
              </w:rPr>
            </w:pPr>
            <w:r>
              <w:rPr>
                <w:rFonts w:hint="eastAsia" w:ascii="仿宋_GB2312" w:hAnsi="仿宋_GB2312" w:cs="仿宋_GB2312"/>
                <w:sz w:val="18"/>
                <w:szCs w:val="18"/>
                <w:lang w:eastAsia="zh-CN"/>
              </w:rPr>
              <w:t>（</w:t>
            </w:r>
            <w:r>
              <w:rPr>
                <w:rFonts w:hint="eastAsia" w:ascii="仿宋_GB2312" w:hAnsi="仿宋_GB2312" w:cs="仿宋_GB2312"/>
                <w:sz w:val="18"/>
                <w:szCs w:val="18"/>
                <w:lang w:val="en-US" w:eastAsia="zh-CN"/>
              </w:rPr>
              <w:t>35分）</w:t>
            </w:r>
          </w:p>
        </w:tc>
        <w:tc>
          <w:tcPr>
            <w:tcW w:w="1140"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产出数量</w:t>
            </w:r>
          </w:p>
        </w:tc>
        <w:tc>
          <w:tcPr>
            <w:tcW w:w="1186"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建设地下水监测井</w:t>
            </w:r>
          </w:p>
        </w:tc>
        <w:tc>
          <w:tcPr>
            <w:tcW w:w="2315" w:type="dxa"/>
            <w:shd w:val="clear" w:color="auto" w:fill="FFFFFF"/>
            <w:noWrap w:val="0"/>
            <w:vAlign w:val="center"/>
          </w:tcPr>
          <w:p>
            <w:pPr>
              <w:ind w:firstLine="0" w:firstLineChars="0"/>
              <w:jc w:val="left"/>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bidi="ar"/>
              </w:rPr>
              <w:t>项目实施的实际产出数与计划产出数的比率，用以反映和考核项目产出数量目标的实现程度</w:t>
            </w:r>
            <w:r>
              <w:rPr>
                <w:rFonts w:hint="eastAsia" w:ascii="仿宋_GB2312" w:hAnsi="仿宋_GB2312" w:cs="仿宋_GB2312"/>
                <w:kern w:val="0"/>
                <w:sz w:val="18"/>
                <w:szCs w:val="18"/>
                <w:lang w:eastAsia="zh-CN" w:bidi="ar"/>
              </w:rPr>
              <w:t>。</w:t>
            </w:r>
          </w:p>
        </w:tc>
        <w:tc>
          <w:tcPr>
            <w:tcW w:w="751" w:type="dxa"/>
            <w:shd w:val="clear" w:color="auto" w:fill="FFFFFF"/>
            <w:noWrap w:val="0"/>
            <w:vAlign w:val="center"/>
          </w:tcPr>
          <w:p>
            <w:pPr>
              <w:ind w:firstLine="0" w:firstLineChars="0"/>
              <w:jc w:val="center"/>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val="en-US" w:eastAsia="zh-CN" w:bidi="ar"/>
              </w:rPr>
              <w:t>9</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建设地下水监测井数量年度指标值为大于等于8口，实际完成值为8口，完成预期目标，根据评分标准，该指标不扣分。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eastAsia="zh-CN" w:bidi="ar"/>
              </w:rPr>
            </w:pPr>
            <w:r>
              <w:rPr>
                <w:rFonts w:hint="eastAsia" w:ascii="仿宋_GB2312" w:hAnsi="仿宋_GB2312" w:cs="仿宋_GB2312"/>
                <w:kern w:val="0"/>
                <w:sz w:val="18"/>
                <w:szCs w:val="18"/>
                <w:lang w:val="en-US" w:eastAsia="zh-CN" w:bidi="ar"/>
              </w:rPr>
              <w:t>9</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1140" w:type="dxa"/>
            <w:vMerge w:val="restart"/>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产出质量</w:t>
            </w:r>
          </w:p>
        </w:tc>
        <w:tc>
          <w:tcPr>
            <w:tcW w:w="1186"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资金使用合规性</w:t>
            </w:r>
          </w:p>
        </w:tc>
        <w:tc>
          <w:tcPr>
            <w:tcW w:w="2315" w:type="dxa"/>
            <w:vMerge w:val="restart"/>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项目完成的质量达标产出数与实际产出数的比率，用以反映和考核项目产出质量目标的实现程度。</w:t>
            </w:r>
          </w:p>
        </w:tc>
        <w:tc>
          <w:tcPr>
            <w:tcW w:w="751" w:type="dxa"/>
            <w:vMerge w:val="restart"/>
            <w:shd w:val="clear" w:color="auto" w:fill="FFFFFF"/>
            <w:noWrap w:val="0"/>
            <w:vAlign w:val="center"/>
          </w:tcPr>
          <w:p>
            <w:pPr>
              <w:ind w:firstLine="0" w:firstLineChars="0"/>
              <w:jc w:val="center"/>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val="en-US" w:eastAsia="zh-CN" w:bidi="ar"/>
              </w:rPr>
              <w:t>9</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资金使用合规性年度指标值为等于100%，实际完成值为100%，完成预期目标，根据评分标准，该指标不扣分。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cs="仿宋_GB2312"/>
                <w:kern w:val="0"/>
                <w:sz w:val="18"/>
                <w:szCs w:val="18"/>
                <w:lang w:eastAsia="zh-CN" w:bidi="ar"/>
              </w:rPr>
            </w:pPr>
            <w:r>
              <w:rPr>
                <w:rFonts w:hint="eastAsia" w:ascii="仿宋_GB2312" w:hAnsi="仿宋_GB2312" w:cs="仿宋_GB2312"/>
                <w:kern w:val="0"/>
                <w:sz w:val="18"/>
                <w:szCs w:val="18"/>
                <w:lang w:val="en-US" w:eastAsia="zh-CN" w:bidi="ar"/>
              </w:rPr>
              <w:t>9</w:t>
            </w:r>
          </w:p>
        </w:tc>
        <w:tc>
          <w:tcPr>
            <w:tcW w:w="963" w:type="dxa"/>
            <w:vMerge w:val="restart"/>
            <w:noWrap w:val="0"/>
            <w:vAlign w:val="center"/>
          </w:tcPr>
          <w:p>
            <w:pPr>
              <w:ind w:firstLine="0" w:firstLineChars="0"/>
              <w:jc w:val="left"/>
              <w:textAlignment w:val="center"/>
              <w:rPr>
                <w:rFonts w:hint="eastAsia" w:ascii="仿宋_GB2312" w:hAnsi="仿宋_GB2312" w:cs="仿宋_GB2312"/>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6"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1140" w:type="dxa"/>
            <w:vMerge w:val="continue"/>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bidi="ar"/>
              </w:rPr>
            </w:pPr>
          </w:p>
        </w:tc>
        <w:tc>
          <w:tcPr>
            <w:tcW w:w="1186" w:type="dxa"/>
            <w:shd w:val="clear" w:color="auto" w:fill="FFFFFF"/>
            <w:noWrap w:val="0"/>
            <w:vAlign w:val="center"/>
          </w:tcPr>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工程验收合格率</w:t>
            </w:r>
          </w:p>
        </w:tc>
        <w:tc>
          <w:tcPr>
            <w:tcW w:w="2315" w:type="dxa"/>
            <w:vMerge w:val="continue"/>
            <w:shd w:val="clear" w:color="auto" w:fill="FFFFFF"/>
            <w:noWrap w:val="0"/>
            <w:vAlign w:val="center"/>
          </w:tcPr>
          <w:p>
            <w:pPr>
              <w:ind w:firstLine="0" w:firstLineChars="0"/>
              <w:jc w:val="left"/>
              <w:textAlignment w:val="center"/>
              <w:rPr>
                <w:rFonts w:hint="eastAsia" w:ascii="仿宋_GB2312" w:hAnsi="仿宋_GB2312" w:cs="仿宋_GB2312"/>
                <w:kern w:val="0"/>
                <w:sz w:val="18"/>
                <w:szCs w:val="18"/>
                <w:lang w:bidi="ar"/>
              </w:rPr>
            </w:pPr>
          </w:p>
        </w:tc>
        <w:tc>
          <w:tcPr>
            <w:tcW w:w="751" w:type="dxa"/>
            <w:vMerge w:val="continue"/>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val="en-US" w:eastAsia="zh-CN" w:bidi="ar"/>
              </w:rPr>
            </w:pPr>
          </w:p>
        </w:tc>
        <w:tc>
          <w:tcPr>
            <w:tcW w:w="6140" w:type="dxa"/>
            <w:shd w:val="clear" w:color="auto" w:fill="FFFFFF"/>
            <w:noWrap w:val="0"/>
            <w:vAlign w:val="center"/>
          </w:tcPr>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工程验收合格率年度指标值为等于100%，实际完成值为100%，完成预期目标，根据评分标准，该指标不扣分。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cs="仿宋_GB2312"/>
                <w:kern w:val="0"/>
                <w:sz w:val="18"/>
                <w:szCs w:val="18"/>
                <w:lang w:val="en-US" w:eastAsia="zh-CN" w:bidi="ar"/>
              </w:rPr>
            </w:pPr>
          </w:p>
        </w:tc>
        <w:tc>
          <w:tcPr>
            <w:tcW w:w="963" w:type="dxa"/>
            <w:vMerge w:val="continue"/>
            <w:noWrap w:val="0"/>
            <w:vAlign w:val="center"/>
          </w:tcPr>
          <w:p>
            <w:pPr>
              <w:ind w:firstLine="0" w:firstLineChars="0"/>
              <w:jc w:val="left"/>
              <w:textAlignment w:val="center"/>
              <w:rPr>
                <w:rFonts w:hint="eastAsia" w:ascii="仿宋_GB2312" w:hAnsi="仿宋_GB2312" w:cs="仿宋_GB2312"/>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8"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1140" w:type="dxa"/>
            <w:vMerge w:val="restart"/>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产出时效</w:t>
            </w:r>
          </w:p>
        </w:tc>
        <w:tc>
          <w:tcPr>
            <w:tcW w:w="1186" w:type="dxa"/>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资金按期支付及时率</w:t>
            </w:r>
          </w:p>
        </w:tc>
        <w:tc>
          <w:tcPr>
            <w:tcW w:w="2315" w:type="dxa"/>
            <w:vMerge w:val="restart"/>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项目实际完成时间与计划完成时间的比较，用以反映和考核项目产出时效目标的实现程度。</w:t>
            </w:r>
          </w:p>
        </w:tc>
        <w:tc>
          <w:tcPr>
            <w:tcW w:w="751" w:type="dxa"/>
            <w:vMerge w:val="restart"/>
            <w:noWrap w:val="0"/>
            <w:vAlign w:val="center"/>
          </w:tcPr>
          <w:p>
            <w:pPr>
              <w:ind w:firstLine="0" w:firstLineChars="0"/>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cs="仿宋_GB2312"/>
                <w:sz w:val="18"/>
                <w:szCs w:val="18"/>
                <w:lang w:val="en-US" w:eastAsia="zh-CN"/>
              </w:rPr>
              <w:t>8</w:t>
            </w:r>
          </w:p>
        </w:tc>
        <w:tc>
          <w:tcPr>
            <w:tcW w:w="6140" w:type="dxa"/>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资金按期支付及时率年度指标值为等于100%，实际完成值为71.4%，未完成预期目标，根据评分标准，该指标扣1.14分，实际得分2.86分。</w:t>
            </w:r>
          </w:p>
        </w:tc>
        <w:tc>
          <w:tcPr>
            <w:tcW w:w="717" w:type="dxa"/>
            <w:vMerge w:val="restart"/>
            <w:noWrap/>
            <w:vAlign w:val="center"/>
          </w:tcPr>
          <w:p>
            <w:pPr>
              <w:ind w:firstLine="0" w:firstLineChars="0"/>
              <w:jc w:val="center"/>
              <w:textAlignment w:val="center"/>
              <w:rPr>
                <w:rFonts w:hint="default" w:ascii="仿宋_GB2312" w:hAnsi="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6.86</w:t>
            </w:r>
          </w:p>
        </w:tc>
        <w:tc>
          <w:tcPr>
            <w:tcW w:w="963" w:type="dxa"/>
            <w:vMerge w:val="restart"/>
            <w:noWrap w:val="0"/>
            <w:vAlign w:val="center"/>
          </w:tcPr>
          <w:p>
            <w:pPr>
              <w:ind w:firstLine="0" w:firstLineChars="0"/>
              <w:jc w:val="left"/>
              <w:textAlignment w:val="center"/>
              <w:rPr>
                <w:rFonts w:hint="default" w:ascii="仿宋_GB2312" w:hAnsi="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实际完成低于预期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1140" w:type="dxa"/>
            <w:vMerge w:val="continue"/>
            <w:noWrap w:val="0"/>
            <w:vAlign w:val="center"/>
          </w:tcPr>
          <w:p>
            <w:pPr>
              <w:ind w:firstLine="0" w:firstLineChars="0"/>
              <w:jc w:val="center"/>
              <w:textAlignment w:val="center"/>
              <w:rPr>
                <w:rFonts w:hint="eastAsia" w:ascii="仿宋_GB2312" w:hAnsi="仿宋_GB2312" w:cs="仿宋_GB2312"/>
                <w:kern w:val="0"/>
                <w:sz w:val="18"/>
                <w:szCs w:val="18"/>
                <w:lang w:bidi="ar"/>
              </w:rPr>
            </w:pPr>
          </w:p>
        </w:tc>
        <w:tc>
          <w:tcPr>
            <w:tcW w:w="1186" w:type="dxa"/>
            <w:noWrap w:val="0"/>
            <w:vAlign w:val="center"/>
          </w:tcPr>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项目验收完成时间</w:t>
            </w:r>
          </w:p>
        </w:tc>
        <w:tc>
          <w:tcPr>
            <w:tcW w:w="2315" w:type="dxa"/>
            <w:vMerge w:val="continue"/>
            <w:noWrap w:val="0"/>
            <w:vAlign w:val="center"/>
          </w:tcPr>
          <w:p>
            <w:pPr>
              <w:ind w:firstLine="0" w:firstLineChars="0"/>
              <w:jc w:val="left"/>
              <w:textAlignment w:val="center"/>
              <w:rPr>
                <w:rFonts w:hint="eastAsia" w:ascii="仿宋_GB2312" w:hAnsi="仿宋_GB2312" w:cs="仿宋_GB2312"/>
                <w:kern w:val="0"/>
                <w:sz w:val="18"/>
                <w:szCs w:val="18"/>
                <w:lang w:bidi="ar"/>
              </w:rPr>
            </w:pPr>
          </w:p>
        </w:tc>
        <w:tc>
          <w:tcPr>
            <w:tcW w:w="751" w:type="dxa"/>
            <w:vMerge w:val="continue"/>
            <w:noWrap w:val="0"/>
            <w:vAlign w:val="center"/>
          </w:tcPr>
          <w:p>
            <w:pPr>
              <w:ind w:firstLine="0" w:firstLineChars="0"/>
              <w:jc w:val="center"/>
              <w:textAlignment w:val="center"/>
              <w:rPr>
                <w:rFonts w:hint="eastAsia" w:ascii="仿宋_GB2312" w:hAnsi="仿宋_GB2312" w:cs="仿宋_GB2312"/>
                <w:sz w:val="18"/>
                <w:szCs w:val="18"/>
                <w:lang w:val="en-US" w:eastAsia="zh-CN"/>
              </w:rPr>
            </w:pPr>
          </w:p>
        </w:tc>
        <w:tc>
          <w:tcPr>
            <w:tcW w:w="6140" w:type="dxa"/>
            <w:noWrap w:val="0"/>
            <w:vAlign w:val="center"/>
          </w:tcPr>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项目验收完成时间年度指标值为2023年6月30日前，实际完成值为2023年5月25日，完成预期目标，根据评分标准，该指标不扣分。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cs="仿宋_GB2312"/>
                <w:kern w:val="0"/>
                <w:sz w:val="18"/>
                <w:szCs w:val="18"/>
                <w:lang w:val="en-US" w:eastAsia="zh-CN" w:bidi="ar"/>
              </w:rPr>
            </w:pPr>
          </w:p>
        </w:tc>
        <w:tc>
          <w:tcPr>
            <w:tcW w:w="963" w:type="dxa"/>
            <w:vMerge w:val="continue"/>
            <w:noWrap w:val="0"/>
            <w:vAlign w:val="center"/>
          </w:tcPr>
          <w:p>
            <w:pPr>
              <w:ind w:firstLine="0" w:firstLineChars="0"/>
              <w:jc w:val="left"/>
              <w:textAlignment w:val="center"/>
              <w:rPr>
                <w:rFonts w:hint="eastAsia" w:ascii="仿宋_GB2312" w:hAnsi="仿宋_GB2312" w:cs="仿宋_GB2312"/>
                <w:kern w:val="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1140"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产出成本</w:t>
            </w:r>
          </w:p>
        </w:tc>
        <w:tc>
          <w:tcPr>
            <w:tcW w:w="1186"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监测井建设成本</w:t>
            </w:r>
          </w:p>
        </w:tc>
        <w:tc>
          <w:tcPr>
            <w:tcW w:w="2315"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完成项目计划工作目标的实际节约成本与计划成本的比率，用以反映和考核项目的成本节约程度。</w:t>
            </w:r>
          </w:p>
        </w:tc>
        <w:tc>
          <w:tcPr>
            <w:tcW w:w="751" w:type="dxa"/>
            <w:shd w:val="clear" w:color="auto" w:fill="FFFFFF"/>
            <w:noWrap w:val="0"/>
            <w:vAlign w:val="center"/>
          </w:tcPr>
          <w:p>
            <w:pPr>
              <w:ind w:firstLine="0" w:firstLineChars="0"/>
              <w:jc w:val="center"/>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val="en-US" w:eastAsia="zh-CN" w:bidi="ar"/>
              </w:rPr>
              <w:t>9</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监测井建设成本年度指标值为小于等于27.16万元/口，实际完成值为19.405万元/口，未完成预期目标，根据评分标准，该指标扣2.57分，实际得分6.43分。</w:t>
            </w:r>
          </w:p>
        </w:tc>
        <w:tc>
          <w:tcPr>
            <w:tcW w:w="717" w:type="dxa"/>
            <w:noWrap/>
            <w:vAlign w:val="center"/>
          </w:tcPr>
          <w:p>
            <w:pPr>
              <w:ind w:firstLine="0" w:firstLineChars="0"/>
              <w:jc w:val="center"/>
              <w:textAlignment w:val="center"/>
              <w:rPr>
                <w:rFonts w:hint="default" w:ascii="仿宋_GB2312" w:hAnsi="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6.43</w:t>
            </w:r>
          </w:p>
        </w:tc>
        <w:tc>
          <w:tcPr>
            <w:tcW w:w="963" w:type="dxa"/>
            <w:noWrap w:val="0"/>
            <w:vAlign w:val="center"/>
          </w:tcPr>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val="en-US" w:eastAsia="zh-CN" w:bidi="ar"/>
              </w:rPr>
              <w:t>实际完成低于预期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7" w:hRule="atLeast"/>
        </w:trPr>
        <w:tc>
          <w:tcPr>
            <w:tcW w:w="953" w:type="dxa"/>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效益</w:t>
            </w:r>
          </w:p>
          <w:p>
            <w:pPr>
              <w:ind w:firstLine="0" w:firstLineChars="0"/>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30分）</w:t>
            </w:r>
          </w:p>
        </w:tc>
        <w:tc>
          <w:tcPr>
            <w:tcW w:w="1140"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项目效益</w:t>
            </w:r>
          </w:p>
        </w:tc>
        <w:tc>
          <w:tcPr>
            <w:tcW w:w="1186"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加强地下水监测效果，掌握水质变化情况</w:t>
            </w:r>
          </w:p>
        </w:tc>
        <w:tc>
          <w:tcPr>
            <w:tcW w:w="2315" w:type="dxa"/>
            <w:shd w:val="clear" w:color="auto" w:fill="FFFFFF"/>
            <w:noWrap w:val="0"/>
            <w:vAlign w:val="center"/>
          </w:tcPr>
          <w:p>
            <w:pPr>
              <w:ind w:firstLine="0" w:firstLineChars="0"/>
              <w:jc w:val="left"/>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bidi="ar"/>
              </w:rPr>
              <w:t>项目实施所产生的</w:t>
            </w:r>
            <w:r>
              <w:rPr>
                <w:rFonts w:hint="eastAsia" w:ascii="仿宋_GB2312" w:hAnsi="仿宋_GB2312" w:cs="仿宋_GB2312"/>
                <w:kern w:val="0"/>
                <w:sz w:val="18"/>
                <w:szCs w:val="18"/>
                <w:lang w:val="en-US" w:eastAsia="zh-CN" w:bidi="ar"/>
              </w:rPr>
              <w:t>社会</w:t>
            </w:r>
            <w:r>
              <w:rPr>
                <w:rFonts w:hint="eastAsia" w:ascii="仿宋_GB2312" w:hAnsi="仿宋_GB2312" w:cs="仿宋_GB2312"/>
                <w:kern w:val="0"/>
                <w:sz w:val="18"/>
                <w:szCs w:val="18"/>
                <w:lang w:bidi="ar"/>
              </w:rPr>
              <w:t>效益</w:t>
            </w:r>
            <w:r>
              <w:rPr>
                <w:rFonts w:hint="eastAsia" w:ascii="仿宋_GB2312" w:hAnsi="仿宋_GB2312" w:cs="仿宋_GB2312"/>
                <w:kern w:val="0"/>
                <w:sz w:val="18"/>
                <w:szCs w:val="18"/>
                <w:lang w:eastAsia="zh-CN" w:bidi="ar"/>
              </w:rPr>
              <w:t>。</w:t>
            </w:r>
          </w:p>
        </w:tc>
        <w:tc>
          <w:tcPr>
            <w:tcW w:w="751" w:type="dxa"/>
            <w:shd w:val="clear" w:color="auto" w:fill="FFFFFF"/>
            <w:noWrap w:val="0"/>
            <w:vAlign w:val="center"/>
          </w:tcPr>
          <w:p>
            <w:pPr>
              <w:ind w:firstLine="180" w:firstLineChars="100"/>
              <w:jc w:val="left"/>
              <w:textAlignment w:val="center"/>
              <w:rPr>
                <w:rFonts w:ascii="仿宋_GB2312" w:hAnsi="仿宋_GB2312" w:cs="仿宋_GB2312"/>
                <w:sz w:val="18"/>
                <w:szCs w:val="18"/>
                <w:highlight w:val="none"/>
              </w:rPr>
            </w:pPr>
            <w:r>
              <w:rPr>
                <w:rFonts w:hint="eastAsia" w:ascii="仿宋_GB2312" w:hAnsi="仿宋_GB2312" w:cs="仿宋_GB2312"/>
                <w:kern w:val="0"/>
                <w:sz w:val="18"/>
                <w:szCs w:val="18"/>
                <w:highlight w:val="none"/>
                <w:lang w:val="en-US" w:eastAsia="zh-CN" w:bidi="ar"/>
              </w:rPr>
              <w:t>3</w:t>
            </w:r>
            <w:r>
              <w:rPr>
                <w:rFonts w:hint="eastAsia" w:ascii="仿宋_GB2312" w:hAnsi="仿宋_GB2312" w:cs="仿宋_GB2312"/>
                <w:kern w:val="0"/>
                <w:sz w:val="18"/>
                <w:szCs w:val="18"/>
                <w:highlight w:val="none"/>
                <w:lang w:bidi="ar"/>
              </w:rPr>
              <w:t>0</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highlight w:val="none"/>
              </w:rPr>
            </w:pPr>
            <w:r>
              <w:rPr>
                <w:rFonts w:hint="eastAsia" w:ascii="仿宋_GB2312" w:hAnsi="仿宋_GB2312" w:cs="仿宋_GB2312"/>
                <w:color w:val="auto"/>
                <w:kern w:val="0"/>
                <w:sz w:val="18"/>
                <w:szCs w:val="18"/>
                <w:highlight w:val="none"/>
                <w:lang w:bidi="ar"/>
              </w:rPr>
              <w:t>加强地下水监测效果，掌握水质变化情况年度指标值为有效加强，实际完成值为有效加强，完成预期目标，根据评分标准，该指标不扣分。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val="en-US" w:eastAsia="zh-CN" w:bidi="ar"/>
              </w:rPr>
              <w:t>3</w:t>
            </w:r>
            <w:r>
              <w:rPr>
                <w:rFonts w:hint="eastAsia" w:ascii="仿宋_GB2312" w:hAnsi="仿宋_GB2312" w:cs="仿宋_GB2312"/>
                <w:kern w:val="0"/>
                <w:sz w:val="18"/>
                <w:szCs w:val="18"/>
                <w:lang w:bidi="ar"/>
              </w:rPr>
              <w:t>0</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79" w:type="dxa"/>
            <w:gridSpan w:val="3"/>
            <w:noWrap/>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合计</w:t>
            </w:r>
          </w:p>
        </w:tc>
        <w:tc>
          <w:tcPr>
            <w:tcW w:w="2315" w:type="dxa"/>
            <w:noWrap/>
            <w:vAlign w:val="center"/>
          </w:tcPr>
          <w:p>
            <w:pPr>
              <w:ind w:firstLine="360"/>
              <w:jc w:val="left"/>
              <w:rPr>
                <w:rFonts w:ascii="仿宋_GB2312" w:hAnsi="仿宋_GB2312" w:cs="仿宋_GB2312"/>
                <w:sz w:val="18"/>
                <w:szCs w:val="18"/>
              </w:rPr>
            </w:pPr>
          </w:p>
        </w:tc>
        <w:tc>
          <w:tcPr>
            <w:tcW w:w="751" w:type="dxa"/>
            <w:noWrap/>
            <w:vAlign w:val="center"/>
          </w:tcPr>
          <w:p>
            <w:pPr>
              <w:ind w:firstLine="180" w:firstLineChars="10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100</w:t>
            </w:r>
          </w:p>
        </w:tc>
        <w:tc>
          <w:tcPr>
            <w:tcW w:w="6140" w:type="dxa"/>
            <w:noWrap w:val="0"/>
            <w:vAlign w:val="center"/>
          </w:tcPr>
          <w:p>
            <w:pPr>
              <w:ind w:firstLine="360"/>
              <w:jc w:val="left"/>
              <w:rPr>
                <w:rFonts w:ascii="仿宋_GB2312" w:hAnsi="仿宋_GB2312" w:cs="仿宋_GB2312"/>
                <w:sz w:val="18"/>
                <w:szCs w:val="18"/>
              </w:rPr>
            </w:pPr>
          </w:p>
        </w:tc>
        <w:tc>
          <w:tcPr>
            <w:tcW w:w="717" w:type="dxa"/>
            <w:noWrap/>
            <w:vAlign w:val="center"/>
          </w:tcPr>
          <w:p>
            <w:pPr>
              <w:ind w:firstLine="0" w:firstLineChars="0"/>
              <w:jc w:val="center"/>
              <w:textAlignment w:val="center"/>
              <w:rPr>
                <w:rFonts w:hint="default" w:ascii="仿宋_GB2312" w:hAnsi="仿宋_GB2312" w:eastAsia="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95.43</w:t>
            </w:r>
          </w:p>
        </w:tc>
        <w:tc>
          <w:tcPr>
            <w:tcW w:w="963" w:type="dxa"/>
            <w:noWrap w:val="0"/>
            <w:vAlign w:val="center"/>
          </w:tcPr>
          <w:p>
            <w:pPr>
              <w:ind w:firstLine="360"/>
              <w:jc w:val="left"/>
              <w:rPr>
                <w:rFonts w:ascii="宋体" w:hAnsi="宋体" w:eastAsia="宋体" w:cs="宋体"/>
                <w:sz w:val="18"/>
                <w:szCs w:val="18"/>
              </w:rPr>
            </w:pPr>
          </w:p>
        </w:tc>
      </w:tr>
    </w:tbl>
    <w:p>
      <w:pPr>
        <w:pStyle w:val="24"/>
        <w:keepNext w:val="0"/>
        <w:keepLines w:val="0"/>
        <w:pageBreakBefore w:val="0"/>
        <w:widowControl w:val="0"/>
        <w:kinsoku/>
        <w:wordWrap/>
        <w:overflowPunct/>
        <w:topLinePunct w:val="0"/>
        <w:autoSpaceDE/>
        <w:autoSpaceDN/>
        <w:bidi w:val="0"/>
        <w:adjustRightInd/>
        <w:snapToGrid/>
        <w:spacing w:line="240" w:lineRule="exact"/>
        <w:ind w:firstLine="0" w:firstLineChars="0"/>
        <w:jc w:val="both"/>
        <w:textAlignment w:val="auto"/>
        <w:rPr>
          <w:sz w:val="21"/>
          <w:szCs w:val="21"/>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480"/>
      <w:jc w:val="center"/>
      <w:rPr>
        <w:rFonts w:asciiTheme="minorEastAsia" w:hAnsiTheme="minorEastAsia" w:eastAsiaTheme="minorEastAsia" w:cstheme="minorEastAsia"/>
        <w:sz w:val="24"/>
        <w:szCs w:val="24"/>
      </w:rPr>
    </w:pPr>
  </w:p>
  <w:p>
    <w:pPr>
      <w:pStyle w:val="1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480"/>
      <w:jc w:val="center"/>
      <w:rPr>
        <w:rFonts w:asciiTheme="minorEastAsia" w:hAnsiTheme="minorEastAsia" w:eastAsiaTheme="minorEastAsia" w:cstheme="minorEastAsia"/>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posOffset>2270125</wp:posOffset>
              </wp:positionH>
              <wp:positionV relativeFrom="paragraph">
                <wp:posOffset>85090</wp:posOffset>
              </wp:positionV>
              <wp:extent cx="76708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6708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ind w:firstLine="480"/>
                            <w:jc w:val="cente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14</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78.75pt;margin-top:6.7pt;height:144pt;width:60.4pt;mso-position-horizontal-relative:margin;z-index:251660288;mso-width-relative:page;mso-height-relative:page;" filled="f" stroked="f" coordsize="21600,21600" o:gfxdata="UEsDBAoAAAAAAIdO4kAAAAAAAAAAAAAAAAAEAAAAZHJzL1BLAwQUAAAACACHTuJA8r6tVNgAAAAK&#10;AQAADwAAAGRycy9kb3ducmV2LnhtbE2PwU7DMAyG70i8Q2Qkbiwp7dhUmu6AYAc40SHE0WvdptAk&#10;VZN1g6fHnMbR+j///lxsTnYQM02h905DslAgyNW+6V2n4W33dLMGESK6BgfvSMM3BdiUlxcF5o0/&#10;uleaq9gJLnEhRw0mxjGXMtSGLIaFH8lx1vrJYuRx6mQz4ZHL7SBvlbqTFnvHFwyO9GCo/qoOljXe&#10;X5Td/rTmwz5jGyqzm7ePn1pfXyXqHkSkUzzD8KfPO1Cy094fXBPEoCFdrpaMcpBmIBjIVusUxJ4T&#10;lWQgy0L+f6H8BVBLAwQUAAAACACHTuJAPIgkyxQCAAAIBAAADgAAAGRycy9lMm9Eb2MueG1srVPL&#10;jtMwFN0j8Q+W9zRpKzpV1XRUZlSEVDEjFcTadZwmkl/YbpPyAfAHrNiw57v6HRy7TQcBK8TGubnv&#10;e+6589tOSXIQzjdGF3Q4yCkRmpuy0buCvn+3ejGlxAemSyaNFgU9Ck9vF8+fzVs7EyNTG1kKR5BE&#10;+1lrC1qHYGdZ5nktFPMDY4WGsTJOsYBft8tKx1pkVzIb5fkka40rrTNceA/t/dlIFyl/VQkeHqrK&#10;i0BkQdFbSK9L7za+2WLOZjvHbN3wSxvsH7pQrNEoek11zwIje9f8kUo13BlvqjDgRmWmqhou0gyY&#10;Zpj/Ns2mZlakWQCOt1eY/P9Ly98eHh1pyoKOKdFMYUWnr19O336cvn8m4whPa/0MXhsLv9C9Mh3W&#10;3Os9lHHqrnIqfjEPgR1AH6/gii4QDuXN5CafwsJhGk5H02me0M+eoq3z4bUwikShoA7LS5iyw9oH&#10;dALX3iUW02bVSJkWKDVpCzoZv8xTwNWCCKkRGGc49xql0G27y2BbUx4xlzNnYnjLVw2Kr5kPj8yB&#10;CWgY7A4PeCppUMRcJEpq4z79TR/9sSBYKWnBrIL6j3vmBCXyjcbqIg17wfXCthf0Xt0ZkHWIu7E8&#10;iQhwQfZi5Yz6ANIvYxWYmOaoVdDQi3fhzG8cDRfLZXIC2SwLa72xPKaO8Hm73AdAmJCNsJyxuKAF&#10;uiXAL6cR+fzrf/J6OuDF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K+rVTYAAAACgEAAA8AAAAA&#10;AAAAAQAgAAAAIgAAAGRycy9kb3ducmV2LnhtbFBLAQIUABQAAAAIAIdO4kA8iCTLFAIAAAgEAAAO&#10;AAAAAAAAAAEAIAAAACcBAABkcnMvZTJvRG9jLnhtbFBLBQYAAAAABgAGAFkBAACtBQAAAAA=&#10;">
              <v:fill on="f" focussize="0,0"/>
              <v:stroke on="f" weight="0.5pt"/>
              <v:imagedata o:title=""/>
              <o:lock v:ext="edit" aspectratio="f"/>
              <v:textbox inset="0mm,0mm,0mm,0mm" style="mso-fit-shape-to-text:t;">
                <w:txbxContent>
                  <w:p>
                    <w:pPr>
                      <w:pStyle w:val="17"/>
                      <w:ind w:firstLine="480"/>
                      <w:jc w:val="cente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14</w:t>
                    </w:r>
                    <w:r>
                      <w:rPr>
                        <w:rFonts w:hint="eastAsia" w:asciiTheme="minorEastAsia" w:hAnsiTheme="minorEastAsia" w:eastAsiaTheme="minorEastAsia" w:cstheme="minorEastAsia"/>
                        <w:sz w:val="24"/>
                        <w:szCs w:val="24"/>
                      </w:rPr>
                      <w:fldChar w:fldCharType="end"/>
                    </w:r>
                  </w:p>
                </w:txbxContent>
              </v:textbox>
            </v:shape>
          </w:pict>
        </mc:Fallback>
      </mc:AlternateContent>
    </w:r>
  </w:p>
  <w:p>
    <w:pPr>
      <w:pStyle w:val="1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2B0"/>
    <w:rsid w:val="00005CFE"/>
    <w:rsid w:val="00017324"/>
    <w:rsid w:val="00025C7B"/>
    <w:rsid w:val="00026D68"/>
    <w:rsid w:val="000507E5"/>
    <w:rsid w:val="000B0A47"/>
    <w:rsid w:val="000B4C90"/>
    <w:rsid w:val="000B7456"/>
    <w:rsid w:val="000F19ED"/>
    <w:rsid w:val="00116F13"/>
    <w:rsid w:val="00133529"/>
    <w:rsid w:val="001342B0"/>
    <w:rsid w:val="0013699F"/>
    <w:rsid w:val="00154AB1"/>
    <w:rsid w:val="00162D03"/>
    <w:rsid w:val="001938C8"/>
    <w:rsid w:val="001A713D"/>
    <w:rsid w:val="001B62E9"/>
    <w:rsid w:val="001D0828"/>
    <w:rsid w:val="00237098"/>
    <w:rsid w:val="00265B5F"/>
    <w:rsid w:val="002810A8"/>
    <w:rsid w:val="00287087"/>
    <w:rsid w:val="002A6447"/>
    <w:rsid w:val="002C0FA1"/>
    <w:rsid w:val="0030133E"/>
    <w:rsid w:val="003421D6"/>
    <w:rsid w:val="00355C5B"/>
    <w:rsid w:val="003801D3"/>
    <w:rsid w:val="003B13F4"/>
    <w:rsid w:val="003B55A8"/>
    <w:rsid w:val="003C2470"/>
    <w:rsid w:val="003D0E11"/>
    <w:rsid w:val="003D17D0"/>
    <w:rsid w:val="00417BA8"/>
    <w:rsid w:val="00417E0C"/>
    <w:rsid w:val="00450017"/>
    <w:rsid w:val="004550E0"/>
    <w:rsid w:val="00455EC9"/>
    <w:rsid w:val="0046425B"/>
    <w:rsid w:val="004B1048"/>
    <w:rsid w:val="004D029C"/>
    <w:rsid w:val="004D6CA3"/>
    <w:rsid w:val="004E66D0"/>
    <w:rsid w:val="0051444F"/>
    <w:rsid w:val="005351B2"/>
    <w:rsid w:val="00537022"/>
    <w:rsid w:val="005604A7"/>
    <w:rsid w:val="005B7ABC"/>
    <w:rsid w:val="006156C6"/>
    <w:rsid w:val="00621D64"/>
    <w:rsid w:val="00670E7D"/>
    <w:rsid w:val="00686622"/>
    <w:rsid w:val="006C4138"/>
    <w:rsid w:val="006F5848"/>
    <w:rsid w:val="00741A55"/>
    <w:rsid w:val="00756F99"/>
    <w:rsid w:val="0075701C"/>
    <w:rsid w:val="00761699"/>
    <w:rsid w:val="00785978"/>
    <w:rsid w:val="007A458B"/>
    <w:rsid w:val="007B592C"/>
    <w:rsid w:val="007C5576"/>
    <w:rsid w:val="007E3373"/>
    <w:rsid w:val="007E6959"/>
    <w:rsid w:val="007F4E7A"/>
    <w:rsid w:val="00837D40"/>
    <w:rsid w:val="00847863"/>
    <w:rsid w:val="008667CD"/>
    <w:rsid w:val="008715CB"/>
    <w:rsid w:val="00872BF6"/>
    <w:rsid w:val="008743A9"/>
    <w:rsid w:val="00892C60"/>
    <w:rsid w:val="00897964"/>
    <w:rsid w:val="008A2CCB"/>
    <w:rsid w:val="008B1EB6"/>
    <w:rsid w:val="008D4040"/>
    <w:rsid w:val="008D5B06"/>
    <w:rsid w:val="008E4324"/>
    <w:rsid w:val="008E5407"/>
    <w:rsid w:val="008E5601"/>
    <w:rsid w:val="008F2A3D"/>
    <w:rsid w:val="008F4A33"/>
    <w:rsid w:val="009238D0"/>
    <w:rsid w:val="00936189"/>
    <w:rsid w:val="009D07FD"/>
    <w:rsid w:val="009D623D"/>
    <w:rsid w:val="009E7F93"/>
    <w:rsid w:val="009F6671"/>
    <w:rsid w:val="00A16AD6"/>
    <w:rsid w:val="00A51218"/>
    <w:rsid w:val="00A87773"/>
    <w:rsid w:val="00A87988"/>
    <w:rsid w:val="00AD265F"/>
    <w:rsid w:val="00AF1303"/>
    <w:rsid w:val="00AF2068"/>
    <w:rsid w:val="00B0358A"/>
    <w:rsid w:val="00B11C14"/>
    <w:rsid w:val="00B16647"/>
    <w:rsid w:val="00B45788"/>
    <w:rsid w:val="00B567F7"/>
    <w:rsid w:val="00B856EE"/>
    <w:rsid w:val="00B91B13"/>
    <w:rsid w:val="00BA7121"/>
    <w:rsid w:val="00BE1476"/>
    <w:rsid w:val="00C160DE"/>
    <w:rsid w:val="00C300F1"/>
    <w:rsid w:val="00C4247B"/>
    <w:rsid w:val="00C47700"/>
    <w:rsid w:val="00C477E9"/>
    <w:rsid w:val="00C52F11"/>
    <w:rsid w:val="00C64E44"/>
    <w:rsid w:val="00C6680C"/>
    <w:rsid w:val="00C72D08"/>
    <w:rsid w:val="00CB538F"/>
    <w:rsid w:val="00CC15C5"/>
    <w:rsid w:val="00D148F8"/>
    <w:rsid w:val="00D24B1A"/>
    <w:rsid w:val="00D3450F"/>
    <w:rsid w:val="00D35E67"/>
    <w:rsid w:val="00D52221"/>
    <w:rsid w:val="00D524CD"/>
    <w:rsid w:val="00D92BBE"/>
    <w:rsid w:val="00DA32AB"/>
    <w:rsid w:val="00DD56B6"/>
    <w:rsid w:val="00DE4B68"/>
    <w:rsid w:val="00E339F5"/>
    <w:rsid w:val="00E4696F"/>
    <w:rsid w:val="00E846CC"/>
    <w:rsid w:val="00F03527"/>
    <w:rsid w:val="00F07EB6"/>
    <w:rsid w:val="00F46472"/>
    <w:rsid w:val="00F62E86"/>
    <w:rsid w:val="00F67CD3"/>
    <w:rsid w:val="00F76D7A"/>
    <w:rsid w:val="00FB4F0E"/>
    <w:rsid w:val="00FC1400"/>
    <w:rsid w:val="00FC57E4"/>
    <w:rsid w:val="00FF1809"/>
    <w:rsid w:val="00FF386B"/>
    <w:rsid w:val="0160552D"/>
    <w:rsid w:val="01815D5E"/>
    <w:rsid w:val="026A2F69"/>
    <w:rsid w:val="030B1AB8"/>
    <w:rsid w:val="034D6604"/>
    <w:rsid w:val="036209C0"/>
    <w:rsid w:val="04253A19"/>
    <w:rsid w:val="04BB38C6"/>
    <w:rsid w:val="04BC3B3D"/>
    <w:rsid w:val="0525476D"/>
    <w:rsid w:val="05CE3E3D"/>
    <w:rsid w:val="05E90F90"/>
    <w:rsid w:val="06865D48"/>
    <w:rsid w:val="06B83EB3"/>
    <w:rsid w:val="06EA53AF"/>
    <w:rsid w:val="07262D78"/>
    <w:rsid w:val="075F25AF"/>
    <w:rsid w:val="078B51EA"/>
    <w:rsid w:val="07E826EC"/>
    <w:rsid w:val="08707776"/>
    <w:rsid w:val="089A5E49"/>
    <w:rsid w:val="08A600F6"/>
    <w:rsid w:val="08ED117F"/>
    <w:rsid w:val="08F35599"/>
    <w:rsid w:val="0ADC3B93"/>
    <w:rsid w:val="0B0172C5"/>
    <w:rsid w:val="0B1E67E7"/>
    <w:rsid w:val="0B2A1D37"/>
    <w:rsid w:val="0BB1581B"/>
    <w:rsid w:val="0C3F5E8D"/>
    <w:rsid w:val="0C4A7742"/>
    <w:rsid w:val="0DAC1116"/>
    <w:rsid w:val="0E3007B9"/>
    <w:rsid w:val="0E56363C"/>
    <w:rsid w:val="0E78758A"/>
    <w:rsid w:val="0E8D7DD7"/>
    <w:rsid w:val="0E9A44F7"/>
    <w:rsid w:val="10280144"/>
    <w:rsid w:val="103E1EFA"/>
    <w:rsid w:val="11BB2DC7"/>
    <w:rsid w:val="11F25929"/>
    <w:rsid w:val="12875D39"/>
    <w:rsid w:val="12A8713D"/>
    <w:rsid w:val="12C741DF"/>
    <w:rsid w:val="12CD50A0"/>
    <w:rsid w:val="12D969C7"/>
    <w:rsid w:val="13DE719D"/>
    <w:rsid w:val="13F95FF0"/>
    <w:rsid w:val="140E2CEA"/>
    <w:rsid w:val="14660571"/>
    <w:rsid w:val="14871C95"/>
    <w:rsid w:val="14C60177"/>
    <w:rsid w:val="14DA4EE2"/>
    <w:rsid w:val="16D01E15"/>
    <w:rsid w:val="173172B7"/>
    <w:rsid w:val="181E3BC4"/>
    <w:rsid w:val="18CD18BA"/>
    <w:rsid w:val="18D1673A"/>
    <w:rsid w:val="18F93760"/>
    <w:rsid w:val="19295C24"/>
    <w:rsid w:val="192C294F"/>
    <w:rsid w:val="199C6668"/>
    <w:rsid w:val="1A4A0115"/>
    <w:rsid w:val="1A4F2C08"/>
    <w:rsid w:val="1AFF4AC2"/>
    <w:rsid w:val="1B360920"/>
    <w:rsid w:val="1BC25682"/>
    <w:rsid w:val="1D1A32A6"/>
    <w:rsid w:val="1DC72C65"/>
    <w:rsid w:val="1EB64BE4"/>
    <w:rsid w:val="1EF10375"/>
    <w:rsid w:val="2084503B"/>
    <w:rsid w:val="20C40FE2"/>
    <w:rsid w:val="21382C5B"/>
    <w:rsid w:val="215C7CD8"/>
    <w:rsid w:val="218E7D50"/>
    <w:rsid w:val="21CF4E39"/>
    <w:rsid w:val="21E617A3"/>
    <w:rsid w:val="225B2CEC"/>
    <w:rsid w:val="23361BDA"/>
    <w:rsid w:val="233D00DC"/>
    <w:rsid w:val="23CF57A2"/>
    <w:rsid w:val="24306342"/>
    <w:rsid w:val="243C5236"/>
    <w:rsid w:val="24676B71"/>
    <w:rsid w:val="25005BCA"/>
    <w:rsid w:val="255432B0"/>
    <w:rsid w:val="25846970"/>
    <w:rsid w:val="25E11A1B"/>
    <w:rsid w:val="26C624DB"/>
    <w:rsid w:val="27313E46"/>
    <w:rsid w:val="27542688"/>
    <w:rsid w:val="27644139"/>
    <w:rsid w:val="279A0207"/>
    <w:rsid w:val="27B72D34"/>
    <w:rsid w:val="27C301A8"/>
    <w:rsid w:val="28476855"/>
    <w:rsid w:val="28774F9F"/>
    <w:rsid w:val="288C3648"/>
    <w:rsid w:val="28DC038E"/>
    <w:rsid w:val="291B5757"/>
    <w:rsid w:val="294316F0"/>
    <w:rsid w:val="299F0137"/>
    <w:rsid w:val="29B569A1"/>
    <w:rsid w:val="2A522FC2"/>
    <w:rsid w:val="2A854665"/>
    <w:rsid w:val="2AE37295"/>
    <w:rsid w:val="2AF44640"/>
    <w:rsid w:val="2C80637A"/>
    <w:rsid w:val="2CCB7E6F"/>
    <w:rsid w:val="2D2931D0"/>
    <w:rsid w:val="2D3D66BF"/>
    <w:rsid w:val="2D3F2AFD"/>
    <w:rsid w:val="2DD47EDE"/>
    <w:rsid w:val="2DD64A48"/>
    <w:rsid w:val="2DF41696"/>
    <w:rsid w:val="30D47661"/>
    <w:rsid w:val="30E407FF"/>
    <w:rsid w:val="30EA3D2D"/>
    <w:rsid w:val="31860484"/>
    <w:rsid w:val="31FA693D"/>
    <w:rsid w:val="33740FF7"/>
    <w:rsid w:val="342406A4"/>
    <w:rsid w:val="344A4AD6"/>
    <w:rsid w:val="34A73850"/>
    <w:rsid w:val="34B025B3"/>
    <w:rsid w:val="34F756BE"/>
    <w:rsid w:val="36813F40"/>
    <w:rsid w:val="368A557D"/>
    <w:rsid w:val="36A01808"/>
    <w:rsid w:val="39EA684A"/>
    <w:rsid w:val="3A4A3800"/>
    <w:rsid w:val="3B153A51"/>
    <w:rsid w:val="3BDA7521"/>
    <w:rsid w:val="3C0D491A"/>
    <w:rsid w:val="3C3A5021"/>
    <w:rsid w:val="3C8D4949"/>
    <w:rsid w:val="3E700B1D"/>
    <w:rsid w:val="3EA34F7D"/>
    <w:rsid w:val="3EB51EFF"/>
    <w:rsid w:val="3EEE2141"/>
    <w:rsid w:val="3EEE6C7A"/>
    <w:rsid w:val="3F882048"/>
    <w:rsid w:val="40117628"/>
    <w:rsid w:val="40623EE5"/>
    <w:rsid w:val="40D44C2B"/>
    <w:rsid w:val="40D57049"/>
    <w:rsid w:val="40F01F9B"/>
    <w:rsid w:val="40F059CE"/>
    <w:rsid w:val="412D32C3"/>
    <w:rsid w:val="41760F4B"/>
    <w:rsid w:val="425526D1"/>
    <w:rsid w:val="42A47E22"/>
    <w:rsid w:val="442527BE"/>
    <w:rsid w:val="447B6718"/>
    <w:rsid w:val="44B3058D"/>
    <w:rsid w:val="46305EEF"/>
    <w:rsid w:val="466551D1"/>
    <w:rsid w:val="4712413C"/>
    <w:rsid w:val="475A53B1"/>
    <w:rsid w:val="47627A8B"/>
    <w:rsid w:val="47FB7B22"/>
    <w:rsid w:val="480F2C59"/>
    <w:rsid w:val="48866984"/>
    <w:rsid w:val="49684A6B"/>
    <w:rsid w:val="4A734A00"/>
    <w:rsid w:val="4AF27D97"/>
    <w:rsid w:val="4B4B29E7"/>
    <w:rsid w:val="4C1F4C1C"/>
    <w:rsid w:val="4C5B3031"/>
    <w:rsid w:val="4CDF72E7"/>
    <w:rsid w:val="4D7771C5"/>
    <w:rsid w:val="4E175B2C"/>
    <w:rsid w:val="4EBE28E6"/>
    <w:rsid w:val="4F251034"/>
    <w:rsid w:val="4FD86355"/>
    <w:rsid w:val="506D36BD"/>
    <w:rsid w:val="515C74AA"/>
    <w:rsid w:val="51CF5CA2"/>
    <w:rsid w:val="52F365D4"/>
    <w:rsid w:val="53112CD5"/>
    <w:rsid w:val="53351ABA"/>
    <w:rsid w:val="53710365"/>
    <w:rsid w:val="540F0DC9"/>
    <w:rsid w:val="5432344B"/>
    <w:rsid w:val="547B0F25"/>
    <w:rsid w:val="555C721A"/>
    <w:rsid w:val="565F6ADC"/>
    <w:rsid w:val="56731585"/>
    <w:rsid w:val="56A83F23"/>
    <w:rsid w:val="56D354B1"/>
    <w:rsid w:val="57091A8F"/>
    <w:rsid w:val="57684C48"/>
    <w:rsid w:val="57ED177C"/>
    <w:rsid w:val="582F079F"/>
    <w:rsid w:val="5883081D"/>
    <w:rsid w:val="59AA626B"/>
    <w:rsid w:val="5A933D1A"/>
    <w:rsid w:val="5B035412"/>
    <w:rsid w:val="5B953CF9"/>
    <w:rsid w:val="5BE21C5E"/>
    <w:rsid w:val="5C000295"/>
    <w:rsid w:val="5EDE2286"/>
    <w:rsid w:val="5F180766"/>
    <w:rsid w:val="5F484798"/>
    <w:rsid w:val="5F8C10DD"/>
    <w:rsid w:val="5F8E19CC"/>
    <w:rsid w:val="605A6CFF"/>
    <w:rsid w:val="607148A4"/>
    <w:rsid w:val="615023E1"/>
    <w:rsid w:val="61677AC2"/>
    <w:rsid w:val="6171471A"/>
    <w:rsid w:val="61891CD9"/>
    <w:rsid w:val="61E20949"/>
    <w:rsid w:val="61FF39CE"/>
    <w:rsid w:val="6264349F"/>
    <w:rsid w:val="628F3915"/>
    <w:rsid w:val="62B5389A"/>
    <w:rsid w:val="638D4E26"/>
    <w:rsid w:val="63F03131"/>
    <w:rsid w:val="647B71F4"/>
    <w:rsid w:val="64E55908"/>
    <w:rsid w:val="64ED2B67"/>
    <w:rsid w:val="65315465"/>
    <w:rsid w:val="657468FE"/>
    <w:rsid w:val="65CC3419"/>
    <w:rsid w:val="6632657B"/>
    <w:rsid w:val="66B65FAB"/>
    <w:rsid w:val="66E151BE"/>
    <w:rsid w:val="674715B5"/>
    <w:rsid w:val="68523522"/>
    <w:rsid w:val="69562AA3"/>
    <w:rsid w:val="696B6384"/>
    <w:rsid w:val="6A1A7E11"/>
    <w:rsid w:val="6A8244F2"/>
    <w:rsid w:val="6A951AA9"/>
    <w:rsid w:val="6AB75A50"/>
    <w:rsid w:val="6AE17242"/>
    <w:rsid w:val="6C0D7820"/>
    <w:rsid w:val="6C413F96"/>
    <w:rsid w:val="6D040273"/>
    <w:rsid w:val="6E454B16"/>
    <w:rsid w:val="71621F05"/>
    <w:rsid w:val="72A76BA4"/>
    <w:rsid w:val="745B2D85"/>
    <w:rsid w:val="74737187"/>
    <w:rsid w:val="752C576D"/>
    <w:rsid w:val="75CE25D8"/>
    <w:rsid w:val="76C8710A"/>
    <w:rsid w:val="76E104BD"/>
    <w:rsid w:val="776960E4"/>
    <w:rsid w:val="777F0E7A"/>
    <w:rsid w:val="77EE1CF2"/>
    <w:rsid w:val="78310583"/>
    <w:rsid w:val="78C1024B"/>
    <w:rsid w:val="79385EE5"/>
    <w:rsid w:val="793C1E75"/>
    <w:rsid w:val="7940056C"/>
    <w:rsid w:val="798346DE"/>
    <w:rsid w:val="79AF458E"/>
    <w:rsid w:val="79E42561"/>
    <w:rsid w:val="7A5B019D"/>
    <w:rsid w:val="7A8F3D9A"/>
    <w:rsid w:val="7A983BE6"/>
    <w:rsid w:val="7AE604A8"/>
    <w:rsid w:val="7AEE220D"/>
    <w:rsid w:val="7B7C6845"/>
    <w:rsid w:val="7BF6241B"/>
    <w:rsid w:val="7C1B054B"/>
    <w:rsid w:val="7CE1111E"/>
    <w:rsid w:val="7D8D1AEC"/>
    <w:rsid w:val="7DA074C1"/>
    <w:rsid w:val="7DAA2194"/>
    <w:rsid w:val="7E3B1E33"/>
    <w:rsid w:val="7E3D798C"/>
    <w:rsid w:val="7FEB6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3">
    <w:name w:val="heading 1"/>
    <w:basedOn w:val="1"/>
    <w:next w:val="4"/>
    <w:link w:val="4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7"/>
    <w:link w:val="39"/>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link w:val="49"/>
    <w:qFormat/>
    <w:uiPriority w:val="9"/>
    <w:pPr>
      <w:keepNext/>
      <w:keepLines/>
      <w:spacing w:before="260" w:after="260" w:line="416" w:lineRule="auto"/>
      <w:jc w:val="left"/>
      <w:outlineLvl w:val="2"/>
    </w:pPr>
    <w:rPr>
      <w:bCs/>
      <w:szCs w:val="32"/>
    </w:rPr>
  </w:style>
  <w:style w:type="paragraph" w:styleId="8">
    <w:name w:val="heading 4"/>
    <w:basedOn w:val="1"/>
    <w:next w:val="1"/>
    <w:link w:val="50"/>
    <w:qFormat/>
    <w:uiPriority w:val="9"/>
    <w:pPr>
      <w:keepNext/>
      <w:keepLines/>
      <w:spacing w:before="280" w:after="290" w:line="376" w:lineRule="auto"/>
      <w:outlineLvl w:val="3"/>
    </w:pPr>
    <w:rPr>
      <w:rFonts w:ascii="Cambria" w:hAnsi="Cambria" w:eastAsia="宋体" w:cs="Times New Roman"/>
      <w:b/>
      <w:bCs/>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First Indent 2"/>
    <w:basedOn w:val="5"/>
    <w:link w:val="38"/>
    <w:unhideWhenUsed/>
    <w:qFormat/>
    <w:uiPriority w:val="0"/>
    <w:pPr>
      <w:ind w:firstLine="420"/>
    </w:pPr>
  </w:style>
  <w:style w:type="paragraph" w:styleId="5">
    <w:name w:val="Body Text Indent"/>
    <w:basedOn w:val="1"/>
    <w:link w:val="44"/>
    <w:unhideWhenUsed/>
    <w:qFormat/>
    <w:uiPriority w:val="99"/>
    <w:pPr>
      <w:spacing w:after="120"/>
      <w:ind w:left="420" w:leftChars="200"/>
    </w:pPr>
  </w:style>
  <w:style w:type="paragraph" w:styleId="7">
    <w:name w:val="No Spacing"/>
    <w:link w:val="35"/>
    <w:qFormat/>
    <w:uiPriority w:val="1"/>
    <w:pPr>
      <w:widowControl w:val="0"/>
      <w:ind w:firstLine="600" w:firstLineChars="200"/>
      <w:jc w:val="both"/>
    </w:pPr>
    <w:rPr>
      <w:rFonts w:ascii="Calibri" w:hAnsi="Calibri" w:eastAsia="仿宋_GB2312" w:cs="黑体"/>
      <w:kern w:val="2"/>
      <w:sz w:val="28"/>
      <w:szCs w:val="22"/>
      <w:lang w:val="en-US" w:eastAsia="zh-CN" w:bidi="ar-SA"/>
    </w:rPr>
  </w:style>
  <w:style w:type="paragraph" w:styleId="9">
    <w:name w:val="toc 7"/>
    <w:basedOn w:val="1"/>
    <w:next w:val="1"/>
    <w:unhideWhenUsed/>
    <w:qFormat/>
    <w:uiPriority w:val="39"/>
    <w:pPr>
      <w:ind w:left="1680"/>
      <w:jc w:val="left"/>
    </w:pPr>
    <w:rPr>
      <w:rFonts w:cs="Calibri"/>
      <w:sz w:val="18"/>
      <w:szCs w:val="18"/>
    </w:rPr>
  </w:style>
  <w:style w:type="paragraph" w:styleId="10">
    <w:name w:val="Document Map"/>
    <w:basedOn w:val="1"/>
    <w:link w:val="55"/>
    <w:unhideWhenUsed/>
    <w:qFormat/>
    <w:uiPriority w:val="99"/>
    <w:rPr>
      <w:rFonts w:ascii="宋体" w:eastAsia="宋体"/>
      <w:sz w:val="18"/>
      <w:szCs w:val="18"/>
    </w:rPr>
  </w:style>
  <w:style w:type="paragraph" w:styleId="11">
    <w:name w:val="annotation text"/>
    <w:basedOn w:val="1"/>
    <w:link w:val="43"/>
    <w:unhideWhenUsed/>
    <w:qFormat/>
    <w:uiPriority w:val="99"/>
    <w:rPr>
      <w:sz w:val="20"/>
      <w:szCs w:val="20"/>
    </w:rPr>
  </w:style>
  <w:style w:type="paragraph" w:styleId="12">
    <w:name w:val="toc 5"/>
    <w:basedOn w:val="1"/>
    <w:next w:val="1"/>
    <w:unhideWhenUsed/>
    <w:qFormat/>
    <w:uiPriority w:val="39"/>
    <w:pPr>
      <w:ind w:left="1120"/>
      <w:jc w:val="left"/>
    </w:pPr>
    <w:rPr>
      <w:rFonts w:cs="Calibri"/>
      <w:sz w:val="18"/>
      <w:szCs w:val="18"/>
    </w:rPr>
  </w:style>
  <w:style w:type="paragraph" w:styleId="13">
    <w:name w:val="toc 3"/>
    <w:basedOn w:val="1"/>
    <w:next w:val="1"/>
    <w:unhideWhenUsed/>
    <w:qFormat/>
    <w:uiPriority w:val="39"/>
    <w:pPr>
      <w:ind w:left="560"/>
      <w:jc w:val="left"/>
    </w:pPr>
    <w:rPr>
      <w:rFonts w:cs="Calibri"/>
      <w:i/>
      <w:iCs/>
      <w:sz w:val="20"/>
      <w:szCs w:val="20"/>
    </w:rPr>
  </w:style>
  <w:style w:type="paragraph" w:styleId="14">
    <w:name w:val="Plain Text"/>
    <w:basedOn w:val="1"/>
    <w:qFormat/>
    <w:uiPriority w:val="0"/>
    <w:rPr>
      <w:rFonts w:hint="eastAsia" w:ascii="宋体" w:hAnsi="Courier New"/>
      <w:szCs w:val="20"/>
    </w:rPr>
  </w:style>
  <w:style w:type="paragraph" w:styleId="15">
    <w:name w:val="toc 8"/>
    <w:basedOn w:val="1"/>
    <w:next w:val="1"/>
    <w:unhideWhenUsed/>
    <w:qFormat/>
    <w:uiPriority w:val="39"/>
    <w:pPr>
      <w:ind w:left="1960"/>
      <w:jc w:val="left"/>
    </w:pPr>
    <w:rPr>
      <w:rFonts w:cs="Calibri"/>
      <w:sz w:val="18"/>
      <w:szCs w:val="18"/>
    </w:rPr>
  </w:style>
  <w:style w:type="paragraph" w:styleId="16">
    <w:name w:val="Balloon Text"/>
    <w:basedOn w:val="1"/>
    <w:link w:val="40"/>
    <w:unhideWhenUsed/>
    <w:qFormat/>
    <w:uiPriority w:val="99"/>
    <w:rPr>
      <w:sz w:val="18"/>
      <w:szCs w:val="18"/>
    </w:rPr>
  </w:style>
  <w:style w:type="paragraph" w:styleId="17">
    <w:name w:val="footer"/>
    <w:basedOn w:val="1"/>
    <w:link w:val="42"/>
    <w:unhideWhenUsed/>
    <w:qFormat/>
    <w:uiPriority w:val="99"/>
    <w:pPr>
      <w:tabs>
        <w:tab w:val="center" w:pos="4153"/>
        <w:tab w:val="right" w:pos="8306"/>
      </w:tabs>
      <w:snapToGrid w:val="0"/>
      <w:jc w:val="left"/>
    </w:pPr>
    <w:rPr>
      <w:sz w:val="18"/>
      <w:szCs w:val="18"/>
    </w:rPr>
  </w:style>
  <w:style w:type="paragraph" w:styleId="18">
    <w:name w:val="header"/>
    <w:basedOn w:val="1"/>
    <w:link w:val="54"/>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pPr>
      <w:spacing w:before="120" w:after="120"/>
      <w:jc w:val="left"/>
    </w:pPr>
    <w:rPr>
      <w:rFonts w:cs="Calibri"/>
      <w:b/>
      <w:bCs/>
      <w:caps/>
      <w:sz w:val="20"/>
      <w:szCs w:val="20"/>
    </w:rPr>
  </w:style>
  <w:style w:type="paragraph" w:styleId="20">
    <w:name w:val="toc 4"/>
    <w:basedOn w:val="1"/>
    <w:next w:val="1"/>
    <w:unhideWhenUsed/>
    <w:qFormat/>
    <w:uiPriority w:val="39"/>
    <w:pPr>
      <w:ind w:left="840"/>
      <w:jc w:val="left"/>
    </w:pPr>
    <w:rPr>
      <w:rFonts w:cs="Calibri"/>
      <w:sz w:val="18"/>
      <w:szCs w:val="18"/>
    </w:rPr>
  </w:style>
  <w:style w:type="paragraph" w:styleId="21">
    <w:name w:val="toc 6"/>
    <w:basedOn w:val="1"/>
    <w:next w:val="1"/>
    <w:unhideWhenUsed/>
    <w:qFormat/>
    <w:uiPriority w:val="39"/>
    <w:pPr>
      <w:ind w:left="1400"/>
      <w:jc w:val="left"/>
    </w:pPr>
    <w:rPr>
      <w:rFonts w:cs="Calibri"/>
      <w:sz w:val="18"/>
      <w:szCs w:val="18"/>
    </w:rPr>
  </w:style>
  <w:style w:type="paragraph" w:styleId="22">
    <w:name w:val="toc 2"/>
    <w:basedOn w:val="1"/>
    <w:next w:val="1"/>
    <w:unhideWhenUsed/>
    <w:qFormat/>
    <w:uiPriority w:val="39"/>
    <w:pPr>
      <w:ind w:left="280"/>
      <w:jc w:val="left"/>
    </w:pPr>
    <w:rPr>
      <w:rFonts w:cs="Calibri"/>
      <w:smallCaps/>
      <w:sz w:val="20"/>
      <w:szCs w:val="20"/>
    </w:rPr>
  </w:style>
  <w:style w:type="paragraph" w:styleId="23">
    <w:name w:val="toc 9"/>
    <w:basedOn w:val="1"/>
    <w:next w:val="1"/>
    <w:unhideWhenUsed/>
    <w:qFormat/>
    <w:uiPriority w:val="39"/>
    <w:pPr>
      <w:ind w:left="2240"/>
      <w:jc w:val="left"/>
    </w:pPr>
    <w:rPr>
      <w:rFonts w:cs="Calibri"/>
      <w:sz w:val="18"/>
      <w:szCs w:val="18"/>
    </w:rPr>
  </w:style>
  <w:style w:type="paragraph" w:styleId="24">
    <w:name w:val="Title"/>
    <w:basedOn w:val="1"/>
    <w:qFormat/>
    <w:uiPriority w:val="10"/>
    <w:pPr>
      <w:spacing w:before="240" w:after="60"/>
      <w:jc w:val="center"/>
      <w:outlineLvl w:val="0"/>
    </w:pPr>
    <w:rPr>
      <w:rFonts w:ascii="Arial" w:hAnsi="Arial"/>
      <w:b/>
      <w:sz w:val="32"/>
    </w:rPr>
  </w:style>
  <w:style w:type="paragraph" w:styleId="25">
    <w:name w:val="annotation subject"/>
    <w:basedOn w:val="11"/>
    <w:next w:val="11"/>
    <w:link w:val="37"/>
    <w:unhideWhenUsed/>
    <w:qFormat/>
    <w:uiPriority w:val="99"/>
    <w:rPr>
      <w:b/>
      <w:bCs/>
    </w:r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29">
    <w:name w:val="Hyperlink"/>
    <w:unhideWhenUsed/>
    <w:qFormat/>
    <w:uiPriority w:val="99"/>
    <w:rPr>
      <w:color w:val="0000FF"/>
      <w:u w:val="single"/>
    </w:rPr>
  </w:style>
  <w:style w:type="character" w:styleId="30">
    <w:name w:val="annotation reference"/>
    <w:unhideWhenUsed/>
    <w:qFormat/>
    <w:uiPriority w:val="99"/>
    <w:rPr>
      <w:sz w:val="16"/>
      <w:szCs w:val="16"/>
    </w:rPr>
  </w:style>
  <w:style w:type="paragraph" w:customStyle="1" w:styleId="31">
    <w:name w:val="闻政-正文一级标题"/>
    <w:basedOn w:val="2"/>
    <w:next w:val="32"/>
    <w:link w:val="33"/>
    <w:qFormat/>
    <w:uiPriority w:val="3"/>
    <w:pPr>
      <w:spacing w:before="120" w:after="60" w:line="500" w:lineRule="exact"/>
      <w:ind w:firstLine="0" w:firstLineChars="0"/>
      <w:outlineLvl w:val="0"/>
    </w:pPr>
    <w:rPr>
      <w:rFonts w:ascii="黑体" w:hAnsi="黑体" w:eastAsia="黑体" w:cs="Times New Roman"/>
      <w:kern w:val="0"/>
      <w:sz w:val="32"/>
    </w:rPr>
  </w:style>
  <w:style w:type="paragraph" w:customStyle="1" w:styleId="32">
    <w:name w:val="闻政-正文段落文字"/>
    <w:basedOn w:val="1"/>
    <w:link w:val="53"/>
    <w:qFormat/>
    <w:uiPriority w:val="3"/>
    <w:pPr>
      <w:spacing w:line="500" w:lineRule="exact"/>
      <w:ind w:firstLine="200"/>
    </w:pPr>
    <w:rPr>
      <w:rFonts w:ascii="Times New Roman" w:hAnsi="Times New Roman" w:cs="Times New Roman"/>
      <w:kern w:val="0"/>
      <w:szCs w:val="28"/>
    </w:rPr>
  </w:style>
  <w:style w:type="character" w:customStyle="1" w:styleId="33">
    <w:name w:val="闻政-正文一级标题 Char"/>
    <w:link w:val="31"/>
    <w:qFormat/>
    <w:uiPriority w:val="3"/>
    <w:rPr>
      <w:rFonts w:ascii="黑体" w:hAnsi="黑体" w:eastAsia="黑体" w:cs="Times New Roman"/>
      <w:bCs/>
      <w:sz w:val="32"/>
      <w:szCs w:val="32"/>
    </w:rPr>
  </w:style>
  <w:style w:type="paragraph" w:customStyle="1" w:styleId="34">
    <w:name w:val="_Style 1"/>
    <w:qFormat/>
    <w:uiPriority w:val="0"/>
    <w:pPr>
      <w:widowControl w:val="0"/>
      <w:jc w:val="both"/>
    </w:pPr>
    <w:rPr>
      <w:rFonts w:ascii="Calibri" w:hAnsi="Calibri" w:eastAsia="宋体" w:cs="Times New Roman"/>
      <w:kern w:val="2"/>
      <w:sz w:val="21"/>
      <w:szCs w:val="22"/>
      <w:lang w:val="en-US" w:eastAsia="zh-CN" w:bidi="ar-SA"/>
    </w:rPr>
  </w:style>
  <w:style w:type="character" w:customStyle="1" w:styleId="35">
    <w:name w:val="无间隔 字符"/>
    <w:link w:val="7"/>
    <w:qFormat/>
    <w:uiPriority w:val="1"/>
    <w:rPr>
      <w:rFonts w:eastAsia="仿宋_GB2312" w:cs="黑体"/>
      <w:kern w:val="2"/>
      <w:sz w:val="28"/>
      <w:szCs w:val="22"/>
      <w:lang w:val="en-US" w:eastAsia="zh-CN" w:bidi="ar-SA"/>
    </w:rPr>
  </w:style>
  <w:style w:type="character" w:customStyle="1" w:styleId="36">
    <w:name w:val="明显参考1"/>
    <w:qFormat/>
    <w:uiPriority w:val="0"/>
    <w:rPr>
      <w:b/>
      <w:bCs/>
      <w:smallCaps/>
      <w:color w:val="C0504D"/>
      <w:spacing w:val="5"/>
      <w:u w:val="single"/>
    </w:rPr>
  </w:style>
  <w:style w:type="character" w:customStyle="1" w:styleId="37">
    <w:name w:val="批注主题 字符"/>
    <w:link w:val="25"/>
    <w:semiHidden/>
    <w:qFormat/>
    <w:uiPriority w:val="99"/>
    <w:rPr>
      <w:rFonts w:ascii="Calibri" w:hAnsi="Calibri" w:eastAsia="仿宋_GB2312" w:cs="黑体"/>
      <w:b/>
      <w:bCs/>
      <w:sz w:val="20"/>
      <w:szCs w:val="20"/>
    </w:rPr>
  </w:style>
  <w:style w:type="character" w:customStyle="1" w:styleId="38">
    <w:name w:val="正文文本首行缩进 2 字符"/>
    <w:link w:val="4"/>
    <w:qFormat/>
    <w:uiPriority w:val="0"/>
    <w:rPr>
      <w:rFonts w:ascii="Calibri" w:hAnsi="Calibri" w:eastAsia="仿宋_GB2312" w:cs="黑体"/>
      <w:sz w:val="28"/>
    </w:rPr>
  </w:style>
  <w:style w:type="character" w:customStyle="1" w:styleId="39">
    <w:name w:val="标题 2 字符"/>
    <w:link w:val="6"/>
    <w:qFormat/>
    <w:uiPriority w:val="0"/>
    <w:rPr>
      <w:rFonts w:ascii="Cambria" w:hAnsi="Cambria" w:eastAsia="仿宋_GB2312" w:cs="Times New Roman"/>
      <w:b/>
      <w:bCs/>
      <w:kern w:val="0"/>
      <w:sz w:val="30"/>
      <w:szCs w:val="32"/>
    </w:rPr>
  </w:style>
  <w:style w:type="character" w:customStyle="1" w:styleId="40">
    <w:name w:val="批注框文本 字符"/>
    <w:link w:val="16"/>
    <w:semiHidden/>
    <w:qFormat/>
    <w:uiPriority w:val="99"/>
    <w:rPr>
      <w:rFonts w:ascii="Calibri" w:hAnsi="Calibri" w:eastAsia="仿宋_GB2312" w:cs="黑体"/>
      <w:sz w:val="18"/>
      <w:szCs w:val="18"/>
    </w:rPr>
  </w:style>
  <w:style w:type="character" w:customStyle="1" w:styleId="41">
    <w:name w:val="标题 1 字符"/>
    <w:link w:val="3"/>
    <w:qFormat/>
    <w:uiPriority w:val="9"/>
    <w:rPr>
      <w:rFonts w:ascii="Times New Roman" w:hAnsi="Times New Roman" w:eastAsia="仿宋_GB2312" w:cs="Times New Roman"/>
      <w:b/>
      <w:bCs/>
      <w:kern w:val="44"/>
      <w:sz w:val="32"/>
      <w:szCs w:val="44"/>
    </w:rPr>
  </w:style>
  <w:style w:type="character" w:customStyle="1" w:styleId="42">
    <w:name w:val="页脚 字符"/>
    <w:link w:val="17"/>
    <w:qFormat/>
    <w:uiPriority w:val="99"/>
    <w:rPr>
      <w:rFonts w:ascii="Calibri" w:hAnsi="Calibri" w:eastAsia="仿宋_GB2312" w:cs="黑体"/>
      <w:sz w:val="18"/>
      <w:szCs w:val="18"/>
    </w:rPr>
  </w:style>
  <w:style w:type="character" w:customStyle="1" w:styleId="43">
    <w:name w:val="批注文字 字符"/>
    <w:link w:val="11"/>
    <w:semiHidden/>
    <w:qFormat/>
    <w:uiPriority w:val="99"/>
    <w:rPr>
      <w:rFonts w:ascii="Calibri" w:hAnsi="Calibri" w:eastAsia="仿宋_GB2312" w:cs="黑体"/>
      <w:sz w:val="20"/>
      <w:szCs w:val="20"/>
    </w:rPr>
  </w:style>
  <w:style w:type="character" w:customStyle="1" w:styleId="44">
    <w:name w:val="正文文本缩进 字符"/>
    <w:link w:val="5"/>
    <w:semiHidden/>
    <w:qFormat/>
    <w:uiPriority w:val="99"/>
    <w:rPr>
      <w:rFonts w:ascii="Calibri" w:hAnsi="Calibri" w:eastAsia="仿宋_GB2312" w:cs="黑体"/>
      <w:sz w:val="28"/>
    </w:rPr>
  </w:style>
  <w:style w:type="character" w:customStyle="1" w:styleId="45">
    <w:name w:val="闻政-正文三级标题 Char"/>
    <w:link w:val="46"/>
    <w:qFormat/>
    <w:uiPriority w:val="3"/>
    <w:rPr>
      <w:rFonts w:ascii="Times New Roman" w:hAnsi="Times New Roman" w:eastAsia="仿宋_GB2312" w:cs="Times New Roman"/>
      <w:b/>
      <w:snapToGrid/>
      <w:sz w:val="28"/>
      <w:szCs w:val="28"/>
    </w:rPr>
  </w:style>
  <w:style w:type="paragraph" w:customStyle="1" w:styleId="46">
    <w:name w:val="闻政-正文三级标题"/>
    <w:basedOn w:val="1"/>
    <w:next w:val="32"/>
    <w:link w:val="45"/>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47">
    <w:name w:val="闻政-正文四级标题 Char"/>
    <w:link w:val="48"/>
    <w:qFormat/>
    <w:uiPriority w:val="3"/>
    <w:rPr>
      <w:rFonts w:ascii="Times New Roman" w:hAnsi="Times New Roman" w:eastAsia="仿宋_GB2312" w:cs="Times New Roman"/>
      <w:snapToGrid/>
      <w:sz w:val="28"/>
      <w:szCs w:val="28"/>
    </w:rPr>
  </w:style>
  <w:style w:type="paragraph" w:customStyle="1" w:styleId="48">
    <w:name w:val="闻政-正文四级标题"/>
    <w:basedOn w:val="46"/>
    <w:next w:val="32"/>
    <w:link w:val="47"/>
    <w:qFormat/>
    <w:uiPriority w:val="3"/>
    <w:rPr>
      <w:b w:val="0"/>
    </w:rPr>
  </w:style>
  <w:style w:type="character" w:customStyle="1" w:styleId="49">
    <w:name w:val="标题 3 字符"/>
    <w:link w:val="2"/>
    <w:qFormat/>
    <w:uiPriority w:val="9"/>
    <w:rPr>
      <w:rFonts w:ascii="Calibri" w:hAnsi="Calibri" w:eastAsia="仿宋_GB2312" w:cs="黑体"/>
      <w:bCs/>
      <w:sz w:val="28"/>
      <w:szCs w:val="32"/>
    </w:rPr>
  </w:style>
  <w:style w:type="character" w:customStyle="1" w:styleId="50">
    <w:name w:val="标题 4 字符"/>
    <w:link w:val="8"/>
    <w:semiHidden/>
    <w:qFormat/>
    <w:uiPriority w:val="9"/>
    <w:rPr>
      <w:rFonts w:ascii="Cambria" w:hAnsi="Cambria" w:eastAsia="宋体" w:cs="Times New Roman"/>
      <w:b/>
      <w:bCs/>
      <w:sz w:val="28"/>
      <w:szCs w:val="28"/>
    </w:rPr>
  </w:style>
  <w:style w:type="character" w:customStyle="1" w:styleId="51">
    <w:name w:val="闻政-正文二级标题 Char"/>
    <w:link w:val="52"/>
    <w:qFormat/>
    <w:uiPriority w:val="3"/>
    <w:rPr>
      <w:rFonts w:ascii="Times New Roman" w:hAnsi="Times New Roman" w:eastAsia="仿宋_GB2312" w:cs="Times New Roman"/>
      <w:b/>
      <w:bCs/>
      <w:sz w:val="28"/>
      <w:szCs w:val="32"/>
    </w:rPr>
  </w:style>
  <w:style w:type="paragraph" w:customStyle="1" w:styleId="52">
    <w:name w:val="闻政-正文二级标题"/>
    <w:basedOn w:val="6"/>
    <w:next w:val="32"/>
    <w:link w:val="51"/>
    <w:qFormat/>
    <w:uiPriority w:val="3"/>
    <w:pPr>
      <w:spacing w:before="120" w:after="60" w:line="500" w:lineRule="exact"/>
      <w:ind w:left="200" w:leftChars="200" w:firstLine="0" w:firstLineChars="0"/>
    </w:pPr>
    <w:rPr>
      <w:rFonts w:ascii="Times New Roman" w:hAnsi="Times New Roman"/>
      <w:sz w:val="28"/>
    </w:rPr>
  </w:style>
  <w:style w:type="character" w:customStyle="1" w:styleId="53">
    <w:name w:val="闻政-正文段落文字 Char"/>
    <w:link w:val="32"/>
    <w:qFormat/>
    <w:uiPriority w:val="3"/>
    <w:rPr>
      <w:rFonts w:ascii="Times New Roman" w:hAnsi="Times New Roman" w:eastAsia="仿宋_GB2312" w:cs="Times New Roman"/>
      <w:sz w:val="28"/>
      <w:szCs w:val="28"/>
    </w:rPr>
  </w:style>
  <w:style w:type="character" w:customStyle="1" w:styleId="54">
    <w:name w:val="页眉 字符"/>
    <w:link w:val="18"/>
    <w:qFormat/>
    <w:uiPriority w:val="99"/>
    <w:rPr>
      <w:rFonts w:ascii="Calibri" w:hAnsi="Calibri" w:eastAsia="仿宋_GB2312" w:cs="黑体"/>
      <w:sz w:val="18"/>
      <w:szCs w:val="18"/>
    </w:rPr>
  </w:style>
  <w:style w:type="character" w:customStyle="1" w:styleId="55">
    <w:name w:val="文档结构图 字符"/>
    <w:link w:val="10"/>
    <w:semiHidden/>
    <w:qFormat/>
    <w:uiPriority w:val="99"/>
    <w:rPr>
      <w:rFonts w:ascii="宋体" w:hAnsi="Calibri" w:eastAsia="宋体" w:cs="黑体"/>
      <w:sz w:val="18"/>
      <w:szCs w:val="18"/>
    </w:rPr>
  </w:style>
  <w:style w:type="paragraph" w:styleId="56">
    <w:name w:val="List Paragraph"/>
    <w:basedOn w:val="1"/>
    <w:qFormat/>
    <w:uiPriority w:val="34"/>
    <w:pPr>
      <w:ind w:firstLine="420"/>
    </w:pPr>
  </w:style>
  <w:style w:type="paragraph" w:customStyle="1" w:styleId="57">
    <w:name w:val="闻政表"/>
    <w:basedOn w:val="1"/>
    <w:qFormat/>
    <w:uiPriority w:val="99"/>
    <w:pPr>
      <w:spacing w:before="60" w:after="60"/>
      <w:jc w:val="center"/>
    </w:pPr>
    <w:rPr>
      <w:rFonts w:ascii="Times New Roman" w:hAnsi="Times New Roman"/>
      <w:b/>
      <w:sz w:val="24"/>
      <w:szCs w:val="28"/>
    </w:rPr>
  </w:style>
  <w:style w:type="paragraph" w:customStyle="1" w:styleId="58">
    <w:name w:val="WPSOffice手动目录 1"/>
    <w:qFormat/>
    <w:uiPriority w:val="0"/>
    <w:rPr>
      <w:rFonts w:ascii="Times New Roman" w:hAnsi="Times New Roman" w:eastAsia="宋体" w:cs="Times New Roman"/>
      <w:lang w:val="en-US" w:eastAsia="zh-CN" w:bidi="ar-SA"/>
    </w:rPr>
  </w:style>
  <w:style w:type="paragraph" w:customStyle="1" w:styleId="5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60">
    <w:name w:val="WPSOffice手动目录 3"/>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6BA5C9-CD2E-4421-891E-71FCDB8FE82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2326</Words>
  <Characters>13262</Characters>
  <Lines>110</Lines>
  <Paragraphs>31</Paragraphs>
  <TotalTime>11</TotalTime>
  <ScaleCrop>false</ScaleCrop>
  <LinksUpToDate>false</LinksUpToDate>
  <CharactersWithSpaces>15557</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2022-01-30T02:31:00Z</dcterms:created>
  <dc:creator>User</dc:creator>
  <cp:lastModifiedBy>41193</cp:lastModifiedBy>
  <cp:lastPrinted>2022-01-30T02:30:00Z</cp:lastPrinted>
  <dcterms:modified xsi:type="dcterms:W3CDTF">2024-04-16T10:03:03Z</dcterms:modified>
  <dc:title>项目支出绩效评价报告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