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ind w:left="0" w:leftChars="0" w:firstLine="0" w:firstLineChars="0"/>
        <w:jc w:val="center"/>
        <w:rPr>
          <w:rFonts w:ascii="仿宋_GB2312" w:hAnsi="Arial"/>
          <w:b/>
          <w:color w:val="auto"/>
          <w:szCs w:val="44"/>
          <w:highlight w:val="none"/>
        </w:rPr>
      </w:pPr>
      <w:bookmarkStart w:id="0" w:name="_Toc10470"/>
      <w:bookmarkStart w:id="1" w:name="_Toc4267"/>
      <w:r>
        <w:rPr>
          <w:rFonts w:hint="eastAsia"/>
          <w:b/>
          <w:bCs/>
          <w:color w:val="auto"/>
          <w:sz w:val="44"/>
          <w:szCs w:val="44"/>
          <w:highlight w:val="none"/>
          <w:lang w:val="en-US" w:eastAsia="zh-CN"/>
        </w:rPr>
        <w:t>部门单位</w:t>
      </w:r>
      <w:r>
        <w:rPr>
          <w:rFonts w:hint="eastAsia"/>
          <w:b/>
          <w:bCs/>
          <w:color w:val="auto"/>
          <w:sz w:val="44"/>
          <w:szCs w:val="44"/>
          <w:highlight w:val="none"/>
        </w:rPr>
        <w:t>项目支出绩效评价报告</w:t>
      </w:r>
      <w:bookmarkEnd w:id="0"/>
      <w:bookmarkEnd w:id="1"/>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hint="eastAsia" w:ascii="仿宋" w:hAnsi="仿宋" w:eastAsia="仿宋" w:cs="仿宋"/>
          <w:b/>
          <w:color w:val="auto"/>
          <w:kern w:val="0"/>
          <w:sz w:val="28"/>
          <w:szCs w:val="28"/>
          <w:highlight w:val="none"/>
          <w:lang w:val="en-US" w:eastAsia="zh-CN" w:bidi="en-US"/>
        </w:rPr>
      </w:pPr>
      <w:r>
        <w:rPr>
          <w:rFonts w:hint="eastAsia" w:ascii="仿宋" w:hAnsi="仿宋" w:eastAsia="仿宋" w:cs="仿宋"/>
          <w:b/>
          <w:color w:val="auto"/>
          <w:kern w:val="0"/>
          <w:sz w:val="28"/>
          <w:szCs w:val="28"/>
          <w:highlight w:val="none"/>
          <w:lang w:eastAsia="zh-CN" w:bidi="en-US"/>
        </w:rPr>
        <w:t>（</w:t>
      </w:r>
      <w:r>
        <w:rPr>
          <w:rFonts w:hint="eastAsia" w:ascii="仿宋" w:hAnsi="仿宋" w:eastAsia="仿宋" w:cs="仿宋"/>
          <w:b/>
          <w:color w:val="auto"/>
          <w:kern w:val="0"/>
          <w:sz w:val="28"/>
          <w:szCs w:val="28"/>
          <w:highlight w:val="none"/>
          <w:lang w:val="en-US" w:eastAsia="zh-CN" w:bidi="en-US"/>
        </w:rPr>
        <w:t>2023年度）</w:t>
      </w: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left="2532" w:leftChars="300" w:hanging="1692" w:hangingChars="529"/>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项目名称：</w:t>
      </w:r>
      <w:r>
        <w:rPr>
          <w:rFonts w:hint="eastAsia" w:ascii="仿宋_GB2312" w:hAnsi="Times New Roman" w:cs="Times New Roman"/>
          <w:color w:val="auto"/>
          <w:kern w:val="0"/>
          <w:sz w:val="32"/>
          <w:szCs w:val="32"/>
          <w:highlight w:val="none"/>
          <w:lang w:eastAsia="zh-CN" w:bidi="en-US"/>
        </w:rPr>
        <w:t>耕地地力保护补贴项目</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项目单位：</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主管部门：</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项目负责人：</w:t>
      </w:r>
      <w:r>
        <w:rPr>
          <w:rFonts w:hint="eastAsia" w:ascii="仿宋_GB2312" w:hAnsi="Times New Roman" w:cs="Times New Roman"/>
          <w:color w:val="auto"/>
          <w:kern w:val="0"/>
          <w:sz w:val="32"/>
          <w:szCs w:val="32"/>
          <w:highlight w:val="none"/>
          <w:lang w:eastAsia="zh-CN" w:bidi="en-US"/>
        </w:rPr>
        <w:t>艾合买提江·萨迪尔</w:t>
      </w:r>
    </w:p>
    <w:p>
      <w:pPr>
        <w:spacing w:line="480" w:lineRule="auto"/>
        <w:ind w:left="2875" w:leftChars="300" w:hanging="2035" w:hangingChars="636"/>
        <w:jc w:val="left"/>
        <w:rPr>
          <w:rFonts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填报时间：202</w:t>
      </w:r>
      <w:r>
        <w:rPr>
          <w:rFonts w:hint="eastAsia" w:ascii="仿宋_GB2312" w:hAnsi="Times New Roman" w:cs="Times New Roman"/>
          <w:color w:val="auto"/>
          <w:kern w:val="0"/>
          <w:sz w:val="32"/>
          <w:szCs w:val="32"/>
          <w:highlight w:val="none"/>
          <w:lang w:val="en-US" w:eastAsia="zh-CN" w:bidi="en-US"/>
        </w:rPr>
        <w:t>3</w:t>
      </w:r>
      <w:r>
        <w:rPr>
          <w:rFonts w:hint="eastAsia" w:ascii="仿宋_GB2312" w:hAnsi="Times New Roman" w:cs="Times New Roman"/>
          <w:color w:val="auto"/>
          <w:kern w:val="0"/>
          <w:sz w:val="32"/>
          <w:szCs w:val="32"/>
          <w:highlight w:val="none"/>
          <w:lang w:bidi="en-US"/>
        </w:rPr>
        <w:t>年12月31日</w:t>
      </w:r>
    </w:p>
    <w:p>
      <w:pPr>
        <w:ind w:firstLine="0" w:firstLineChars="0"/>
        <w:rPr>
          <w:color w:val="auto"/>
          <w:szCs w:val="44"/>
          <w:highlight w:val="none"/>
        </w:rPr>
      </w:pPr>
      <w:r>
        <w:rPr>
          <w:rFonts w:hint="eastAsia" w:ascii="仿宋_GB2312" w:hAnsi="Times New Roman" w:cs="Times New Roman"/>
          <w:color w:val="auto"/>
          <w:kern w:val="0"/>
          <w:sz w:val="32"/>
          <w:szCs w:val="32"/>
          <w:highlight w:val="none"/>
          <w:lang w:bidi="en-US"/>
        </w:rPr>
        <w:br w:type="page"/>
      </w:r>
    </w:p>
    <w:p>
      <w:pPr>
        <w:pStyle w:val="19"/>
        <w:tabs>
          <w:tab w:val="right" w:leader="dot" w:pos="8296"/>
        </w:tabs>
        <w:ind w:firstLine="723"/>
        <w:jc w:val="center"/>
        <w:rPr>
          <w:rFonts w:ascii="黑体" w:hAnsi="黑体" w:eastAsia="黑体" w:cs="黑体"/>
          <w:color w:val="auto"/>
          <w:sz w:val="36"/>
          <w:szCs w:val="36"/>
          <w:highlight w:val="none"/>
        </w:rPr>
      </w:pPr>
      <w:bookmarkStart w:id="2" w:name="_Toc22132_WPSOffice_Level1"/>
      <w:bookmarkStart w:id="3" w:name="_Toc17858_WPSOffice_Level1"/>
      <w:r>
        <w:rPr>
          <w:rFonts w:hint="eastAsia" w:ascii="黑体" w:hAnsi="黑体" w:eastAsia="黑体" w:cs="黑体"/>
          <w:color w:val="auto"/>
          <w:sz w:val="36"/>
          <w:szCs w:val="36"/>
          <w:highlight w:val="none"/>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TOC \o "1-2" \h \z \u </w:instrText>
      </w:r>
      <w:r>
        <w:rPr>
          <w:color w:val="auto"/>
          <w:highlight w:val="none"/>
        </w:rPr>
        <w:fldChar w:fldCharType="separate"/>
      </w:r>
      <w:r>
        <w:rPr>
          <w:color w:val="auto"/>
          <w:highlight w:val="none"/>
        </w:rPr>
        <w:fldChar w:fldCharType="begin"/>
      </w:r>
      <w:r>
        <w:rPr>
          <w:color w:val="auto"/>
          <w:highlight w:val="none"/>
        </w:rPr>
        <w:instrText xml:space="preserve"> HYPERLINK \l "_Toc127054583" </w:instrText>
      </w:r>
      <w:r>
        <w:rPr>
          <w:color w:val="auto"/>
          <w:highlight w:val="none"/>
        </w:rPr>
        <w:fldChar w:fldCharType="separate"/>
      </w:r>
      <w:r>
        <w:rPr>
          <w:rStyle w:val="29"/>
          <w:color w:val="auto"/>
          <w:sz w:val="30"/>
          <w:szCs w:val="30"/>
          <w:highlight w:val="none"/>
        </w:rPr>
        <w:t>一、基本情况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_Toc127054583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"_Toc127054584" </w:instrText>
      </w:r>
      <w:r>
        <w:rPr>
          <w:color w:val="auto"/>
          <w:highlight w:val="none"/>
        </w:rPr>
        <w:fldChar w:fldCharType="separate"/>
      </w:r>
      <w:r>
        <w:rPr>
          <w:rStyle w:val="29"/>
          <w:color w:val="auto"/>
          <w:sz w:val="30"/>
          <w:szCs w:val="30"/>
          <w:highlight w:val="none"/>
        </w:rPr>
        <w:t>（一）项目概况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_Toc127054584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"_Toc127054585" </w:instrText>
      </w:r>
      <w:r>
        <w:rPr>
          <w:color w:val="auto"/>
          <w:highlight w:val="none"/>
        </w:rPr>
        <w:fldChar w:fldCharType="separate"/>
      </w:r>
      <w:r>
        <w:rPr>
          <w:rStyle w:val="29"/>
          <w:color w:val="auto"/>
          <w:sz w:val="30"/>
          <w:szCs w:val="30"/>
          <w:highlight w:val="none"/>
        </w:rPr>
        <w:t>（二）项目绩效目标</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_Toc127054585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"_Toc127054586" </w:instrText>
      </w:r>
      <w:r>
        <w:rPr>
          <w:color w:val="auto"/>
          <w:highlight w:val="none"/>
        </w:rPr>
        <w:fldChar w:fldCharType="separate"/>
      </w:r>
      <w:r>
        <w:rPr>
          <w:rStyle w:val="29"/>
          <w:color w:val="auto"/>
          <w:sz w:val="30"/>
          <w:szCs w:val="30"/>
          <w:highlight w:val="none"/>
        </w:rPr>
        <w:t>二、绩效评价工作开展情况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_Toc127054586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"_Toc127054587" </w:instrText>
      </w:r>
      <w:r>
        <w:rPr>
          <w:color w:val="auto"/>
          <w:highlight w:val="none"/>
        </w:rPr>
        <w:fldChar w:fldCharType="separate"/>
      </w:r>
      <w:r>
        <w:rPr>
          <w:rStyle w:val="29"/>
          <w:rFonts w:ascii="仿宋_GB2312" w:hAnsi="仿宋_GB2312" w:cs="仿宋_GB2312"/>
          <w:color w:val="auto"/>
          <w:sz w:val="30"/>
          <w:szCs w:val="30"/>
          <w:highlight w:val="none"/>
        </w:rPr>
        <w:t>（一）绩效评价目的、对象和范围</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_Toc127054587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"_Toc127054588" </w:instrText>
      </w:r>
      <w:r>
        <w:rPr>
          <w:color w:val="auto"/>
          <w:highlight w:val="none"/>
        </w:rPr>
        <w:fldChar w:fldCharType="separate"/>
      </w:r>
      <w:r>
        <w:rPr>
          <w:rStyle w:val="29"/>
          <w:rFonts w:ascii="仿宋_GB2312" w:hAnsi="仿宋_GB2312" w:cs="仿宋_GB2312"/>
          <w:color w:val="auto"/>
          <w:sz w:val="30"/>
          <w:szCs w:val="30"/>
          <w:highlight w:val="none"/>
        </w:rPr>
        <w:t>（二）绩效评价原则、评价指标体系、评价方法评价标准</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_Toc127054588 \h </w:instrText>
      </w:r>
      <w:r>
        <w:rPr>
          <w:color w:val="auto"/>
          <w:sz w:val="30"/>
          <w:szCs w:val="30"/>
          <w:highlight w:val="none"/>
        </w:rPr>
        <w:fldChar w:fldCharType="separate"/>
      </w:r>
      <w:r>
        <w:rPr>
          <w:color w:val="auto"/>
          <w:sz w:val="30"/>
          <w:szCs w:val="30"/>
          <w:highlight w:val="none"/>
        </w:rPr>
        <w:t>- 7 -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"_Toc127054589" </w:instrText>
      </w:r>
      <w:r>
        <w:rPr>
          <w:color w:val="auto"/>
          <w:highlight w:val="none"/>
        </w:rPr>
        <w:fldChar w:fldCharType="separate"/>
      </w:r>
      <w:r>
        <w:rPr>
          <w:rStyle w:val="29"/>
          <w:rFonts w:ascii="仿宋_GB2312" w:hAnsi="仿宋_GB2312" w:cs="仿宋_GB2312"/>
          <w:color w:val="auto"/>
          <w:sz w:val="30"/>
          <w:szCs w:val="30"/>
          <w:highlight w:val="none"/>
        </w:rPr>
        <w:t>（三）绩效评价工作过程</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_Toc127054589 \h </w:instrText>
      </w:r>
      <w:r>
        <w:rPr>
          <w:color w:val="auto"/>
          <w:sz w:val="30"/>
          <w:szCs w:val="30"/>
          <w:highlight w:val="none"/>
        </w:rPr>
        <w:fldChar w:fldCharType="separate"/>
      </w:r>
      <w:r>
        <w:rPr>
          <w:color w:val="auto"/>
          <w:sz w:val="30"/>
          <w:szCs w:val="30"/>
          <w:highlight w:val="none"/>
        </w:rPr>
        <w:t>- 10 -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"_Toc127054590" </w:instrText>
      </w:r>
      <w:r>
        <w:rPr>
          <w:color w:val="auto"/>
          <w:highlight w:val="none"/>
        </w:rPr>
        <w:fldChar w:fldCharType="separate"/>
      </w:r>
      <w:r>
        <w:rPr>
          <w:rStyle w:val="29"/>
          <w:color w:val="auto"/>
          <w:sz w:val="30"/>
          <w:szCs w:val="30"/>
          <w:highlight w:val="none"/>
        </w:rPr>
        <w:t>三、综合评价情况及评价结论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_Toc127054590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"_Toc127054591" </w:instrText>
      </w:r>
      <w:r>
        <w:rPr>
          <w:color w:val="auto"/>
          <w:highlight w:val="none"/>
        </w:rPr>
        <w:fldChar w:fldCharType="separate"/>
      </w:r>
      <w:r>
        <w:rPr>
          <w:rStyle w:val="29"/>
          <w:color w:val="auto"/>
          <w:sz w:val="30"/>
          <w:szCs w:val="30"/>
          <w:highlight w:val="none"/>
        </w:rPr>
        <w:t>（一）综合评价情况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_Toc127054591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"_Toc127054592" </w:instrText>
      </w:r>
      <w:r>
        <w:rPr>
          <w:color w:val="auto"/>
          <w:highlight w:val="none"/>
        </w:rPr>
        <w:fldChar w:fldCharType="separate"/>
      </w:r>
      <w:r>
        <w:rPr>
          <w:rStyle w:val="29"/>
          <w:color w:val="auto"/>
          <w:sz w:val="30"/>
          <w:szCs w:val="30"/>
          <w:highlight w:val="none"/>
        </w:rPr>
        <w:t>（二）综合评价结论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_Toc127054592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"_Toc127054593" </w:instrText>
      </w:r>
      <w:r>
        <w:rPr>
          <w:color w:val="auto"/>
          <w:highlight w:val="none"/>
        </w:rPr>
        <w:fldChar w:fldCharType="separate"/>
      </w:r>
      <w:r>
        <w:rPr>
          <w:rStyle w:val="29"/>
          <w:color w:val="auto"/>
          <w:sz w:val="30"/>
          <w:szCs w:val="30"/>
          <w:highlight w:val="none"/>
        </w:rPr>
        <w:t>四、绩效评价指标分析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_Toc127054593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"_Toc127054594" </w:instrText>
      </w:r>
      <w:r>
        <w:rPr>
          <w:color w:val="auto"/>
          <w:highlight w:val="none"/>
        </w:rPr>
        <w:fldChar w:fldCharType="separate"/>
      </w:r>
      <w:r>
        <w:rPr>
          <w:rStyle w:val="29"/>
          <w:rFonts w:ascii="仿宋_GB2312" w:hAnsi="仿宋_GB2312" w:cs="仿宋_GB2312"/>
          <w:color w:val="auto"/>
          <w:sz w:val="30"/>
          <w:szCs w:val="30"/>
          <w:highlight w:val="none"/>
        </w:rPr>
        <w:t>（一）项目决策情况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_Toc127054594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"_Toc127054595" </w:instrText>
      </w:r>
      <w:r>
        <w:rPr>
          <w:color w:val="auto"/>
          <w:highlight w:val="none"/>
        </w:rPr>
        <w:fldChar w:fldCharType="separate"/>
      </w:r>
      <w:r>
        <w:rPr>
          <w:rStyle w:val="29"/>
          <w:rFonts w:ascii="仿宋_GB2312" w:hAnsi="仿宋_GB2312" w:cs="仿宋_GB2312"/>
          <w:color w:val="auto"/>
          <w:sz w:val="30"/>
          <w:szCs w:val="30"/>
          <w:highlight w:val="none"/>
        </w:rPr>
        <w:t>（二）项目过程情况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_Toc127054595 \h </w:instrText>
      </w:r>
      <w:r>
        <w:rPr>
          <w:color w:val="auto"/>
          <w:sz w:val="30"/>
          <w:szCs w:val="30"/>
          <w:highlight w:val="none"/>
        </w:rPr>
        <w:fldChar w:fldCharType="separate"/>
      </w:r>
      <w:r>
        <w:rPr>
          <w:color w:val="auto"/>
          <w:sz w:val="30"/>
          <w:szCs w:val="30"/>
          <w:highlight w:val="none"/>
        </w:rPr>
        <w:t>- 15 -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"_Toc127054596" </w:instrText>
      </w:r>
      <w:r>
        <w:rPr>
          <w:color w:val="auto"/>
          <w:highlight w:val="none"/>
        </w:rPr>
        <w:fldChar w:fldCharType="separate"/>
      </w:r>
      <w:r>
        <w:rPr>
          <w:rStyle w:val="29"/>
          <w:rFonts w:ascii="仿宋_GB2312" w:hAnsi="仿宋_GB2312" w:cs="仿宋_GB2312"/>
          <w:color w:val="auto"/>
          <w:sz w:val="30"/>
          <w:szCs w:val="30"/>
          <w:highlight w:val="none"/>
        </w:rPr>
        <w:t>（三）项目产出情况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_Toc127054596 \h </w:instrText>
      </w:r>
      <w:r>
        <w:rPr>
          <w:color w:val="auto"/>
          <w:sz w:val="30"/>
          <w:szCs w:val="30"/>
          <w:highlight w:val="none"/>
        </w:rPr>
        <w:fldChar w:fldCharType="separate"/>
      </w:r>
      <w:r>
        <w:rPr>
          <w:color w:val="auto"/>
          <w:sz w:val="30"/>
          <w:szCs w:val="30"/>
          <w:highlight w:val="none"/>
        </w:rPr>
        <w:t>- 17 -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"_Toc127054597" </w:instrText>
      </w:r>
      <w:r>
        <w:rPr>
          <w:color w:val="auto"/>
          <w:highlight w:val="none"/>
        </w:rPr>
        <w:fldChar w:fldCharType="separate"/>
      </w:r>
      <w:r>
        <w:rPr>
          <w:rStyle w:val="29"/>
          <w:rFonts w:ascii="仿宋_GB2312" w:hAnsi="仿宋_GB2312" w:cs="仿宋_GB2312"/>
          <w:color w:val="auto"/>
          <w:sz w:val="30"/>
          <w:szCs w:val="30"/>
          <w:highlight w:val="none"/>
        </w:rPr>
        <w:t>（四）项目效益情况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_Toc127054597 \h </w:instrText>
      </w:r>
      <w:r>
        <w:rPr>
          <w:color w:val="auto"/>
          <w:sz w:val="30"/>
          <w:szCs w:val="30"/>
          <w:highlight w:val="none"/>
        </w:rPr>
        <w:fldChar w:fldCharType="separate"/>
      </w:r>
      <w:r>
        <w:rPr>
          <w:color w:val="auto"/>
          <w:sz w:val="30"/>
          <w:szCs w:val="30"/>
          <w:highlight w:val="none"/>
        </w:rPr>
        <w:t>- 18 -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"_Toc127054598" </w:instrText>
      </w:r>
      <w:r>
        <w:rPr>
          <w:color w:val="auto"/>
          <w:highlight w:val="none"/>
        </w:rPr>
        <w:fldChar w:fldCharType="separate"/>
      </w:r>
      <w:r>
        <w:rPr>
          <w:rStyle w:val="29"/>
          <w:color w:val="auto"/>
          <w:sz w:val="30"/>
          <w:szCs w:val="30"/>
          <w:highlight w:val="none"/>
        </w:rPr>
        <w:t>五、预算执行进度与绩效指标偏差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_Toc127054598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"_Toc127054599" </w:instrText>
      </w:r>
      <w:r>
        <w:rPr>
          <w:color w:val="auto"/>
          <w:highlight w:val="none"/>
        </w:rPr>
        <w:fldChar w:fldCharType="separate"/>
      </w:r>
      <w:r>
        <w:rPr>
          <w:rStyle w:val="29"/>
          <w:color w:val="auto"/>
          <w:sz w:val="30"/>
          <w:szCs w:val="30"/>
          <w:highlight w:val="none"/>
        </w:rPr>
        <w:t>六、主要经验及做法、存在的问题及原因分析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_Toc127054599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"_Toc127054600" </w:instrText>
      </w:r>
      <w:r>
        <w:rPr>
          <w:color w:val="auto"/>
          <w:highlight w:val="none"/>
        </w:rPr>
        <w:fldChar w:fldCharType="separate"/>
      </w:r>
      <w:r>
        <w:rPr>
          <w:rStyle w:val="29"/>
          <w:rFonts w:ascii="仿宋_GB2312" w:hAnsi="仿宋_GB2312" w:cs="仿宋_GB2312"/>
          <w:color w:val="auto"/>
          <w:sz w:val="30"/>
          <w:szCs w:val="30"/>
          <w:highlight w:val="none"/>
        </w:rPr>
        <w:t>（一）主要经验及做法</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_Toc127054600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"_Toc127054601" </w:instrText>
      </w:r>
      <w:r>
        <w:rPr>
          <w:color w:val="auto"/>
          <w:highlight w:val="none"/>
        </w:rPr>
        <w:fldChar w:fldCharType="separate"/>
      </w:r>
      <w:r>
        <w:rPr>
          <w:rStyle w:val="29"/>
          <w:rFonts w:ascii="仿宋_GB2312" w:hAnsi="仿宋_GB2312" w:cs="仿宋_GB2312"/>
          <w:color w:val="auto"/>
          <w:sz w:val="30"/>
          <w:szCs w:val="30"/>
          <w:highlight w:val="none"/>
        </w:rPr>
        <w:t>（二）存在问题及原因分析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_Toc127054601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"_Toc127054602" </w:instrText>
      </w:r>
      <w:r>
        <w:rPr>
          <w:color w:val="auto"/>
          <w:highlight w:val="none"/>
        </w:rPr>
        <w:fldChar w:fldCharType="separate"/>
      </w:r>
      <w:r>
        <w:rPr>
          <w:rStyle w:val="29"/>
          <w:color w:val="auto"/>
          <w:sz w:val="30"/>
          <w:szCs w:val="30"/>
          <w:highlight w:val="none"/>
        </w:rPr>
        <w:t>七、有关建议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_Toc127054602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"_Toc127054603" </w:instrText>
      </w:r>
      <w:r>
        <w:rPr>
          <w:color w:val="auto"/>
          <w:highlight w:val="none"/>
        </w:rPr>
        <w:fldChar w:fldCharType="separate"/>
      </w:r>
      <w:r>
        <w:rPr>
          <w:rStyle w:val="29"/>
          <w:color w:val="auto"/>
          <w:sz w:val="30"/>
          <w:szCs w:val="30"/>
          <w:highlight w:val="none"/>
        </w:rPr>
        <w:t>八、其他需要说明的问题</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_Toc127054603 \h </w:instrText>
      </w:r>
      <w:r>
        <w:rPr>
          <w:color w:val="auto"/>
          <w:sz w:val="30"/>
          <w:szCs w:val="30"/>
          <w:highlight w:val="none"/>
        </w:rPr>
        <w:fldChar w:fldCharType="separate"/>
      </w:r>
      <w:r>
        <w:rPr>
          <w:color w:val="auto"/>
          <w:sz w:val="30"/>
          <w:szCs w:val="30"/>
          <w:highlight w:val="none"/>
        </w:rPr>
        <w:t>- 22 -</w:t>
      </w:r>
      <w:r>
        <w:rPr>
          <w:color w:val="auto"/>
          <w:sz w:val="30"/>
          <w:szCs w:val="30"/>
          <w:highlight w:val="none"/>
        </w:rPr>
        <w:fldChar w:fldCharType="end"/>
      </w:r>
      <w:r>
        <w:rPr>
          <w:color w:val="auto"/>
          <w:sz w:val="30"/>
          <w:szCs w:val="30"/>
          <w:highlight w:val="none"/>
        </w:rPr>
        <w:fldChar w:fldCharType="end"/>
      </w:r>
    </w:p>
    <w:p>
      <w:pPr>
        <w:pStyle w:val="31"/>
        <w:keepNext w:val="0"/>
        <w:keepLines w:val="0"/>
        <w:spacing w:line="520" w:lineRule="exact"/>
        <w:ind w:firstLine="640" w:firstLineChars="200"/>
        <w:jc w:val="both"/>
        <w:rPr>
          <w:color w:val="auto"/>
          <w:highlight w:val="none"/>
        </w:r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rPr>
          <w:color w:val="auto"/>
          <w:highlight w:val="none"/>
        </w:rPr>
        <w:fldChar w:fldCharType="end"/>
      </w:r>
      <w:bookmarkStart w:id="4" w:name="_Toc11547"/>
      <w:bookmarkStart w:id="5" w:name="_Toc14304"/>
      <w:bookmarkStart w:id="6" w:name="_Toc127054583"/>
      <w:bookmarkStart w:id="7" w:name="_Toc32254_WPSOffice_Level1"/>
      <w:bookmarkStart w:id="8" w:name="_Toc17118"/>
    </w:p>
    <w:p>
      <w:pPr>
        <w:pStyle w:val="31"/>
        <w:keepNext w:val="0"/>
        <w:keepLines w:val="0"/>
        <w:spacing w:line="520" w:lineRule="exact"/>
        <w:ind w:firstLine="640" w:firstLineChars="200"/>
        <w:jc w:val="both"/>
        <w:rPr>
          <w:color w:val="auto"/>
          <w:highlight w:val="none"/>
        </w:rPr>
      </w:pPr>
      <w:r>
        <w:rPr>
          <w:rFonts w:hint="eastAsia"/>
          <w:color w:val="auto"/>
          <w:highlight w:val="none"/>
        </w:rPr>
        <w:t>一、基本情况</w:t>
      </w:r>
      <w:bookmarkEnd w:id="2"/>
      <w:bookmarkEnd w:id="3"/>
      <w:bookmarkEnd w:id="4"/>
      <w:bookmarkEnd w:id="5"/>
      <w:bookmarkEnd w:id="6"/>
      <w:bookmarkEnd w:id="7"/>
      <w:bookmarkEnd w:id="8"/>
    </w:p>
    <w:p>
      <w:pPr>
        <w:pStyle w:val="52"/>
        <w:keepNext w:val="0"/>
        <w:keepLines w:val="0"/>
        <w:spacing w:line="520" w:lineRule="exact"/>
        <w:ind w:left="560"/>
        <w:jc w:val="both"/>
        <w:rPr>
          <w:color w:val="auto"/>
          <w:highlight w:val="none"/>
        </w:rPr>
      </w:pPr>
      <w:bookmarkStart w:id="9" w:name="_Toc17283"/>
      <w:bookmarkStart w:id="10" w:name="_Toc127054584"/>
      <w:bookmarkStart w:id="11" w:name="_Toc1545_WPSOffice_Level2"/>
      <w:bookmarkStart w:id="12" w:name="_Toc5769"/>
      <w:bookmarkStart w:id="13" w:name="_Toc31410"/>
      <w:bookmarkStart w:id="14" w:name="_Toc32174_WPSOffice_Level2"/>
      <w:bookmarkStart w:id="15" w:name="_Toc6398"/>
      <w:bookmarkStart w:id="16" w:name="_Toc17504"/>
      <w:bookmarkStart w:id="17" w:name="_Toc12560_WPSOffice_Level2"/>
      <w:bookmarkStart w:id="18" w:name="_Toc24286"/>
      <w:r>
        <w:rPr>
          <w:rFonts w:hint="eastAsia"/>
          <w:color w:val="auto"/>
          <w:highlight w:val="none"/>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1.项目背景</w:t>
      </w:r>
      <w:bookmarkStart w:id="219" w:name="_GoBack"/>
      <w:bookmarkEnd w:id="219"/>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耕地地力保护补贴项目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color w:val="auto"/>
          <w:highlight w:val="none"/>
        </w:rPr>
        <w:t>使用的效率及效益。</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耕地地力保护补贴政策是为了贯彻落实党的二十大精神，全面落实“全方位夯实粮食安全根基”的要求。粮食安全是国家安全的重要组成部分，而耕地是粮食生产的命根子。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为了保障国家粮食安全和重要农产品的稳产保供，必须保护好耕地地力，提升耕地的质量和产量。鼓励农民积极投入农业生产，调动他们的种粮积极性。此外，耕地地力保护补贴政策还有助于推动“藏粮于地”战略部署的实施，有效保护耕地，遏制耕地“非农化”、防止耕地“非粮化”，遏制耕地撂荒，从而筑牢粮食安全根基。通过补贴政策，可以引导农民采取科学的耕作方式和措施，保护和提升耕地地力，实现农业的可持续发展。</w:t>
      </w:r>
    </w:p>
    <w:p>
      <w:pPr>
        <w:pStyle w:val="32"/>
        <w:spacing w:line="520" w:lineRule="exact"/>
        <w:rPr>
          <w:rFonts w:ascii="仿宋_GB2312" w:hAnsi="仿宋_GB2312" w:cs="仿宋_GB2312"/>
          <w:b/>
          <w:bCs/>
          <w:color w:val="auto"/>
          <w:highlight w:val="none"/>
        </w:rPr>
      </w:pPr>
      <w:r>
        <w:rPr>
          <w:rFonts w:hint="eastAsia" w:ascii="仿宋_GB2312" w:hAnsi="仿宋_GB2312" w:cs="仿宋_GB2312"/>
          <w:b/>
          <w:bCs/>
          <w:color w:val="auto"/>
          <w:highlight w:val="none"/>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eastAsia"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为岳普湖县9个乡镇4个场种植的221764.62亩次冬小麦和3937.53亩春小麦发放耕地地力保护补贴</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color w:val="auto"/>
          <w:highlight w:val="none"/>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艾合买提江·萨迪尔</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color w:val="auto"/>
          <w:highlight w:val="none"/>
        </w:rPr>
        <w:t>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w:t>
      </w:r>
      <w:r>
        <w:rPr>
          <w:rFonts w:hint="eastAsia" w:ascii="仿宋_GB2312" w:hAnsi="仿宋_GB2312" w:cs="仿宋_GB2312"/>
          <w:color w:val="auto"/>
          <w:highlight w:val="none"/>
          <w:lang w:val="en-US" w:eastAsia="zh-CN"/>
        </w:rPr>
        <w:t>2023年1月-9月。</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该项目实施单位为</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2019年根据地委、行署批准的《岳普湖县机构改革方案》（喀党办字〔2019〕6号）和《关于印发&lt;岳普湖县机构改革方案实施意见&gt;的通知》（岳党办发〔2019〕15号）文件精神，岳普湖县将县委农村工作领导小组办公室、县农业局、县畜牧兽医局、县农牧机械局4个正科级单位及相关部门整合组建成立了岳普湖县农业农村局，并于2019年3月3日宣布成立。将县农业综合开发办公室、农牧机械管理局、农机安全监理站、农村经济经营管理局、种子管理站、农业技术推广中心、农产品检验检测中心、动物卫生监督所、畜牧兽医站承担的行政职能划归县农业农村局，县委农村工作领导小组办公室设在县农业农村局，接受县委农村工作领导小组的直接领导，承担县委农村工作领导小组具体工作。县农业农村局设有农业综合行政执法大队，农业综合服务中心、种业发展中心、农村合作经济发展中心、农业农村机械化发展中心、动物卫生服务站等6个参公机构，畜牧兽医站、良繁中心、农业产业发展中心、农业技术推广中心、农产品质量安全检测中心、人工影响天气服务站、瓜（菜）果产业发展中心、种苗培育服务中心、农牧机械推广站等9个事业机构。</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单位主要职能是：</w:t>
      </w:r>
      <w:r>
        <w:rPr>
          <w:rFonts w:hint="eastAsia" w:ascii="仿宋_GB2312" w:hAnsi="仿宋_GB2312" w:cs="仿宋_GB2312"/>
          <w:color w:val="auto"/>
          <w:highlight w:val="none"/>
          <w:lang w:eastAsia="zh-CN"/>
        </w:rPr>
        <w:t>（1）组织实施全县“三农”工作及畜牧兽医工作的发展战略、中长期规划、重大政策。（2）统筹推动发展农村社会事业、农村公共服务、农村文化、农村基础设施和乡村治理。（3）贯彻深化农村经济体制改革和巩固完善农村基本经营制度的政策。（4）指导乡村特色产业、农产品加工业、休闲农业和乡镇企业发展工作。（5）负责种植业、县国有农场、农业机械化等农业各产业的监督管理。（6）负责农产品质量安全监督管理，组织农业资源区划工作。（7）负责全县有关农业生产资料和农业投入品的监督管理。（8）负责农业防灾减灾、农作物重大病虫害防治工作。（9）负责农业投资管理。提出农业投融资体制机制改革建议。（10）承担农业科技体制改革和农业科技创新体系建设。（11）指导农业农村人才工作，牵头开展农业对外合作工作，负责组织实施畜牧兽医工作。（12）负责和监督动物疫病防治和疫情管理工作。（13）完成县委、县人民政府和县委农村工作领导小组交办的其他任务。</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实施主体编制情况：岳普湖县农业农村局编制内实有在职人员人数103人。其中：行政编制人员56人，行政工勤编制人员2人，事业编制人员45人。</w:t>
      </w:r>
    </w:p>
    <w:p>
      <w:pPr>
        <w:pStyle w:val="32"/>
        <w:spacing w:line="520" w:lineRule="exact"/>
        <w:ind w:firstLine="562"/>
        <w:rPr>
          <w:rFonts w:hint="eastAsia" w:ascii="仿宋_GB2312" w:hAnsi="仿宋_GB2312" w:eastAsia="仿宋_GB2312" w:cs="仿宋_GB2312"/>
          <w:b/>
          <w:bCs/>
          <w:color w:val="auto"/>
          <w:highlight w:val="none"/>
          <w:lang w:eastAsia="zh-CN"/>
        </w:rPr>
      </w:pPr>
      <w:r>
        <w:rPr>
          <w:rFonts w:hint="eastAsia" w:ascii="仿宋_GB2312" w:hAnsi="仿宋_GB2312" w:cs="仿宋_GB2312"/>
          <w:b/>
          <w:bCs/>
          <w:color w:val="auto"/>
          <w:highlight w:val="none"/>
          <w:lang w:eastAsia="zh-CN"/>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rPr>
        <w:t>《关于提前下达2023年中央农业生产发展资金（耕地地力保护补贴）预算的通知》（喀地财农〔2022〕31号）</w:t>
      </w:r>
      <w:r>
        <w:rPr>
          <w:rFonts w:hint="eastAsia" w:ascii="仿宋_GB2312" w:hAnsi="仿宋_GB2312" w:cs="仿宋_GB2312"/>
          <w:color w:val="auto"/>
          <w:highlight w:val="none"/>
          <w:lang w:eastAsia="zh-CN"/>
        </w:rPr>
        <w:t>、《关于提前下达2023年自治区农业生产发展资金（耕地地力保护补贴）预算的通知》（喀地财农〔2022〕40号）、《关于拨付2023年中央实际种粮农民一次性补贴资金的通知》（喀地财农〔2023〕5号）</w:t>
      </w:r>
      <w:r>
        <w:rPr>
          <w:rFonts w:hint="eastAsia" w:ascii="仿宋_GB2312" w:hAnsi="仿宋_GB2312" w:cs="仿宋_GB2312"/>
          <w:color w:val="auto"/>
          <w:highlight w:val="none"/>
        </w:rPr>
        <w:t>等文件，年初批复部门预算数</w:t>
      </w:r>
      <w:r>
        <w:rPr>
          <w:rFonts w:hint="eastAsia" w:ascii="仿宋_GB2312" w:hAnsi="仿宋_GB2312" w:cs="仿宋_GB2312"/>
          <w:color w:val="auto"/>
          <w:highlight w:val="none"/>
          <w:lang w:val="en-US" w:eastAsia="zh-CN"/>
        </w:rPr>
        <w:t>3413.80</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rPr>
        <w:t>万元，其他资金</w:t>
      </w:r>
      <w:r>
        <w:rPr>
          <w:rFonts w:hint="eastAsia" w:ascii="仿宋_GB2312" w:hAnsi="仿宋_GB2312" w:cs="仿宋_GB2312"/>
          <w:color w:val="auto"/>
          <w:highlight w:val="none"/>
        </w:rPr>
        <w:t>0.00</w:t>
      </w:r>
      <w:r>
        <w:rPr>
          <w:rFonts w:hint="eastAsia" w:ascii="仿宋_GB2312" w:hAnsi="仿宋_GB2312" w:cs="仿宋_GB2312"/>
          <w:color w:val="auto"/>
          <w:highlight w:val="none"/>
        </w:rPr>
        <w:t>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rPr>
        <w:t>预算资金到位率为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耕地地力保护补贴</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23149"/>
      <w:bookmarkStart w:id="20" w:name="_Toc127054585"/>
      <w:bookmarkStart w:id="21" w:name="_Toc1686_WPSOffice_Level2"/>
      <w:bookmarkStart w:id="22" w:name="_Toc18974"/>
      <w:bookmarkStart w:id="23" w:name="_Toc20532"/>
      <w:bookmarkStart w:id="24" w:name="_Toc18631"/>
      <w:bookmarkStart w:id="25" w:name="_Toc32607_WPSOffice_Level2"/>
      <w:bookmarkStart w:id="26" w:name="_Toc13569"/>
      <w:bookmarkStart w:id="27" w:name="_Toc19378"/>
      <w:bookmarkStart w:id="28" w:name="_Toc23928_WPSOffice_Level2"/>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1.项目总体目标</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为岳普湖县9个乡镇4个场种植的221764.62亩次冬小麦和3937.53亩春小麦发放耕地地力保护补贴，确保资金使用无重大违规违纪问题。通过项目的实施保障粮食安全能力，保障种粮农民受益，提升种粮农民积极性。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2.项目阶段性目标</w:t>
      </w:r>
      <w:bookmarkStart w:id="29" w:name="_Toc24349"/>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项目投入：本项目预算安排总额为</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lang w:val="en-US" w:eastAsia="zh-CN"/>
        </w:rPr>
        <w:t>中央资金：3336.87万元，自治区资金：199.60万元。</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项目产出：</w:t>
      </w:r>
      <w:r>
        <w:rPr>
          <w:rFonts w:hint="eastAsia" w:ascii="仿宋_GB2312" w:hAnsi="仿宋_GB2312" w:cs="仿宋_GB2312"/>
          <w:color w:val="auto"/>
          <w:highlight w:val="none"/>
          <w:lang w:val="en-US" w:eastAsia="zh-CN"/>
        </w:rPr>
        <w:t>为岳普湖县9个乡镇4个场种植的221764.62亩次冬小麦和3937.53亩春小麦发放耕地地力保护补贴。</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项目效果：</w:t>
      </w:r>
      <w:r>
        <w:rPr>
          <w:rFonts w:hint="eastAsia" w:ascii="仿宋_GB2312" w:hAnsi="仿宋_GB2312" w:cs="仿宋_GB2312"/>
          <w:color w:val="auto"/>
          <w:highlight w:val="none"/>
          <w:lang w:val="en-US" w:eastAsia="zh-CN"/>
        </w:rPr>
        <w:t>本项目实施有利于保障粮食安全能力，保障种粮农民受益，提升种粮农民积极性,确保资金使用无重大违规违纪问题。</w:t>
      </w:r>
    </w:p>
    <w:p>
      <w:pPr>
        <w:pStyle w:val="31"/>
        <w:keepNext w:val="0"/>
        <w:keepLines w:val="0"/>
        <w:spacing w:line="520" w:lineRule="exact"/>
        <w:ind w:firstLine="640" w:firstLineChars="200"/>
        <w:jc w:val="both"/>
        <w:rPr>
          <w:color w:val="auto"/>
          <w:highlight w:val="none"/>
        </w:rPr>
      </w:pPr>
      <w:bookmarkStart w:id="30" w:name="_Toc17863"/>
      <w:bookmarkStart w:id="31" w:name="_Toc3608"/>
      <w:bookmarkStart w:id="32" w:name="_Toc32174_WPSOffice_Level1"/>
      <w:bookmarkStart w:id="33" w:name="_Toc10478"/>
      <w:bookmarkStart w:id="34" w:name="_Toc1545_WPSOffice_Level1"/>
      <w:bookmarkStart w:id="35" w:name="_Toc8160"/>
      <w:bookmarkStart w:id="36" w:name="_Toc9278"/>
      <w:bookmarkStart w:id="37" w:name="_Toc12560_WPSOffice_Level1"/>
      <w:bookmarkStart w:id="38" w:name="_Toc127054586"/>
      <w:r>
        <w:rPr>
          <w:rFonts w:hint="eastAsia"/>
          <w:color w:val="auto"/>
          <w:highlight w:val="none"/>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color w:val="auto"/>
          <w:highlight w:val="none"/>
        </w:rPr>
      </w:pPr>
      <w:bookmarkStart w:id="39" w:name="_Toc25691"/>
      <w:bookmarkStart w:id="40" w:name="_Toc27953"/>
      <w:bookmarkStart w:id="41" w:name="_Toc15466"/>
      <w:bookmarkStart w:id="42" w:name="_Toc10259_WPSOffice_Level2"/>
      <w:bookmarkStart w:id="43" w:name="_Toc20761"/>
      <w:bookmarkStart w:id="44" w:name="_Toc127054587"/>
      <w:bookmarkStart w:id="45" w:name="_Toc17696_WPSOffice_Level2"/>
      <w:bookmarkStart w:id="46" w:name="_Toc14202_WPSOffice_Level2"/>
      <w:bookmarkStart w:id="47" w:name="_Toc1997"/>
      <w:bookmarkStart w:id="48" w:name="_Toc1092"/>
      <w:r>
        <w:rPr>
          <w:rFonts w:hint="eastAsia" w:ascii="仿宋_GB2312" w:hAnsi="仿宋_GB2312" w:cs="仿宋_GB2312"/>
          <w:color w:val="auto"/>
          <w:highlight w:val="none"/>
        </w:rPr>
        <w:t>（一）绩效评价目的、对象</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时间</w:t>
      </w:r>
      <w:r>
        <w:rPr>
          <w:rFonts w:hint="eastAsia" w:ascii="仿宋_GB2312" w:hAnsi="仿宋_GB2312" w:cs="仿宋_GB2312"/>
          <w:color w:val="auto"/>
          <w:highlight w:val="none"/>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bCs/>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color w:val="auto"/>
          <w:highlight w:val="none"/>
        </w:rPr>
      </w:pPr>
      <w:r>
        <w:rPr>
          <w:rFonts w:hint="eastAsia" w:ascii="仿宋_GB2312" w:hAnsi="仿宋_GB2312" w:cs="仿宋_GB2312"/>
          <w:b w:val="0"/>
          <w:snapToGrid/>
          <w:color w:val="auto"/>
          <w:highlight w:val="none"/>
        </w:rPr>
        <w:t>本次绩效评价遵循财政部《项目支出绩效评价管理办法》（财预〔2020〕10号）和自治区财政厅《自治区财</w:t>
      </w:r>
      <w:r>
        <w:rPr>
          <w:rFonts w:hint="eastAsia" w:ascii="仿宋_GB2312" w:hAnsi="仿宋_GB2312" w:cs="仿宋_GB2312"/>
          <w:b w:val="0"/>
          <w:snapToGrid/>
          <w:color w:val="auto"/>
          <w:highlight w:val="none"/>
        </w:rPr>
        <w:t>政支出绩效评价管理暂行办法》（新财预〔2018〕189号）等相关政策文件的规定，对</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lang w:val="en-US" w:eastAsia="zh-CN"/>
        </w:rPr>
        <w:t>耕地地力保护补贴项目</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rPr>
        <w:t>开展本次部门项目支出绩效评价工作旨在评价财政项目实施前期、过程及效果，评价财政预算资金使用</w:t>
      </w:r>
      <w:r>
        <w:rPr>
          <w:rFonts w:hint="eastAsia" w:ascii="仿宋_GB2312" w:hAnsi="仿宋_GB2312" w:cs="仿宋_GB2312"/>
          <w:b w:val="0"/>
          <w:snapToGrid/>
          <w:color w:val="auto"/>
          <w:highlight w:val="none"/>
        </w:rPr>
        <w:t>的效率及效益。</w:t>
      </w:r>
    </w:p>
    <w:p>
      <w:pPr>
        <w:pStyle w:val="46"/>
        <w:widowControl w:val="0"/>
        <w:spacing w:line="520" w:lineRule="exact"/>
        <w:ind w:left="0" w:leftChars="0" w:firstLine="560" w:firstLineChars="200"/>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color w:val="auto"/>
          <w:highlight w:val="none"/>
          <w:lang w:val="en-US" w:eastAsia="zh-CN"/>
        </w:rPr>
        <w:t>具体绩效评价的目的如下：</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.绩效评价对象</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治区财政支出绩效评价管理暂行办法》（新财预〔2018〕189号）等相关政策文件的规定，以</w:t>
      </w:r>
      <w:r>
        <w:rPr>
          <w:rFonts w:hint="eastAsia" w:ascii="仿宋_GB2312" w:hAnsi="仿宋_GB2312" w:cs="仿宋_GB2312"/>
          <w:color w:val="auto"/>
          <w:highlight w:val="none"/>
          <w:lang w:eastAsia="zh-CN"/>
        </w:rPr>
        <w:t>“耕地地力保护补贴项目”</w:t>
      </w:r>
      <w:r>
        <w:rPr>
          <w:rFonts w:hint="eastAsia" w:ascii="仿宋_GB2312" w:hAnsi="仿宋_GB2312" w:cs="仿宋_GB2312"/>
          <w:color w:val="auto"/>
          <w:highlight w:val="none"/>
        </w:rPr>
        <w:t>支出为对象所对应的预</w:t>
      </w:r>
      <w:r>
        <w:rPr>
          <w:rFonts w:hint="eastAsia" w:ascii="仿宋_GB2312" w:hAnsi="仿宋_GB2312" w:cs="仿宋_GB2312"/>
          <w:color w:val="auto"/>
          <w:highlight w:val="none"/>
        </w:rPr>
        <w:t>算资金，以</w:t>
      </w:r>
      <w:r>
        <w:rPr>
          <w:rFonts w:hint="eastAsia" w:ascii="仿宋_GB2312" w:hAnsi="仿宋_GB2312" w:cs="仿宋_GB2312"/>
          <w:color w:val="auto"/>
          <w:highlight w:val="none"/>
          <w:lang w:val="en-US" w:eastAsia="zh-CN"/>
        </w:rPr>
        <w:t>本</w:t>
      </w:r>
      <w:r>
        <w:rPr>
          <w:rFonts w:hint="eastAsia" w:ascii="仿宋_GB2312" w:hAnsi="仿宋_GB2312" w:cs="仿宋_GB2312"/>
          <w:color w:val="auto"/>
          <w:highlight w:val="none"/>
        </w:rPr>
        <w:t>项目实施所带来的产出和效果为主要内容，以促进预算单位完成特定工作任务目标所组织开展的绩效评价。</w:t>
      </w:r>
    </w:p>
    <w:p>
      <w:pPr>
        <w:pStyle w:val="46"/>
        <w:widowControl w:val="0"/>
        <w:spacing w:line="520" w:lineRule="exact"/>
        <w:ind w:left="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4.绩效评价时间</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.绩效评价范围</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color w:val="auto"/>
          <w:highlight w:val="none"/>
        </w:rPr>
      </w:pPr>
      <w:bookmarkStart w:id="49" w:name="_Toc2200"/>
      <w:bookmarkStart w:id="50" w:name="_Toc2006_WPSOffice_Level2"/>
      <w:bookmarkStart w:id="51" w:name="_Toc10930_WPSOffice_Level2"/>
      <w:bookmarkStart w:id="52" w:name="_Toc6151"/>
      <w:bookmarkStart w:id="53" w:name="_Toc18827"/>
      <w:bookmarkStart w:id="54" w:name="_Toc127054588"/>
      <w:bookmarkStart w:id="55" w:name="_Toc7586"/>
      <w:bookmarkStart w:id="56" w:name="_Toc10463_WPSOffice_Level2"/>
      <w:bookmarkStart w:id="57" w:name="_Toc5010"/>
      <w:bookmarkStart w:id="58" w:name="_Toc5510"/>
      <w:r>
        <w:rPr>
          <w:rFonts w:hint="eastAsia" w:ascii="仿宋_GB2312" w:hAnsi="仿宋_GB2312" w:cs="仿宋_GB2312"/>
          <w:color w:val="auto"/>
          <w:highlight w:val="none"/>
        </w:rPr>
        <w:t>（二）绩效评价原则、评价指标体系、评价方法</w:t>
      </w:r>
      <w:r>
        <w:rPr>
          <w:rFonts w:hint="eastAsia" w:ascii="仿宋_GB2312" w:hAnsi="仿宋_GB2312" w:cs="仿宋_GB2312"/>
          <w:color w:val="auto"/>
          <w:highlight w:val="none"/>
          <w:lang w:val="en-US" w:eastAsia="zh-CN"/>
        </w:rPr>
        <w:t>和</w:t>
      </w:r>
      <w:r>
        <w:rPr>
          <w:rFonts w:hint="eastAsia" w:ascii="仿宋_GB2312" w:hAnsi="仿宋_GB2312" w:cs="仿宋_GB2312"/>
          <w:color w:val="auto"/>
          <w:highlight w:val="none"/>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1.绩效评价原则</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本次绩效评价遵循的原则包括：</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（4）公开透明。绩效评价结果应依法依规公开，并自觉接受社会监督。</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2.绩效评价指标体系</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一级指标为：决策、过程、产出、效益。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hAnsi="仿宋_GB2312" w:cs="仿宋_GB2312"/>
          <w:color w:val="auto"/>
          <w:highlight w:val="none"/>
        </w:rPr>
        <w:t>项目实施管理规范性</w:t>
      </w:r>
      <w:r>
        <w:rPr>
          <w:rFonts w:hint="eastAsia" w:ascii="仿宋_GB2312" w:hAnsi="仿宋_GB2312" w:cs="仿宋_GB2312"/>
          <w:color w:val="auto"/>
          <w:highlight w:val="none"/>
          <w:lang w:eastAsia="zh-CN"/>
        </w:rPr>
        <w:t>、耕地地力保护补贴冬小麦面积、耕地地力保护补贴春小麦面积、农机购置补贴机具数、耕地地力保护补贴资金兑付率、农作物耕种收综合机械化率、资金使用重大违规违纪问题、补贴资金按期发放完成率、耕地地力保护补贴发放时限、农机购置补贴年度资金兑付率、冬小麦平均补助标准、春小麦平均补助标准、种粮农民积极性、保障粮食安全能力、种粮农民受益、农机购置补贴受益户数</w:t>
      </w:r>
      <w:r>
        <w:rPr>
          <w:rFonts w:hint="eastAsia" w:ascii="仿宋_GB2312" w:hAnsi="仿宋_GB2312" w:cs="仿宋_GB2312"/>
          <w:color w:val="auto"/>
          <w:highlight w:val="none"/>
        </w:rPr>
        <w:t>、满意度。</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3.绩效评价方法</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本次评价采用定量与定性评价相结合的比较法、</w:t>
      </w:r>
      <w:r>
        <w:rPr>
          <w:rFonts w:hint="eastAsia" w:ascii="仿宋_GB2312" w:hAnsi="仿宋_GB2312" w:cs="仿宋_GB2312"/>
          <w:color w:val="auto"/>
          <w:highlight w:val="none"/>
          <w:lang w:val="en-US" w:eastAsia="zh-CN"/>
        </w:rPr>
        <w:t>文献法、</w:t>
      </w:r>
      <w:r>
        <w:rPr>
          <w:rFonts w:hint="eastAsia" w:ascii="仿宋_GB2312" w:hAnsi="仿宋_GB2312" w:cs="仿宋_GB2312"/>
          <w:color w:val="auto"/>
          <w:highlight w:val="none"/>
        </w:rPr>
        <w:t>公众评判法</w:t>
      </w:r>
      <w:r>
        <w:rPr>
          <w:rFonts w:hint="eastAsia" w:ascii="仿宋_GB2312" w:hAnsi="仿宋_GB2312" w:cs="仿宋_GB2312"/>
          <w:color w:val="auto"/>
          <w:highlight w:val="none"/>
          <w:lang w:val="en-US" w:eastAsia="zh-CN"/>
        </w:rPr>
        <w:t>等方法</w:t>
      </w:r>
      <w:r>
        <w:rPr>
          <w:rFonts w:hint="eastAsia" w:ascii="仿宋_GB2312" w:hAnsi="仿宋_GB2312" w:cs="仿宋_GB2312"/>
          <w:color w:val="auto"/>
          <w:highlight w:val="none"/>
        </w:rPr>
        <w:t>，总分由各项指标得分汇总形成。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项目决策</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预算编制科学性：成本效益分析法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项目过程</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预算执行率：比较法，预算执行率预期指标值应为100%，通过实际计算，分析实际完成值和预期指标值之间的差距和原因。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项目产出</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4）项目效益方面</w:t>
      </w:r>
    </w:p>
    <w:p>
      <w:pPr>
        <w:pStyle w:val="32"/>
        <w:spacing w:line="520" w:lineRule="exact"/>
        <w:ind w:firstLine="560"/>
        <w:rPr>
          <w:rFonts w:hint="eastAsia" w:ascii="仿宋_GB2312" w:hAnsi="仿宋_GB2312" w:eastAsia="仿宋_GB2312" w:cs="仿宋_GB2312"/>
          <w:color w:val="auto"/>
          <w:highlight w:val="none"/>
          <w:lang w:eastAsia="zh-CN"/>
        </w:rPr>
      </w:pPr>
      <w:r>
        <w:rPr>
          <w:rFonts w:hint="eastAsia" w:ascii="仿宋_GB2312" w:hAnsi="仿宋_GB2312" w:cs="仿宋_GB2312"/>
          <w:color w:val="auto"/>
          <w:highlight w:val="none"/>
          <w:lang w:eastAsia="zh-CN"/>
        </w:rPr>
        <w:t>公众评判法、实地勘察法，通过实地勘察、问卷及抽样调查等方式评价本项目实施后社会公众或服务对象对项目实施效果的满意程度。</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4.绩效评价标准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计划标准：指以预先制定的目标、计划、预算、定额等作为评价标准。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行业标准：指参照国家公布的行业指标数据制定的评价标准。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耕地地力保护补贴项目</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采用的是计划标准，以事先制定的目标、计划、预算、定额等预计数据作为评价财政支出绩效的标准。通过将实际完成值与预定数据进行对比，发现偏差及时通知实施单位进行限期整改并反馈整改情况。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color w:val="auto"/>
          <w:highlight w:val="none"/>
        </w:rPr>
      </w:pPr>
      <w:bookmarkStart w:id="59" w:name="_Toc17200"/>
      <w:bookmarkStart w:id="60" w:name="_Toc26838"/>
      <w:bookmarkStart w:id="61" w:name="_Toc19104_WPSOffice_Level2"/>
      <w:bookmarkStart w:id="62" w:name="_Toc22357"/>
      <w:bookmarkStart w:id="63" w:name="_Toc12413_WPSOffice_Level2"/>
      <w:bookmarkStart w:id="64" w:name="_Toc12894"/>
      <w:bookmarkStart w:id="65" w:name="_Toc127054589"/>
      <w:bookmarkStart w:id="66" w:name="_Toc26233_WPSOffice_Level2"/>
      <w:bookmarkStart w:id="67" w:name="_Toc20415"/>
      <w:bookmarkStart w:id="68" w:name="_Toc31508"/>
      <w:r>
        <w:rPr>
          <w:rFonts w:hint="eastAsia" w:ascii="仿宋_GB2312" w:hAnsi="仿宋_GB2312" w:cs="仿宋_GB2312"/>
          <w:color w:val="auto"/>
          <w:highlight w:val="none"/>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本次评价设计了评价方案、评价指标体系，通过资料分析、调研、访谈满意度调查等方式形成评价结论，在与项目单位沟通后确定评价意见，并出具评价报告。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1.前期准备</w:t>
      </w:r>
      <w:r>
        <w:rPr>
          <w:rFonts w:hint="eastAsia" w:ascii="仿宋_GB2312" w:hAnsi="仿宋_GB2312" w:cs="仿宋_GB2312"/>
          <w:b/>
          <w:bCs/>
          <w:color w:val="auto"/>
          <w:highlight w:val="none"/>
          <w:lang w:val="en-US" w:eastAsia="zh-CN"/>
        </w:rPr>
        <w:t>阶段（2024年1月3日—1月10日）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艾合买提江·萨迪尔</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麦麦提艾力·阿卜来提、阿依古丽·那买提、何江霞</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2.组织实施</w:t>
      </w:r>
      <w:r>
        <w:rPr>
          <w:rFonts w:hint="eastAsia" w:ascii="仿宋_GB2312" w:hAnsi="仿宋_GB2312" w:cs="仿宋_GB2312"/>
          <w:b/>
          <w:bCs/>
          <w:color w:val="auto"/>
          <w:highlight w:val="none"/>
          <w:lang w:val="en-US" w:eastAsia="zh-CN"/>
        </w:rPr>
        <w:t>阶段（2024年1月11日—2月1日）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3.分析评价</w:t>
      </w:r>
      <w:r>
        <w:rPr>
          <w:rFonts w:hint="eastAsia" w:ascii="仿宋_GB2312" w:hAnsi="仿宋_GB2312" w:cs="仿宋_GB2312"/>
          <w:b/>
          <w:bCs/>
          <w:color w:val="auto"/>
          <w:highlight w:val="none"/>
          <w:lang w:val="en-US" w:eastAsia="zh-CN"/>
        </w:rPr>
        <w:t>阶段（2024年2月2日—2月29日）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4.撰写与提交评价报告</w:t>
      </w:r>
      <w:r>
        <w:rPr>
          <w:rFonts w:hint="eastAsia" w:ascii="仿宋_GB2312" w:hAnsi="仿宋_GB2312" w:cs="仿宋_GB2312"/>
          <w:b/>
          <w:bCs/>
          <w:color w:val="auto"/>
          <w:highlight w:val="none"/>
          <w:lang w:val="en-US" w:eastAsia="zh-CN"/>
        </w:rPr>
        <w:t>阶段（2024年3月1日-3月7日）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绩效评价组根据收集项目评价资料撰写绩效评价报告。按照新疆维吾尔自治区财政绩效管理信息系统绩效评价模块中</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统一格式</w:t>
      </w:r>
      <w:r>
        <w:rPr>
          <w:rFonts w:hint="eastAsia" w:ascii="仿宋_GB2312" w:hAnsi="仿宋_GB2312" w:cs="仿宋_GB2312"/>
          <w:color w:val="auto"/>
          <w:highlight w:val="none"/>
          <w:lang w:val="en-US" w:eastAsia="zh-CN"/>
        </w:rPr>
        <w:t>及</w:t>
      </w:r>
      <w:r>
        <w:rPr>
          <w:rFonts w:hint="eastAsia" w:ascii="仿宋_GB2312" w:hAnsi="仿宋_GB2312" w:cs="仿宋_GB2312"/>
          <w:color w:val="auto"/>
          <w:highlight w:val="none"/>
        </w:rPr>
        <w:t>文本框架撰写绩效评价报告并提交审核。</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5.归集档案</w:t>
      </w:r>
      <w:r>
        <w:rPr>
          <w:rFonts w:hint="eastAsia" w:ascii="仿宋_GB2312" w:hAnsi="仿宋_GB2312" w:cs="仿宋_GB2312"/>
          <w:b/>
          <w:bCs/>
          <w:color w:val="auto"/>
          <w:highlight w:val="none"/>
          <w:lang w:val="en-US" w:eastAsia="zh-CN"/>
        </w:rPr>
        <w:t>阶段（2024年3月8日-3月15日）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rPr>
          <w:color w:val="auto"/>
          <w:highlight w:val="none"/>
        </w:rPr>
      </w:pPr>
      <w:bookmarkStart w:id="69" w:name="_Toc7014"/>
      <w:bookmarkStart w:id="70" w:name="_Toc25359"/>
      <w:bookmarkStart w:id="71" w:name="_Toc32607_WPSOffice_Level1"/>
      <w:bookmarkStart w:id="72" w:name="_Toc1686_WPSOffice_Level1"/>
      <w:bookmarkStart w:id="73" w:name="_Toc16646"/>
      <w:bookmarkStart w:id="74" w:name="_Toc1597"/>
      <w:bookmarkStart w:id="75" w:name="_Toc23928_WPSOffice_Level1"/>
      <w:bookmarkStart w:id="76" w:name="_Toc127054590"/>
      <w:bookmarkStart w:id="77" w:name="_Toc4810"/>
      <w:bookmarkStart w:id="78" w:name="_Toc5081"/>
      <w:r>
        <w:rPr>
          <w:rFonts w:hint="eastAsia"/>
          <w:color w:val="auto"/>
          <w:highlight w:val="none"/>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rPr>
          <w:color w:val="auto"/>
          <w:highlight w:val="none"/>
        </w:rPr>
      </w:pPr>
      <w:bookmarkStart w:id="79" w:name="_Toc6425"/>
      <w:bookmarkStart w:id="80" w:name="_Toc5941_WPSOffice_Level2"/>
      <w:bookmarkStart w:id="81" w:name="_Toc1796"/>
      <w:bookmarkStart w:id="82" w:name="_Toc22637"/>
      <w:bookmarkStart w:id="83" w:name="_Toc127054591"/>
      <w:bookmarkStart w:id="84" w:name="_Toc30078"/>
      <w:bookmarkStart w:id="85" w:name="_Toc28208_WPSOffice_Level2"/>
      <w:bookmarkStart w:id="86" w:name="_Toc4710"/>
      <w:bookmarkStart w:id="87" w:name="_Toc15650_WPSOffice_Level2"/>
      <w:bookmarkStart w:id="88" w:name="_Toc24395"/>
      <w:r>
        <w:rPr>
          <w:rFonts w:hint="eastAsia"/>
          <w:color w:val="auto"/>
          <w:highlight w:val="none"/>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rPr>
          <w:color w:val="auto"/>
          <w:highlight w:val="none"/>
        </w:rPr>
      </w:pPr>
      <w:r>
        <w:rPr>
          <w:rFonts w:hint="eastAsia"/>
          <w:color w:val="auto"/>
          <w:highlight w:val="none"/>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在项目决策方面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3536.47</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已经为岳普湖县9个乡镇4个场种植的221764.62亩次冬小麦和3937.53亩春小麦发放了耕地地力保护补贴，资金均按照专项资金管理要求支付。项目预算执行率为100%。通过项目的实施有效保障了粮食安全能力，确保了种粮农民受益，有效提升了种粮农民积极性。耕地地力保护补贴政策群众满意度达到了100%。</w:t>
      </w:r>
    </w:p>
    <w:p>
      <w:pPr>
        <w:pStyle w:val="52"/>
        <w:keepNext w:val="0"/>
        <w:keepLines w:val="0"/>
        <w:spacing w:line="520" w:lineRule="exact"/>
        <w:ind w:left="560"/>
        <w:jc w:val="both"/>
        <w:rPr>
          <w:color w:val="auto"/>
          <w:highlight w:val="none"/>
        </w:rPr>
      </w:pPr>
      <w:bookmarkStart w:id="89" w:name="_Toc7246"/>
      <w:bookmarkStart w:id="90" w:name="_Toc5858"/>
      <w:bookmarkStart w:id="91" w:name="_Toc30582_WPSOffice_Level2"/>
      <w:bookmarkStart w:id="92" w:name="_Toc5518"/>
      <w:bookmarkStart w:id="93" w:name="_Toc24314"/>
      <w:bookmarkStart w:id="94" w:name="_Toc6175"/>
      <w:bookmarkStart w:id="95" w:name="_Toc25689_WPSOffice_Level2"/>
      <w:bookmarkStart w:id="96" w:name="_Toc20924_WPSOffice_Level2"/>
      <w:bookmarkStart w:id="97" w:name="_Toc19466"/>
      <w:bookmarkStart w:id="98" w:name="_Toc127054592"/>
      <w:r>
        <w:rPr>
          <w:rFonts w:hint="eastAsia"/>
          <w:color w:val="auto"/>
          <w:highlight w:val="none"/>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运用绩效评价组制定的评价指标体系以及财政部《项目支出绩效评价管理办法》（财预〔2020〕10号）文件的评分标准，通过数据采集、问</w:t>
      </w:r>
      <w:r>
        <w:rPr>
          <w:rFonts w:hint="eastAsia" w:ascii="仿宋_GB2312" w:hAnsi="仿宋_GB2312" w:cs="仿宋_GB2312"/>
          <w:color w:val="auto"/>
          <w:highlight w:val="none"/>
        </w:rPr>
        <w:t>卷调查及访谈等方式，对本项目进行客观评价，总分一般设置为100分，其中项目决策20分、项目过程</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分、项目产出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分、项目效益</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本项目</w:t>
      </w:r>
      <w:r>
        <w:rPr>
          <w:rFonts w:hint="eastAsia" w:ascii="仿宋_GB2312" w:hAnsi="仿宋_GB2312" w:cs="仿宋_GB2312"/>
          <w:color w:val="auto"/>
          <w:highlight w:val="none"/>
        </w:rPr>
        <w:t>最终评分结果：总得分为</w:t>
      </w:r>
      <w:r>
        <w:rPr>
          <w:rFonts w:hint="eastAsia" w:ascii="仿宋_GB2312" w:hAnsi="仿宋_GB2312" w:cs="仿宋_GB2312"/>
          <w:color w:val="auto"/>
          <w:highlight w:val="none"/>
        </w:rPr>
        <w:t>100分</w:t>
      </w:r>
      <w:r>
        <w:rPr>
          <w:rFonts w:hint="eastAsia" w:ascii="仿宋_GB2312" w:hAnsi="仿宋_GB2312" w:cs="仿宋_GB2312"/>
          <w:color w:val="auto"/>
          <w:highlight w:val="none"/>
        </w:rPr>
        <w:t>，绩效评级为</w:t>
      </w:r>
      <w:r>
        <w:rPr>
          <w:rFonts w:hint="eastAsia" w:ascii="仿宋_GB2312" w:hAnsi="仿宋_GB2312" w:cs="仿宋_GB2312"/>
          <w:color w:val="auto"/>
          <w:highlight w:val="none"/>
        </w:rPr>
        <w:t>“优”</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具体得分情况</w:t>
      </w:r>
      <w:r>
        <w:rPr>
          <w:rFonts w:hint="eastAsia" w:ascii="仿宋_GB2312" w:hAnsi="仿宋_GB2312" w:cs="仿宋_GB2312"/>
          <w:color w:val="auto"/>
          <w:highlight w:val="none"/>
          <w:lang w:val="en-US" w:eastAsia="zh-CN"/>
        </w:rPr>
        <w:t>如下</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1.项目决策指标权重为20分，得分为20分，得分率为100%。</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2.项目过程指标权重为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3.项目产出指标权重为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4.项目效益指标权重为30分，</w:t>
      </w:r>
      <w:r>
        <w:rPr>
          <w:rFonts w:hint="eastAsia" w:ascii="仿宋_GB2312" w:hAnsi="仿宋_GB2312" w:cs="仿宋_GB2312"/>
          <w:color w:val="auto"/>
          <w:highlight w:val="none"/>
        </w:rPr>
        <w:t>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25446_WPSOffice_Level2"/>
      <w:bookmarkStart w:id="100" w:name="_Toc13636_WPSOffice_Level2"/>
      <w:bookmarkStart w:id="101" w:name="_Toc12641_WPSOffice_Level2"/>
      <w:bookmarkStart w:id="102" w:name="_Toc31634"/>
      <w:bookmarkStart w:id="103" w:name="_Toc17696_WPSOffice_Level1"/>
      <w:bookmarkStart w:id="104" w:name="_Toc27609"/>
      <w:bookmarkStart w:id="105" w:name="_Toc4090"/>
      <w:bookmarkStart w:id="106" w:name="_Toc14202_WPSOffice_Level1"/>
      <w:bookmarkStart w:id="107" w:name="_Toc23593"/>
      <w:bookmarkStart w:id="108" w:name="_Toc21991"/>
      <w:bookmarkStart w:id="109" w:name="_Toc19284"/>
      <w:bookmarkStart w:id="110" w:name="_Toc10259_WPSOffice_Level1"/>
      <w:bookmarkStart w:id="111" w:name="_Toc127054593"/>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color w:val="auto"/>
                <w:sz w:val="21"/>
                <w:szCs w:val="21"/>
                <w:highlight w:val="none"/>
              </w:rPr>
            </w:pPr>
            <w:r>
              <w:rPr>
                <w:rFonts w:hint="eastAsia" w:ascii="仿宋_GB2312" w:cs="Times New Roman"/>
                <w:b w:val="0"/>
                <w:color w:val="auto"/>
                <w:sz w:val="21"/>
                <w:szCs w:val="21"/>
                <w:highlight w:val="none"/>
              </w:rPr>
              <w:t>权  重</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color w:val="auto"/>
                <w:sz w:val="21"/>
                <w:szCs w:val="21"/>
                <w:highlight w:val="none"/>
                <w:lang w:eastAsia="zh-CN"/>
              </w:rPr>
            </w:pPr>
            <w:r>
              <w:rPr>
                <w:rFonts w:hint="eastAsia" w:ascii="仿宋_GB2312" w:cs="Times New Roman"/>
                <w:b w:val="0"/>
                <w:color w:val="auto"/>
                <w:sz w:val="21"/>
                <w:szCs w:val="21"/>
                <w:highlight w:val="none"/>
                <w:lang w:val="en-US" w:eastAsia="zh-CN"/>
              </w:rPr>
              <w:t>得</w:t>
            </w:r>
            <w:r>
              <w:rPr>
                <w:rFonts w:hint="eastAsia" w:ascii="仿宋_GB2312" w:cs="Times New Roman"/>
                <w:b w:val="0"/>
                <w:color w:val="auto"/>
                <w:sz w:val="21"/>
                <w:szCs w:val="21"/>
                <w:highlight w:val="none"/>
              </w:rPr>
              <w:t xml:space="preserve">  </w:t>
            </w:r>
            <w:r>
              <w:rPr>
                <w:rFonts w:hint="eastAsia" w:ascii="仿宋_GB2312" w:cs="Times New Roman"/>
                <w:b w:val="0"/>
                <w:color w:val="auto"/>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color w:val="auto"/>
                <w:sz w:val="21"/>
                <w:szCs w:val="21"/>
                <w:highlight w:val="none"/>
              </w:rPr>
            </w:pPr>
            <w:r>
              <w:rPr>
                <w:rFonts w:hint="eastAsia" w:ascii="仿宋_GB2312" w:cs="Times New Roman"/>
                <w:bCs/>
                <w:color w:val="auto"/>
                <w:sz w:val="21"/>
                <w:szCs w:val="21"/>
                <w:highlight w:val="none"/>
              </w:rPr>
              <w:t>得分率</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458"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p>
        </w:tc>
      </w:tr>
    </w:tbl>
    <w:p>
      <w:pPr>
        <w:pStyle w:val="31"/>
        <w:keepNext w:val="0"/>
        <w:keepLines w:val="0"/>
        <w:spacing w:line="520" w:lineRule="exact"/>
        <w:ind w:firstLine="640" w:firstLineChars="200"/>
        <w:jc w:val="both"/>
        <w:rPr>
          <w:color w:val="auto"/>
          <w:highlight w:val="none"/>
        </w:rPr>
      </w:pPr>
      <w:r>
        <w:rPr>
          <w:rFonts w:hint="eastAsia"/>
          <w:color w:val="auto"/>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color w:val="auto"/>
          <w:highlight w:val="none"/>
        </w:rPr>
      </w:pPr>
      <w:bookmarkStart w:id="112" w:name="_Toc24898"/>
      <w:bookmarkStart w:id="113" w:name="_Toc23212"/>
      <w:bookmarkStart w:id="114" w:name="_Toc30064_WPSOffice_Level2"/>
      <w:bookmarkStart w:id="115" w:name="_Toc17002"/>
      <w:bookmarkStart w:id="116" w:name="_Toc15622"/>
      <w:bookmarkStart w:id="117" w:name="_Toc12537"/>
      <w:bookmarkStart w:id="118" w:name="_Toc23471_WPSOffice_Level2"/>
      <w:bookmarkStart w:id="119" w:name="_Toc127054594"/>
      <w:bookmarkStart w:id="120" w:name="_Toc13717_WPSOffice_Level2"/>
      <w:bookmarkStart w:id="121" w:name="_Toc1351"/>
      <w:r>
        <w:rPr>
          <w:rFonts w:hint="eastAsia" w:ascii="仿宋_GB2312" w:hAnsi="仿宋_GB2312" w:cs="仿宋_GB2312"/>
          <w:color w:val="auto"/>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决策类指标包括项目立项、绩效目标和资金投入三方面的内容，由6个三级指标构成，权重分值为20分，实际得分20分，得分率为</w:t>
      </w:r>
      <w:r>
        <w:rPr>
          <w:rFonts w:hint="eastAsia" w:ascii="仿宋_GB2312" w:hAnsi="仿宋_GB2312" w:cs="仿宋_GB2312"/>
          <w:color w:val="auto"/>
          <w:highlight w:val="none"/>
        </w:rPr>
        <w:t>100%。</w:t>
      </w:r>
    </w:p>
    <w:p>
      <w:pPr>
        <w:pStyle w:val="32"/>
        <w:spacing w:line="520" w:lineRule="exact"/>
        <w:ind w:firstLine="562"/>
        <w:rPr>
          <w:rFonts w:ascii="仿宋_GB2312" w:hAnsi="仿宋_GB2312" w:cs="仿宋_GB2312"/>
          <w:b/>
          <w:bCs/>
          <w:color w:val="auto"/>
          <w:highlight w:val="none"/>
        </w:rPr>
      </w:pPr>
      <w:bookmarkStart w:id="122" w:name="_Toc25023_WPSOffice_Level2"/>
      <w:r>
        <w:rPr>
          <w:rFonts w:hint="eastAsia" w:ascii="仿宋_GB2312" w:hAnsi="仿宋_GB2312" w:cs="仿宋_GB2312"/>
          <w:b/>
          <w:bCs/>
          <w:color w:val="auto"/>
          <w:highlight w:val="none"/>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w:t>
      </w:r>
      <w:r>
        <w:rPr>
          <w:rFonts w:hint="eastAsia" w:ascii="仿宋_GB2312" w:hAnsi="仿宋_GB2312" w:cs="仿宋_GB2312"/>
          <w:color w:val="auto"/>
          <w:highlight w:val="none"/>
        </w:rPr>
        <w:t>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127054595"/>
      <w:bookmarkStart w:id="126" w:name="_Toc804"/>
      <w:bookmarkStart w:id="127" w:name="_Toc4615_WPSOffice_Level2"/>
      <w:bookmarkStart w:id="128" w:name="_Toc21518"/>
      <w:bookmarkStart w:id="129" w:name="_Toc30315"/>
      <w:bookmarkStart w:id="130" w:name="_Toc18771"/>
      <w:bookmarkStart w:id="131" w:name="_Toc18592"/>
      <w:bookmarkStart w:id="132" w:name="_Toc30208"/>
      <w:bookmarkStart w:id="133" w:name="_Toc22525_WPSOffice_Level2"/>
      <w:bookmarkStart w:id="134" w:name="_Toc15035_WPSOffice_Level2"/>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过程类指标包括资金管理和组织实施两方面的内容，由6个三级指标构成，权重分值为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w:t>
      </w:r>
      <w:r>
        <w:rPr>
          <w:rFonts w:hint="eastAsia" w:ascii="仿宋_GB2312" w:hAnsi="仿宋_GB2312" w:cs="仿宋_GB2312"/>
          <w:color w:val="auto"/>
          <w:highlight w:val="none"/>
        </w:rPr>
        <w:t>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w:t>
      </w:r>
      <w:r>
        <w:rPr>
          <w:rFonts w:hint="eastAsia" w:ascii="仿宋_GB2312" w:hAnsi="仿宋_GB2312" w:cs="仿宋_GB2312"/>
          <w:color w:val="auto"/>
          <w:highlight w:val="none"/>
        </w:rPr>
        <w:t>预算执行率为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根据评分标准，</w:t>
      </w:r>
      <w:r>
        <w:rPr>
          <w:rFonts w:hint="eastAsia" w:ascii="仿宋_GB2312" w:hAnsi="仿宋_GB2312" w:cs="仿宋_GB2312"/>
          <w:color w:val="auto"/>
          <w:highlight w:val="none"/>
        </w:rPr>
        <w:t>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①承接主体项目管理制度健全，项目实施符合相关项目管理规定；</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②建立了实施领导机制并建立了完善的实施方案；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③建立了项目台账，台账记录全面、完整；</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④能接受和配合相关部门的监督检查及绩效评价</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12847"/>
      <w:bookmarkStart w:id="136" w:name="_Toc127054596"/>
      <w:bookmarkStart w:id="137" w:name="_Toc28623"/>
      <w:bookmarkStart w:id="138" w:name="_Toc10055_WPSOffice_Level2"/>
      <w:bookmarkStart w:id="139" w:name="_Toc15778_WPSOffice_Level2"/>
      <w:bookmarkStart w:id="140" w:name="_Toc28910"/>
      <w:bookmarkStart w:id="141" w:name="_Toc3716"/>
      <w:bookmarkStart w:id="142" w:name="_Toc13773_WPSOffice_Level2"/>
      <w:bookmarkStart w:id="143" w:name="_Toc19500"/>
      <w:bookmarkStart w:id="144" w:name="_Toc10585"/>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11</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耕地地力保护补贴冬小麦面积年度指标值为大于等于221764.62亩次，实际完成值为221764.62亩次，完成预期目标，根据评分标准，该指标不扣分。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耕地地力保护补贴春小麦面积年度指标值为大于等于3937.53亩，实际完成值为3937.53亩，完成预期目标，根据评分标准，该指标不扣分。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农机购置补贴机具数年度指标值为等于0台，实际完成值为0台，完成预期目标，根据评分标准，该指标不扣分。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个，指标从实际完成情况方面进行评价，权重分值9分，实际得分9分。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2.产出质量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耕地地力保护补贴资金兑付率年度指标值为等于100%，实际完成值为100%，完成预期目标，根据评分标准，该指标不扣分。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农作物耕种收综合机械化率年度指标值为等于0%，实际完成值为0%，完成预期目标，根据评分标准，该指标不扣分。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资金使用重大违规违纪问题年度指标值为等于0%，实际完成值为0%，完成预期目标，根据评分标准，该指标不扣分。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产出质量三级指标共计</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个，指标从质量达标方面进行评价，权重分值9分，实际得分9分。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补贴资金按期发放完成率年度指标值为等于100%，实际完成值为100%，完成预期目标，根据评分标准，该指标不扣分。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耕地地力保护补贴发放时限年度指标值为2023年9月25日前，实际完成值为2023年9月14日，完成预期目标，根据评分标准，该指标不扣分。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农机购置补贴年度资金兑付率年度指标值为等于0%，实际完成值为0%，完成预期目标，根据评分标准，该指标不扣分。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个，指标从完成及时性方面进行评价，权重分值8分，实际得分8分。</w:t>
      </w:r>
    </w:p>
    <w:p>
      <w:pPr>
        <w:pStyle w:val="32"/>
        <w:spacing w:line="520" w:lineRule="exact"/>
        <w:ind w:firstLine="562"/>
        <w:rPr>
          <w:rFonts w:ascii="仿宋_GB2312" w:hAnsi="仿宋_GB2312" w:cs="仿宋_GB2312"/>
          <w:b/>
          <w:bCs/>
          <w:color w:val="auto"/>
          <w:highlight w:val="none"/>
        </w:rPr>
      </w:pPr>
      <w:bookmarkStart w:id="145" w:name="_Toc25428"/>
      <w:bookmarkStart w:id="146" w:name="_Toc127054597"/>
      <w:bookmarkStart w:id="147" w:name="_Toc26374_WPSOffice_Level2"/>
      <w:bookmarkStart w:id="148" w:name="_Toc646"/>
      <w:bookmarkStart w:id="149" w:name="_Toc32262_WPSOffice_Level2"/>
      <w:bookmarkStart w:id="150" w:name="_Toc20923_WPSOffice_Level2"/>
      <w:bookmarkStart w:id="151" w:name="_Toc17557"/>
      <w:bookmarkStart w:id="152" w:name="_Toc21869"/>
      <w:bookmarkStart w:id="153" w:name="_Toc1244"/>
      <w:bookmarkStart w:id="154" w:name="_Toc4222"/>
      <w:r>
        <w:rPr>
          <w:rFonts w:hint="eastAsia" w:ascii="仿宋_GB2312" w:hAnsi="仿宋_GB2312" w:cs="仿宋_GB2312"/>
          <w:color w:val="auto"/>
          <w:highlight w:val="none"/>
          <w:lang w:val="en-US" w:eastAsia="zh-CN"/>
        </w:rPr>
        <w:t>4</w:t>
      </w:r>
      <w:r>
        <w:rPr>
          <w:rFonts w:hint="eastAsia" w:ascii="仿宋_GB2312" w:hAnsi="仿宋_GB2312" w:cs="仿宋_GB2312"/>
          <w:b/>
          <w:bCs/>
          <w:color w:val="auto"/>
          <w:highlight w:val="none"/>
        </w:rPr>
        <w:t>.产出成本</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冬小麦平均补助标准年度指标值为小于等于155.38元/亩次，实际完成值为155.38元/亩次，完成预期目标，根据评分标准，该指标不扣分。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春小麦平均补助标准年度指标值为小于等于230元/亩，实际完成值为230元/亩，完成预期目标，根据评分标准，该指标不扣分。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产出成本三级指标共计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个，指标从成本节约情况进行评价，权重分值9分，实际得分9分。</w:t>
      </w:r>
    </w:p>
    <w:p>
      <w:pPr>
        <w:pStyle w:val="52"/>
        <w:keepNext w:val="0"/>
        <w:keepLines w:val="0"/>
        <w:spacing w:line="520" w:lineRule="exact"/>
        <w:ind w:left="560"/>
        <w:jc w:val="both"/>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四</w:t>
      </w:r>
      <w:r>
        <w:rPr>
          <w:rFonts w:hint="eastAsia" w:ascii="仿宋_GB2312" w:hAnsi="仿宋_GB2312" w:cs="仿宋_GB2312"/>
          <w:color w:val="auto"/>
          <w:highlight w:val="none"/>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个</w:t>
      </w:r>
      <w:r>
        <w:rPr>
          <w:rFonts w:hint="eastAsia" w:ascii="仿宋_GB2312" w:hAnsi="仿宋_GB2312" w:cs="仿宋_GB2312"/>
          <w:color w:val="auto"/>
          <w:highlight w:val="none"/>
        </w:rPr>
        <w:t>三级指标构成，权重分为30分，实际得分</w:t>
      </w:r>
      <w:r>
        <w:rPr>
          <w:rFonts w:hint="eastAsia" w:ascii="仿宋_GB2312" w:hAnsi="仿宋_GB2312" w:cs="仿宋_GB2312"/>
          <w:color w:val="auto"/>
          <w:highlight w:val="none"/>
        </w:rPr>
        <w:t>30分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（1）实施效益指标</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实施效益指标从项目实施所产生的效益</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进行评价，权重分值</w:t>
      </w:r>
      <w:r>
        <w:rPr>
          <w:rFonts w:hint="eastAsia" w:ascii="仿宋_GB2312" w:hAnsi="仿宋_GB2312" w:cs="仿宋_GB2312"/>
          <w:color w:val="auto"/>
          <w:highlight w:val="none"/>
        </w:rPr>
        <w:t>20</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rPr>
        <w:t>20</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①项目实施的经济效益分析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②项目实施的社会效益分析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种粮农民积极性年度指标值为有所提高，实际完成值为有所提高，完成预期目标，根据评分标准，该指标不扣分。实际得5分。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保障粮食安全能力年度指标值为有效保障，实际完成值为有效保障，完成预期目标，根据评分标准，该指标不扣分。实际得5分。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种粮农民受益年度指标值为有效确保，实际完成值为有效确保，完成预期目标，根据评分标准，该指标不扣分。实际得5分。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农机购置补贴受益户数年度指标值为等于0户，实际完成值为0户，完成预期目标，根据评分标准，该指标不扣分。实际得5分。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③项目实施的生态效益分析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④项目实施的可持续影响分析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（2）满意度指标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满意度指标完成情况分析从关注社会公众或服务对象对项目实施效果的满意程度方面进行评价，权重分值10分，实际得分10分。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个问题，本项目总体满意度的计算公式=∑</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个问题的满意度/</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评分规则设定为：满意度大于等于98%得10分；不足98%的大于等于8</w:t>
      </w:r>
      <w:r>
        <w:rPr>
          <w:rFonts w:hint="eastAsia" w:ascii="仿宋_GB2312" w:hAnsi="仿宋_GB2312" w:cs="仿宋_GB2312"/>
          <w:color w:val="auto"/>
          <w:highlight w:val="none"/>
          <w:lang w:val="en-US" w:eastAsia="zh-CN"/>
        </w:rPr>
        <w:t>0</w:t>
      </w:r>
      <w:r>
        <w:rPr>
          <w:rFonts w:hint="eastAsia" w:ascii="仿宋_GB2312" w:hAnsi="仿宋_GB2312" w:cs="仿宋_GB2312"/>
          <w:color w:val="auto"/>
          <w:highlight w:val="none"/>
        </w:rPr>
        <w:t>%得8分；不足</w:t>
      </w:r>
      <w:r>
        <w:rPr>
          <w:rFonts w:hint="eastAsia" w:ascii="仿宋_GB2312" w:hAnsi="仿宋_GB2312" w:cs="仿宋_GB2312"/>
          <w:color w:val="auto"/>
          <w:highlight w:val="none"/>
          <w:lang w:val="en-US" w:eastAsia="zh-CN"/>
        </w:rPr>
        <w:t>80</w:t>
      </w:r>
      <w:r>
        <w:rPr>
          <w:rFonts w:hint="eastAsia" w:ascii="仿宋_GB2312" w:hAnsi="仿宋_GB2312" w:cs="仿宋_GB2312"/>
          <w:color w:val="auto"/>
          <w:highlight w:val="none"/>
        </w:rPr>
        <w:t>%的大于等于</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0%得5分；不足</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0%的不得分。该指标得分=满意度*该指标权重分值。</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综合来看，受访对象的满意度分析结果为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r>
        <w:rPr>
          <w:rFonts w:hint="eastAsia" w:ascii="仿宋_GB2312" w:hAnsi="仿宋_GB2312" w:cs="仿宋_GB2312"/>
          <w:color w:val="auto"/>
          <w:highlight w:val="none"/>
        </w:rPr>
        <w:t>。</w:t>
      </w:r>
      <w:r>
        <w:rPr>
          <w:rFonts w:hint="eastAsia" w:ascii="仿宋_GB2312" w:hAnsi="仿宋_GB2312" w:cs="仿宋_GB2312"/>
          <w:color w:val="auto"/>
          <w:highlight w:val="none"/>
        </w:rPr>
        <w:t>因此按满意度权重计分：</w:t>
      </w:r>
      <w:r>
        <w:rPr>
          <w:rFonts w:hint="eastAsia" w:ascii="仿宋_GB2312" w:hAnsi="仿宋_GB2312" w:cs="仿宋_GB2312"/>
          <w:color w:val="auto"/>
          <w:highlight w:val="none"/>
        </w:rPr>
        <w:t>100%*10分=10</w:t>
      </w:r>
      <w:r>
        <w:rPr>
          <w:rFonts w:hint="eastAsia" w:ascii="仿宋_GB2312" w:hAnsi="仿宋_GB2312" w:cs="仿宋_GB2312"/>
          <w:color w:val="auto"/>
          <w:highlight w:val="none"/>
        </w:rPr>
        <w:t>分，满意度指标实际得分</w:t>
      </w:r>
      <w:r>
        <w:rPr>
          <w:rFonts w:hint="eastAsia" w:ascii="仿宋_GB2312" w:hAnsi="仿宋_GB2312" w:cs="仿宋_GB2312"/>
          <w:color w:val="auto"/>
          <w:highlight w:val="none"/>
        </w:rPr>
        <w:t>10</w:t>
      </w:r>
      <w:r>
        <w:rPr>
          <w:rFonts w:hint="eastAsia" w:ascii="仿宋_GB2312" w:hAnsi="仿宋_GB2312" w:cs="仿宋_GB2312"/>
          <w:color w:val="auto"/>
          <w:highlight w:val="none"/>
        </w:rPr>
        <w:t>分。</w:t>
      </w:r>
    </w:p>
    <w:p>
      <w:pPr>
        <w:pStyle w:val="31"/>
        <w:keepNext w:val="0"/>
        <w:keepLines w:val="0"/>
        <w:spacing w:line="520" w:lineRule="exact"/>
        <w:ind w:firstLine="640" w:firstLineChars="200"/>
        <w:jc w:val="both"/>
        <w:rPr>
          <w:color w:val="auto"/>
          <w:highlight w:val="none"/>
        </w:rPr>
      </w:pPr>
      <w:bookmarkStart w:id="155" w:name="_Toc127054598"/>
      <w:bookmarkStart w:id="156" w:name="_Toc10934"/>
      <w:bookmarkStart w:id="157" w:name="_Toc15802"/>
      <w:bookmarkStart w:id="158" w:name="_Toc18449"/>
      <w:bookmarkStart w:id="159" w:name="_Toc10463_WPSOffice_Level1"/>
      <w:bookmarkStart w:id="160" w:name="_Toc17211"/>
      <w:bookmarkStart w:id="161" w:name="_Toc24849"/>
      <w:bookmarkStart w:id="162" w:name="_Toc2006_WPSOffice_Level1"/>
      <w:bookmarkStart w:id="163" w:name="_Toc24579"/>
      <w:bookmarkStart w:id="164" w:name="_Toc10930_WPSOffice_Level1"/>
      <w:r>
        <w:rPr>
          <w:rFonts w:hint="eastAsia"/>
          <w:color w:val="auto"/>
          <w:highlight w:val="none"/>
        </w:rPr>
        <w:t>五、预算执行进度与绩效指标偏差</w:t>
      </w:r>
      <w:bookmarkEnd w:id="155"/>
      <w:bookmarkEnd w:id="156"/>
      <w:bookmarkEnd w:id="157"/>
      <w:bookmarkEnd w:id="158"/>
      <w:bookmarkEnd w:id="159"/>
    </w:p>
    <w:p>
      <w:pPr>
        <w:pStyle w:val="32"/>
        <w:rPr>
          <w:rFonts w:hint="eastAsia" w:ascii="仿宋_GB2312" w:hAnsi="仿宋_GB2312" w:cs="仿宋_GB2312"/>
          <w:color w:val="auto"/>
          <w:sz w:val="28"/>
          <w:szCs w:val="28"/>
          <w:highlight w:val="none"/>
          <w:lang w:val="en-US" w:eastAsia="zh-CN"/>
        </w:rPr>
      </w:pPr>
      <w:bookmarkStart w:id="165" w:name="_Toc127054599"/>
      <w:bookmarkStart w:id="166" w:name="_Toc24452"/>
      <w:bookmarkStart w:id="167" w:name="_Toc12278"/>
      <w:bookmarkStart w:id="168" w:name="_Toc19104_WPSOffice_Level1"/>
      <w:bookmarkStart w:id="169" w:name="_Toc28884"/>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耕地地力保护补贴项目</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预算执行率与绩效指标完成率存在偏差，项目预算执行率为100%，项目绩效指标总体完成率100.1%，偏差率为0.1%。满意度指标实际完成值优于预期值，指标实际完成较预期出现正偏差。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偏差原因：首先，项目初期，对受益对象需求的理解存在偏差，导致预期值设置偏低。其次，项目在实际执行过程中有效地满足了项目预期目标，造成实际完成情况超出受益对象的期望。</w:t>
      </w:r>
    </w:p>
    <w:p>
      <w:pPr>
        <w:pStyle w:val="32"/>
        <w:rPr>
          <w:rFonts w:hint="eastAsia"/>
          <w:color w:val="auto"/>
          <w:highlight w:val="none"/>
          <w:lang w:val="en-US" w:eastAsia="zh-CN"/>
        </w:rPr>
      </w:pPr>
      <w:r>
        <w:rPr>
          <w:rFonts w:hint="eastAsia" w:ascii="仿宋_GB2312" w:hAnsi="仿宋_GB2312" w:cs="仿宋_GB2312"/>
          <w:color w:val="auto"/>
          <w:sz w:val="28"/>
          <w:szCs w:val="28"/>
          <w:highlight w:val="none"/>
          <w:lang w:val="en-US" w:eastAsia="zh-CN"/>
        </w:rPr>
        <w:t>改进措施：对偏差进行深入分析，充分了解受益对象的需求变化，明确造成实际完成值高于预期的具体原因，以便在未来的项目中更好地把握和预测。</w:t>
      </w:r>
    </w:p>
    <w:p>
      <w:pPr>
        <w:pStyle w:val="31"/>
        <w:keepNext w:val="0"/>
        <w:keepLines w:val="0"/>
        <w:spacing w:line="520" w:lineRule="exact"/>
        <w:ind w:firstLine="640" w:firstLineChars="200"/>
        <w:jc w:val="both"/>
        <w:rPr>
          <w:rFonts w:hint="default" w:eastAsia="黑体"/>
          <w:color w:val="auto"/>
          <w:highlight w:val="none"/>
          <w:lang w:val="en-US" w:eastAsia="zh-CN"/>
        </w:rPr>
      </w:pPr>
      <w:r>
        <w:rPr>
          <w:rFonts w:hint="eastAsia"/>
          <w:color w:val="auto"/>
          <w:highlight w:val="none"/>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color w:val="auto"/>
          <w:highlight w:val="none"/>
          <w:lang w:eastAsia="zh-CN"/>
        </w:rPr>
        <w:t>、</w:t>
      </w:r>
      <w:r>
        <w:rPr>
          <w:rFonts w:hint="eastAsia"/>
          <w:color w:val="auto"/>
          <w:highlight w:val="none"/>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auto"/>
          <w:highlight w:val="none"/>
          <w:lang w:val="en-US" w:eastAsia="zh-CN"/>
        </w:rPr>
      </w:pPr>
      <w:bookmarkStart w:id="170" w:name="_Toc18033"/>
      <w:bookmarkStart w:id="171" w:name="_Toc14218"/>
      <w:bookmarkStart w:id="172" w:name="_Toc5442_WPSOffice_Level2"/>
      <w:bookmarkStart w:id="173" w:name="_Toc23806_WPSOffice_Level2"/>
      <w:bookmarkStart w:id="174" w:name="_Toc19554"/>
      <w:bookmarkStart w:id="175" w:name="_Toc28921"/>
      <w:bookmarkStart w:id="176" w:name="_Toc16717"/>
      <w:bookmarkStart w:id="177" w:name="_Toc12587"/>
      <w:bookmarkStart w:id="178" w:name="_Toc127054600"/>
      <w:bookmarkStart w:id="179" w:name="_Toc6806_WPSOffice_Level2"/>
      <w:r>
        <w:rPr>
          <w:rFonts w:hint="eastAsia" w:ascii="仿宋_GB2312" w:hAnsi="仿宋_GB2312" w:cs="仿宋_GB2312"/>
          <w:color w:val="auto"/>
          <w:highlight w:val="none"/>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1.强化预算管理。建立科学的预算管理体系，制定合理的预算方案和控制措施，确保项目的经费得到了有效控制。同时，注重预算的精细化管理，加强预算分析和调整，避免出现预算超支或浪费的情况。</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val="en-US" w:eastAsia="zh-CN"/>
        </w:rPr>
        <w:t>2.坚持以粮食安全、结构合理、农民增收为基本任务。巩固脱贫攻坚成果和接续乡村振兴有效衔接，突出保粮食安全和保农民收入协调统一，优先保障对种植粮食作物的耕地进行补贴。</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3.坚持以农民主体、政策引导、政府依法监管为基本遵循。以保障合法种植者基本收益为出发点和落脚点，结合自治区切块下达资金总量，参照自治区、喀什地区统一规定的补贴对象、标准、条件和程序，制定补贴政策实施方案。</w:t>
      </w:r>
    </w:p>
    <w:p>
      <w:pPr>
        <w:pStyle w:val="52"/>
        <w:keepNext w:val="0"/>
        <w:keepLines w:val="0"/>
        <w:spacing w:line="520" w:lineRule="exact"/>
        <w:ind w:left="560"/>
        <w:jc w:val="both"/>
        <w:rPr>
          <w:rFonts w:ascii="仿宋_GB2312" w:hAnsi="仿宋_GB2312" w:cs="仿宋_GB2312"/>
          <w:color w:val="auto"/>
          <w:sz w:val="18"/>
          <w:szCs w:val="18"/>
          <w:highlight w:val="none"/>
        </w:rPr>
      </w:pPr>
      <w:bookmarkStart w:id="180" w:name="_Toc29645_WPSOffice_Level2"/>
      <w:bookmarkStart w:id="181" w:name="_Toc2377_WPSOffice_Level2"/>
      <w:bookmarkStart w:id="182" w:name="_Toc14455"/>
      <w:bookmarkStart w:id="183" w:name="_Toc22477"/>
      <w:bookmarkStart w:id="184" w:name="_Toc30239"/>
      <w:bookmarkStart w:id="185" w:name="_Toc14241"/>
      <w:bookmarkStart w:id="186" w:name="_Toc27136_WPSOffice_Level2"/>
      <w:bookmarkStart w:id="187" w:name="_Toc22757"/>
      <w:bookmarkStart w:id="188" w:name="_Toc127054601"/>
      <w:bookmarkStart w:id="189" w:name="_Toc16479"/>
      <w:r>
        <w:rPr>
          <w:rFonts w:hint="eastAsia" w:ascii="仿宋_GB2312" w:hAnsi="仿宋_GB2312" w:cs="仿宋_GB2312"/>
          <w:color w:val="auto"/>
          <w:highlight w:val="none"/>
        </w:rPr>
        <w:t>（二）存在</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eastAsia" w:ascii="仿宋_GB2312" w:hAnsi="仿宋_GB2312" w:cs="仿宋_GB2312"/>
          <w:color w:val="auto"/>
          <w:highlight w:val="none"/>
          <w:lang w:val="en-US" w:eastAsia="zh-CN"/>
        </w:rPr>
      </w:pPr>
      <w:bookmarkStart w:id="190" w:name="_Toc20951"/>
      <w:bookmarkStart w:id="191" w:name="_Toc13442"/>
      <w:bookmarkStart w:id="192" w:name="_Toc31693"/>
      <w:bookmarkStart w:id="193" w:name="_Toc25046"/>
      <w:bookmarkStart w:id="194" w:name="_Toc12413_WPSOffice_Level1"/>
      <w:bookmarkStart w:id="195" w:name="_Toc8075"/>
      <w:bookmarkStart w:id="196" w:name="_Toc15650_WPSOffice_Level1"/>
      <w:bookmarkStart w:id="197" w:name="_Toc127054602"/>
      <w:bookmarkStart w:id="198" w:name="_Toc26233_WPSOffice_Level1"/>
      <w:bookmarkStart w:id="199" w:name="_Toc16264"/>
      <w:r>
        <w:rPr>
          <w:rFonts w:hint="eastAsia" w:ascii="仿宋_GB2312" w:hAnsi="仿宋_GB2312" w:cs="仿宋_GB2312"/>
          <w:color w:val="auto"/>
          <w:highlight w:val="none"/>
          <w:lang w:val="en-US" w:eastAsia="zh-CN"/>
        </w:rPr>
        <w:t>1.补贴政策与市场需求脱节。当前补贴政策主要侧重于对耕地的直接补贴，而较少考虑市场需求和农业结构调整。这可能导致农民过于依赖补贴，而忽略市场需求的变化，从而影响农业的长远发展。</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2.补贴对象识别不精准。在补贴对象的识别上，有时存在不准确、不精细的情况。这可能导致一些真正需要补贴的农民无法获得支持，而一些不符合条件的农户却能够享受补贴，影响了政策的公平性和有效性。</w:t>
      </w:r>
    </w:p>
    <w:p>
      <w:pPr>
        <w:pStyle w:val="52"/>
        <w:keepNext w:val="0"/>
        <w:keepLines w:val="0"/>
        <w:spacing w:line="520" w:lineRule="exact"/>
        <w:ind w:left="560"/>
        <w:jc w:val="both"/>
        <w:rPr>
          <w:rFonts w:hint="eastAsia" w:ascii="仿宋_GB2312" w:hAnsi="仿宋_GB2312" w:cs="仿宋_GB2312"/>
          <w:color w:val="auto"/>
          <w:sz w:val="21"/>
          <w:szCs w:val="21"/>
          <w:highlight w:val="none"/>
          <w:lang w:val="en-US" w:eastAsia="zh-CN"/>
        </w:rPr>
      </w:pPr>
      <w:r>
        <w:rPr>
          <w:rFonts w:hint="eastAsia" w:ascii="仿宋_GB2312" w:hAnsi="仿宋_GB2312" w:cs="仿宋_GB2312"/>
          <w:color w:val="auto"/>
          <w:highlight w:val="none"/>
          <w:lang w:val="en-US" w:eastAsia="zh-CN"/>
        </w:rPr>
        <w:t>（三）下一步改进措施</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highlight w:val="none"/>
        </w:rPr>
        <w:t>1.加强政策与市场对接</w:t>
      </w:r>
      <w:r>
        <w:rPr>
          <w:rFonts w:hint="eastAsia" w:ascii="仿宋_GB2312" w:hAnsi="仿宋_GB2312" w:cs="仿宋_GB2312"/>
          <w:color w:val="auto"/>
          <w:highlight w:val="none"/>
          <w:lang w:val="en-US" w:eastAsia="zh-CN"/>
        </w:rPr>
        <w:t>。</w:t>
      </w:r>
      <w:r>
        <w:rPr>
          <w:rFonts w:hint="eastAsia" w:ascii="仿宋_GB2312" w:hAnsi="仿宋_GB2312" w:cs="仿宋_GB2312"/>
          <w:color w:val="auto"/>
          <w:highlight w:val="none"/>
        </w:rPr>
        <w:t>在制定补贴政策时，应充分考虑市场需求和农业结构调整的需要，引导农民根据市场需求调整种植结构，提高农业的市场竞争力。</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kern w:val="0"/>
          <w:sz w:val="28"/>
          <w:szCs w:val="28"/>
          <w:highlight w:val="none"/>
          <w:lang w:val="en-US" w:eastAsia="zh-CN" w:bidi="ar-SA"/>
        </w:rPr>
        <w:t>2.完善补贴对象识别机制</w:t>
      </w:r>
      <w:r>
        <w:rPr>
          <w:rFonts w:hint="eastAsia" w:ascii="仿宋_GB2312" w:hAnsi="仿宋_GB2312" w:cs="仿宋_GB2312"/>
          <w:color w:val="auto"/>
          <w:highlight w:val="none"/>
          <w:lang w:val="en-US" w:eastAsia="zh-CN"/>
        </w:rPr>
        <w:t>。</w:t>
      </w:r>
      <w:r>
        <w:rPr>
          <w:rFonts w:hint="eastAsia" w:ascii="仿宋_GB2312" w:hAnsi="仿宋_GB2312" w:cs="仿宋_GB2312"/>
          <w:color w:val="auto"/>
          <w:kern w:val="0"/>
          <w:sz w:val="28"/>
          <w:szCs w:val="28"/>
          <w:highlight w:val="none"/>
          <w:lang w:val="en-US" w:eastAsia="zh-CN" w:bidi="ar-SA"/>
        </w:rPr>
        <w:t>建立更加完善、精准的补贴对象识别机制，通过严格的审核和评估，确保补贴资金能够准确发放到真正需要支持的农民手中。</w:t>
      </w:r>
      <w:r>
        <w:rPr>
          <w:rFonts w:hint="eastAsia" w:ascii="仿宋_GB2312" w:hAnsi="仿宋_GB2312" w:cs="仿宋_GB2312"/>
          <w:color w:val="auto"/>
          <w:highlight w:val="none"/>
          <w:lang w:val="en-US" w:eastAsia="zh-CN"/>
        </w:rPr>
        <w:t>注重将补贴资金监管由“事后补救”向“事前预防”转移，实行逐级申报审核，严肃发放程序，确保耕地地力保护补贴政策落实落细。</w:t>
      </w:r>
    </w:p>
    <w:p>
      <w:pPr>
        <w:pStyle w:val="31"/>
        <w:keepNext w:val="0"/>
        <w:keepLines w:val="0"/>
        <w:spacing w:line="520" w:lineRule="exact"/>
        <w:ind w:firstLine="640" w:firstLineChars="200"/>
        <w:jc w:val="both"/>
        <w:rPr>
          <w:color w:val="auto"/>
          <w:sz w:val="21"/>
          <w:szCs w:val="21"/>
          <w:highlight w:val="none"/>
        </w:rPr>
      </w:pPr>
      <w:r>
        <w:rPr>
          <w:rFonts w:hint="eastAsia"/>
          <w:color w:val="auto"/>
          <w:highlight w:val="none"/>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default" w:ascii="仿宋_GB2312" w:hAnsi="仿宋_GB2312" w:cs="仿宋_GB2312"/>
          <w:color w:val="auto"/>
          <w:highlight w:val="none"/>
          <w:lang w:val="en-US" w:eastAsia="zh-CN"/>
        </w:rPr>
      </w:pPr>
      <w:bookmarkStart w:id="200" w:name="_Toc17796"/>
      <w:bookmarkStart w:id="201" w:name="_Toc23889"/>
      <w:bookmarkStart w:id="202" w:name="_Toc28208_WPSOffice_Level1"/>
      <w:bookmarkStart w:id="203" w:name="_Toc5941_WPSOffice_Level1"/>
      <w:bookmarkStart w:id="204" w:name="_Toc127054603"/>
      <w:bookmarkStart w:id="205" w:name="_Toc29208"/>
      <w:bookmarkStart w:id="206" w:name="_Toc30131"/>
      <w:bookmarkStart w:id="207" w:name="_Toc20924_WPSOffice_Level1"/>
      <w:bookmarkStart w:id="208" w:name="_Toc7041"/>
      <w:bookmarkStart w:id="209" w:name="_Toc6873"/>
      <w:r>
        <w:rPr>
          <w:rFonts w:hint="eastAsia" w:ascii="仿宋_GB2312" w:hAnsi="仿宋_GB2312" w:cs="仿宋_GB2312"/>
          <w:color w:val="auto"/>
          <w:highlight w:val="none"/>
        </w:rPr>
        <w:t>1.</w:t>
      </w:r>
      <w:r>
        <w:rPr>
          <w:rFonts w:hint="eastAsia" w:ascii="仿宋_GB2312" w:hAnsi="仿宋_GB2312" w:cs="仿宋_GB2312"/>
          <w:color w:val="auto"/>
          <w:highlight w:val="none"/>
          <w:lang w:val="en-US" w:eastAsia="zh-CN"/>
        </w:rPr>
        <w:t>建议建立和完善动态调整机制。针对补贴政策中存在的问题和不足，建立动态调整机制，根据实际情况和农民需求对政策进行适时调整和优化。</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2.建议进一步加强政策宣传与培训。通过多种形式加强政策宣传和培训力度，提高农民对补贴政策的认知度和参与度，引导他们正确理解和使用政策。</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3.建议建立和壮大农民互助合作组织。引导农民建立互助合作组织，共同开展耕地地力保护和农业生产活动，提高农民的组织化程度和市场竞争力。</w:t>
      </w:r>
    </w:p>
    <w:p>
      <w:pPr>
        <w:pStyle w:val="31"/>
        <w:keepNext w:val="0"/>
        <w:keepLines w:val="0"/>
        <w:spacing w:line="520" w:lineRule="exact"/>
        <w:ind w:firstLine="640" w:firstLineChars="200"/>
        <w:jc w:val="both"/>
        <w:rPr>
          <w:color w:val="auto"/>
          <w:highlight w:val="none"/>
        </w:rPr>
      </w:pPr>
      <w:r>
        <w:rPr>
          <w:rFonts w:hint="eastAsia"/>
          <w:color w:val="auto"/>
          <w:highlight w:val="none"/>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pPr>
        <w:pStyle w:val="32"/>
        <w:ind w:firstLine="560"/>
        <w:rPr>
          <w:color w:val="auto"/>
          <w:highlight w:val="none"/>
        </w:rPr>
      </w:pPr>
      <w:bookmarkStart w:id="210" w:name="_Toc25689_WPSOffice_Level1"/>
      <w:bookmarkStart w:id="211" w:name="_Toc30582_WPSOffice_Level1"/>
    </w:p>
    <w:p>
      <w:pPr>
        <w:pStyle w:val="32"/>
        <w:ind w:firstLine="560"/>
        <w:rPr>
          <w:color w:val="auto"/>
          <w:highlight w:val="none"/>
        </w:rPr>
      </w:pPr>
      <w:bookmarkStart w:id="212" w:name="_Toc13636_WPSOffice_Level1"/>
      <w:r>
        <w:rPr>
          <w:rFonts w:hint="eastAsia"/>
          <w:color w:val="auto"/>
          <w:highlight w:val="none"/>
        </w:rPr>
        <w:t>附件1：综合评分表</w:t>
      </w:r>
      <w:bookmarkEnd w:id="210"/>
      <w:bookmarkEnd w:id="211"/>
      <w:bookmarkEnd w:id="212"/>
    </w:p>
    <w:p>
      <w:pPr>
        <w:pStyle w:val="32"/>
        <w:ind w:firstLine="560"/>
        <w:rPr>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32"/>
        <w:ind w:firstLine="0" w:firstLineChars="0"/>
        <w:rPr>
          <w:rFonts w:ascii="仿宋_GB2312" w:hAnsi="仿宋_GB2312" w:cs="仿宋_GB2312"/>
          <w:b/>
          <w:bCs/>
          <w:color w:val="auto"/>
          <w:highlight w:val="none"/>
        </w:rPr>
      </w:pPr>
      <w:bookmarkStart w:id="213" w:name="_Toc25446_WPSOffice_Level1"/>
      <w:bookmarkStart w:id="214" w:name="_Toc12641_WPSOffice_Level1"/>
      <w:bookmarkStart w:id="215" w:name="_Toc13717_WPSOffice_Level1"/>
      <w:r>
        <w:rPr>
          <w:rFonts w:hint="eastAsia" w:ascii="仿宋_GB2312" w:hAnsi="仿宋_GB2312" w:cs="仿宋_GB2312"/>
          <w:b/>
          <w:bCs/>
          <w:color w:val="auto"/>
          <w:highlight w:val="none"/>
        </w:rPr>
        <w:t>附件1：综合评分表</w:t>
      </w:r>
      <w:bookmarkEnd w:id="213"/>
      <w:bookmarkEnd w:id="214"/>
      <w:bookmarkEnd w:id="215"/>
    </w:p>
    <w:p>
      <w:pPr>
        <w:pStyle w:val="32"/>
        <w:ind w:firstLine="562"/>
        <w:jc w:val="center"/>
        <w:rPr>
          <w:b/>
          <w:bCs/>
          <w:color w:val="auto"/>
          <w:highlight w:val="none"/>
        </w:rPr>
      </w:pPr>
      <w:bookmarkStart w:id="216" w:name="_Toc30064_WPSOffice_Level1"/>
      <w:bookmarkStart w:id="217" w:name="_Toc26499_WPSOffice_Level2"/>
      <w:bookmarkStart w:id="218" w:name="_Toc12492_WPSOffice_Level2"/>
      <w:r>
        <w:rPr>
          <w:rFonts w:hint="eastAsia"/>
          <w:b/>
          <w:bCs/>
          <w:color w:val="auto"/>
          <w:highlight w:val="none"/>
          <w:lang w:eastAsia="zh-CN"/>
        </w:rPr>
        <w:t>耕地地力保护补贴项目</w:t>
      </w:r>
      <w:r>
        <w:rPr>
          <w:rFonts w:hint="eastAsia"/>
          <w:b/>
          <w:bCs/>
          <w:color w:val="auto"/>
          <w:highlight w:val="none"/>
        </w:rPr>
        <w:t>绩效评价指标体系及综合评分表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321"/>
        <w:gridCol w:w="1005"/>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trPr>
        <w:tc>
          <w:tcPr>
            <w:tcW w:w="953" w:type="dxa"/>
            <w:shd w:val="clear" w:color="auto" w:fill="FFFFFF"/>
            <w:vAlign w:val="center"/>
          </w:tcPr>
          <w:p>
            <w:pPr>
              <w:ind w:firstLine="0" w:firstLineChars="0"/>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一级指标</w:t>
            </w:r>
          </w:p>
        </w:tc>
        <w:tc>
          <w:tcPr>
            <w:tcW w:w="132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二级指标</w:t>
            </w:r>
          </w:p>
        </w:tc>
        <w:tc>
          <w:tcPr>
            <w:tcW w:w="100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三级指标</w:t>
            </w:r>
          </w:p>
        </w:tc>
        <w:tc>
          <w:tcPr>
            <w:tcW w:w="231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指标解释</w:t>
            </w:r>
          </w:p>
        </w:tc>
        <w:tc>
          <w:tcPr>
            <w:tcW w:w="75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分值</w:t>
            </w:r>
          </w:p>
        </w:tc>
        <w:tc>
          <w:tcPr>
            <w:tcW w:w="6140" w:type="dxa"/>
            <w:shd w:val="clear" w:color="auto" w:fill="FFFFFF"/>
            <w:vAlign w:val="center"/>
          </w:tcPr>
          <w:p>
            <w:pPr>
              <w:ind w:firstLine="361"/>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指标说明</w:t>
            </w:r>
          </w:p>
        </w:tc>
        <w:tc>
          <w:tcPr>
            <w:tcW w:w="717" w:type="dxa"/>
            <w:noWrap/>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得分</w:t>
            </w:r>
          </w:p>
        </w:tc>
        <w:tc>
          <w:tcPr>
            <w:tcW w:w="963" w:type="dxa"/>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决策</w:t>
            </w:r>
          </w:p>
          <w:p>
            <w:pPr>
              <w:ind w:firstLine="0" w:firstLineChars="0"/>
              <w:jc w:val="center"/>
              <w:textAlignment w:val="center"/>
              <w:rPr>
                <w:rFonts w:hint="default" w:eastAsia="仿宋_GB2312"/>
                <w:color w:val="auto"/>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20分）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决策</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20分）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项目立项</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立项依据充分性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项目立项是否符合法律法规、相关政策、发展规划以及部门职责，用以反映和考核项目立项依据情况。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①项目立项符合国家法律法规、国民经济发展规划和相关政策（1分）；否则，不得分。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②项目立项符合行业发展规划和政策要求（1分）否则，不得分；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③项目立项与部门职责范围相符，属于部门履职所需（1分）否则，不得分；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④项目属于公共财政支持范围，符合中央、地方事权支出责任划分原则（1分）否则，不得分；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立项程序规范性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项目申请、设立过程是否符合相关要求，用以反映和考核项目立项的规范情况。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①项目按照规定的程序申请设立（1分）否则，不得分；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②审批文件、材料符合相关要求（1分）否则，不得分；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绩效目标</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5分）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绩效目标合理性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项目所设定的绩效目标是否依据充分，是否符合客观实际，用以反映和考核项目绩效目标与项目实施的相符情况。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①项目有绩效目标，（1分），否则，不得分；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②项目绩效目标与实际工作内容具有相关性，预期产出效益和效果符合正常的业绩水平，否则，不得分（1分）；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绩效指标明确性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依据绩效目标设定的绩效指标是否清晰、细化、可衡量等，用以反映和考核项目绩效目标的明细化情况。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①项目绩效目标细化分解为具体的绩效指标，（1分）否则，不得分；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资金投入</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预算编制科学性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项目预算编制是否经过科学论证、有明确标准，资金额度与年度目标是否相适应，用以反映和考核项目预算编制的科学性、合理性情况。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①预算编制经过科学论证（1分）否则，不得分；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②预算内容与项目内容匹配（1.5分）否则，不得分；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③预算额度测算依据充分，按照标准编制（1.5分）否则，不得分；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资金分配合理性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项目预算资金分配是否有测算依据，与补助单位或地方实际是否相适应，用以反映和考核项目预算资金分配的科学性、合理性情况。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①预算资金分配依据充分（1分）否则，不得分；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过程</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15分）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过程</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15分）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资金管理</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资金到位率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实际到位资金与预算资金的比率，用以反映和考核资金落实情况对项目实施的总体保障程度。</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①资金到位率为100%的，得满分。（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 xml:space="preserve">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②资金未全额到位的，按照满分乘以到位率计算得分。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预算执行率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项目预算资金是否按照计划执行，用以反映或考核项目预算执行情况</w:t>
            </w:r>
            <w:r>
              <w:rPr>
                <w:rFonts w:hint="eastAsia" w:ascii="仿宋_GB2312" w:hAnsi="仿宋_GB2312" w:cs="仿宋_GB2312"/>
                <w:color w:val="auto"/>
                <w:kern w:val="0"/>
                <w:sz w:val="18"/>
                <w:szCs w:val="18"/>
                <w:highlight w:val="none"/>
                <w:lang w:bidi="ar"/>
              </w:rPr>
              <w:t>。</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①预算执行率为100%的，得满分（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eastAsia="zh-CN" w:bidi="ar"/>
              </w:rPr>
              <w:t>②资金未执行完毕的，按照满分乘以执行率计算得分。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（预算执行率=（实际支出资金/实际到位资金）×100%）。</w:t>
            </w:r>
          </w:p>
        </w:tc>
        <w:tc>
          <w:tcPr>
            <w:tcW w:w="717"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资金使用合规性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项目资金使用是否符合相关的财务管理制度规定，用以反映和考核项目资金的规范运行情况。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①符合国家财经法规和财务管理制度以及有关专项资金管理办法的规定（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②资金的拨付有完整的审批程序和手续（</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③符合项目预算批复或合同规定的用途（</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④不存在截留、挤占、挪用、虚列支出等情况（</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组织实施</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管理制度健全性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项目实施单位的财务和业务管理制度是否健全，用以反映和考核财务和业务管理制度对项目顺利实施的保障情况。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①已制定或具有相应的财务和业务管理制度（</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②财务和业务管理制度合法、合规、完整（</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bidi="ar"/>
              </w:rPr>
              <w:t>制度执行有效性</w:t>
            </w:r>
          </w:p>
        </w:tc>
        <w:tc>
          <w:tcPr>
            <w:tcW w:w="231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项目实施是否符合相关管理规定，用以反映和考核相关管理制度的有效执行情况。</w:t>
            </w:r>
          </w:p>
        </w:tc>
        <w:tc>
          <w:tcPr>
            <w:tcW w:w="751"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①遵守相关法律法规和相关管理规定（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②项目调整及支出调整手续完备（</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③项目合同书、验收报告、技术鉴定等资料齐全并及时归档（</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④项目实施的人员条件、场地设备、信息支撑等落实到位（</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firstLineChars="20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项目实施管理规范性</w:t>
            </w:r>
          </w:p>
        </w:tc>
        <w:tc>
          <w:tcPr>
            <w:tcW w:w="2315" w:type="dxa"/>
            <w:shd w:val="clear" w:color="auto" w:fill="FFFFFF"/>
            <w:vAlign w:val="center"/>
          </w:tcPr>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color w:val="auto"/>
                <w:kern w:val="0"/>
                <w:sz w:val="18"/>
                <w:szCs w:val="18"/>
                <w:highlight w:val="none"/>
                <w:lang w:eastAsia="zh-CN" w:bidi="ar"/>
              </w:rPr>
              <w:t>。</w:t>
            </w:r>
          </w:p>
        </w:tc>
        <w:tc>
          <w:tcPr>
            <w:tcW w:w="751" w:type="dxa"/>
            <w:shd w:val="clear" w:color="auto" w:fill="FFFFFF"/>
            <w:vAlign w:val="center"/>
          </w:tcPr>
          <w:p>
            <w:pPr>
              <w:ind w:firstLine="0" w:firstLineChars="0"/>
              <w:jc w:val="center"/>
              <w:textAlignment w:val="center"/>
              <w:rPr>
                <w:rFonts w:hint="default"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3</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①承接主体项目管理制度健全，项目实施符合相关项目管理规定</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②建立了实施领导机制并建立了完善的实施方案</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③建立了项目台账，台账记录全面、完整</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④能接受和配合相关部门的监督检查及绩效评价</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r>
              <w:rPr>
                <w:rFonts w:hint="eastAsia" w:ascii="仿宋_GB2312" w:hAnsi="仿宋_GB2312" w:cs="仿宋_GB2312"/>
                <w:color w:val="auto"/>
                <w:kern w:val="0"/>
                <w:sz w:val="18"/>
                <w:szCs w:val="18"/>
                <w:highlight w:val="none"/>
                <w:lang w:eastAsia="zh-CN" w:bidi="ar"/>
              </w:rPr>
              <w:t>。</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eastAsia" w:ascii="仿宋_GB2312" w:hAnsi="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产出数量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耕地地力保护补贴冬小麦面积</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项目实施的实际产出数与计划产出数的比率，用以反映和考核项目产出数量目标的实现程度</w:t>
            </w:r>
            <w:r>
              <w:rPr>
                <w:rFonts w:hint="eastAsia" w:ascii="仿宋_GB2312" w:hAnsi="仿宋_GB2312" w:cs="仿宋_GB2312"/>
                <w:color w:val="auto"/>
                <w:kern w:val="0"/>
                <w:sz w:val="18"/>
                <w:szCs w:val="18"/>
                <w:highlight w:val="none"/>
                <w:lang w:bidi="ar"/>
              </w:rPr>
              <w:t>。</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耕地地力保护补贴冬小麦面积年度指标值为大于等于221764.62亩次，实际完成值为221764.62亩次，完成预期目标，根据评分标准，该指标不扣分。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eastAsia="zh-CN"/>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耕地地力保护补贴春小麦面积</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耕地地力保护补贴春小麦面积年度指标值为大于等于3937.53亩，实际完成值为3937.53亩，完成预期目标，根据评分标准，该指标不扣分。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eastAsia="zh-CN"/>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农机购置补贴机具数</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农机购置补贴机具数年度指标值为等于0台，实际完成值为0台，完成预期目标，根据评分标准，该指标不扣分。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产出质量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耕地地力保护补贴资金兑付率</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项目完成的质量达标产出数与实际产出数的比率，用以反映和考核项目产出质量目标的实现程度。</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耕地地力保护补贴资金兑付率年度指标值为等于100%，实际完成值为100%，完成预期目标，根据评分标准，该指标不扣分。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农作物耕种收综合机械化率</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农作物耕种收综合机械化率年度指标值为等于0%，实际完成值为0%，完成预期目标，根据评分标准，该指标不扣分。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资金使用重大违规违纪问题</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资金使用重大违规违纪问题年度指标值为等于0%，实际完成值为0%，完成预期目标，根据评分标准，该指标不扣分。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产出时效</w:t>
            </w: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补贴资金按期发放完成率</w:t>
            </w:r>
          </w:p>
        </w:tc>
        <w:tc>
          <w:tcPr>
            <w:tcW w:w="2315" w:type="dxa"/>
            <w:vMerge w:val="restart"/>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项目实际完成时间与计划完成时间的比较，用以反映和考核项目产出时效目标的实现程度。</w:t>
            </w:r>
          </w:p>
        </w:tc>
        <w:tc>
          <w:tcPr>
            <w:tcW w:w="751" w:type="dxa"/>
            <w:vMerge w:val="restart"/>
            <w:vAlign w:val="center"/>
          </w:tcPr>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8</w:t>
            </w: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补贴资金按期发放完成率年度指标值为等于100%，实际完成值为100%，完成预期目标，根据评分标准，该指标不扣分。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8</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耕地地力保护补贴发放时限</w:t>
            </w:r>
          </w:p>
        </w:tc>
        <w:tc>
          <w:tcPr>
            <w:tcW w:w="2315" w:type="dxa"/>
            <w:vMerge w:val="continue"/>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耕地地力保护补贴发放时限年度指标值为2023年9月25日前，实际完成值为2023年9月14日，完成预期目标，根据评分标准，该指标不扣分。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农机购置补贴年度资金兑付率</w:t>
            </w:r>
          </w:p>
        </w:tc>
        <w:tc>
          <w:tcPr>
            <w:tcW w:w="2315" w:type="dxa"/>
            <w:vMerge w:val="continue"/>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农机购置补贴年度资金兑付率年度指标值为等于0%，实际完成值为0%，完成预期目标，根据评分标准，该指标不扣分。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产出成本</w:t>
            </w: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冬小麦平均补助标准</w:t>
            </w:r>
          </w:p>
        </w:tc>
        <w:tc>
          <w:tcPr>
            <w:tcW w:w="2315" w:type="dxa"/>
            <w:vMerge w:val="restart"/>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完成项目计划工作目标的实际节约成本与计划成本的比率，用以反映和考核项目的成本节约程度。</w:t>
            </w:r>
          </w:p>
        </w:tc>
        <w:tc>
          <w:tcPr>
            <w:tcW w:w="751" w:type="dxa"/>
            <w:vMerge w:val="restart"/>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冬小麦平均补助标准年度指标值为小于等于155.38元/亩次，实际完成值为155.38元/亩次，完成预期目标，根据评分标准，该指标不扣分。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春小麦平均补助标准</w:t>
            </w:r>
          </w:p>
        </w:tc>
        <w:tc>
          <w:tcPr>
            <w:tcW w:w="2315" w:type="dxa"/>
            <w:vMerge w:val="continue"/>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春小麦平均补助标准年度指标值为小于等于230元/亩，实际完成值为230元/亩，完成预期目标，根据评分标准，该指标不扣分。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效益</w:t>
            </w: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30分）</w:t>
            </w: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效益</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30分）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项目效益</w:t>
            </w: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项目效益</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种粮农民积极性</w:t>
            </w:r>
          </w:p>
        </w:tc>
        <w:tc>
          <w:tcPr>
            <w:tcW w:w="2315" w:type="dxa"/>
            <w:vMerge w:val="restart"/>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社会</w:t>
            </w:r>
            <w:r>
              <w:rPr>
                <w:rFonts w:hint="eastAsia" w:ascii="仿宋_GB2312" w:hAnsi="仿宋_GB2312" w:cs="仿宋_GB2312"/>
                <w:color w:val="auto"/>
                <w:kern w:val="0"/>
                <w:sz w:val="18"/>
                <w:szCs w:val="18"/>
                <w:highlight w:val="none"/>
                <w:lang w:bidi="ar"/>
              </w:rPr>
              <w:t>效益。</w:t>
            </w: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hint="eastAsia" w:ascii="仿宋_GB2312" w:hAnsi="仿宋_GB2312" w:cs="仿宋_GB2312"/>
                <w:color w:val="auto"/>
                <w:kern w:val="0"/>
                <w:sz w:val="18"/>
                <w:szCs w:val="18"/>
                <w:highlight w:val="none"/>
                <w:lang w:bidi="ar"/>
              </w:rPr>
            </w:pPr>
          </w:p>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社会</w:t>
            </w:r>
            <w:r>
              <w:rPr>
                <w:rFonts w:hint="eastAsia" w:ascii="仿宋_GB2312" w:hAnsi="仿宋_GB2312" w:cs="仿宋_GB2312"/>
                <w:color w:val="auto"/>
                <w:kern w:val="0"/>
                <w:sz w:val="18"/>
                <w:szCs w:val="18"/>
                <w:highlight w:val="none"/>
                <w:lang w:bidi="ar"/>
              </w:rPr>
              <w:t>效益。</w:t>
            </w:r>
          </w:p>
        </w:tc>
        <w:tc>
          <w:tcPr>
            <w:tcW w:w="751" w:type="dxa"/>
            <w:vMerge w:val="restart"/>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20</w:t>
            </w: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20</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种粮农民积极性年度指标值为有所提高，实际完成值为有所提高 ，完成预期目标，根据评分标准，该指标不扣分。</w:t>
            </w:r>
          </w:p>
        </w:tc>
        <w:tc>
          <w:tcPr>
            <w:tcW w:w="717" w:type="dxa"/>
            <w:vMerge w:val="restart"/>
            <w:noWrap/>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20</w:t>
            </w: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180" w:firstLineChars="100"/>
              <w:jc w:val="center"/>
              <w:textAlignment w:val="center"/>
              <w:rPr>
                <w:rFonts w:hint="eastAsia" w:ascii="仿宋_GB2312" w:hAnsi="仿宋_GB2312" w:cs="仿宋_GB2312"/>
                <w:color w:val="auto"/>
                <w:kern w:val="0"/>
                <w:sz w:val="18"/>
                <w:szCs w:val="18"/>
                <w:highlight w:val="none"/>
                <w:lang w:bidi="ar"/>
              </w:rPr>
            </w:pPr>
          </w:p>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20</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保障粮食安全能力</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保障粮食安全能力年度指标值为有效保障，实际完成值为有效保障，完成预期目标，根据评分标准，该指标不扣分。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种粮农民受益</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种粮农民受益年度指标值为有效确保，实际完成值为有效确保，完成预期目标，根据评分标准，该指标不扣分。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eastAsia="zh-CN" w:bidi="ar"/>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农机购置补贴受益户数</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180" w:firstLineChars="100"/>
              <w:jc w:val="center"/>
              <w:textAlignment w:val="center"/>
              <w:rPr>
                <w:rFonts w:hint="eastAsia" w:ascii="仿宋_GB2312" w:hAnsi="仿宋_GB2312" w:cs="仿宋_GB2312"/>
                <w:color w:val="auto"/>
                <w:kern w:val="0"/>
                <w:sz w:val="18"/>
                <w:szCs w:val="18"/>
                <w:highlight w:val="none"/>
                <w:lang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农机购置补贴受益户数年度指标值为等于0户，实际完成值为0户，完成预期目标，根据评分标准，该指标不扣分。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val="en-US" w:eastAsia="zh-CN" w:bidi="ar"/>
              </w:rPr>
              <w:t>满意度</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社会公众或服务对象对项目实施效果的满意程度。</w:t>
            </w:r>
          </w:p>
        </w:tc>
        <w:tc>
          <w:tcPr>
            <w:tcW w:w="751" w:type="dxa"/>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根据问卷调查，受益群众满意度达到满意的人数：                                      ①人数大于等于98%，得</w:t>
            </w:r>
            <w:r>
              <w:rPr>
                <w:rFonts w:hint="eastAsia" w:ascii="仿宋_GB2312" w:hAnsi="仿宋_GB2312" w:cs="仿宋_GB2312"/>
                <w:color w:val="auto"/>
                <w:kern w:val="0"/>
                <w:sz w:val="18"/>
                <w:szCs w:val="18"/>
                <w:highlight w:val="none"/>
                <w:lang w:bidi="ar"/>
              </w:rPr>
              <w:t>10分</w:t>
            </w:r>
            <w:r>
              <w:rPr>
                <w:rFonts w:hint="eastAsia" w:ascii="仿宋_GB2312" w:hAnsi="仿宋_GB2312" w:cs="仿宋_GB2312"/>
                <w:color w:val="auto"/>
                <w:kern w:val="0"/>
                <w:sz w:val="18"/>
                <w:szCs w:val="18"/>
                <w:highlight w:val="none"/>
                <w:lang w:bidi="ar"/>
              </w:rPr>
              <w:t>；</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②人数小于98%大于等于8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%，得8分；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③人数小于8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%大于等于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0%，得5分；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④人数小于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合计</w:t>
            </w:r>
          </w:p>
        </w:tc>
        <w:tc>
          <w:tcPr>
            <w:tcW w:w="2315" w:type="dxa"/>
            <w:noWrap/>
            <w:vAlign w:val="center"/>
          </w:tcPr>
          <w:p>
            <w:pPr>
              <w:ind w:firstLine="360"/>
              <w:jc w:val="left"/>
              <w:rPr>
                <w:rFonts w:ascii="仿宋_GB2312" w:hAnsi="仿宋_GB2312" w:cs="仿宋_GB2312"/>
                <w:color w:val="auto"/>
                <w:sz w:val="18"/>
                <w:szCs w:val="18"/>
                <w:highlight w:val="none"/>
              </w:rPr>
            </w:pPr>
          </w:p>
        </w:tc>
        <w:tc>
          <w:tcPr>
            <w:tcW w:w="751" w:type="dxa"/>
            <w:noWrap/>
            <w:vAlign w:val="center"/>
          </w:tcPr>
          <w:p>
            <w:pPr>
              <w:ind w:firstLine="180" w:firstLineChars="10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100</w:t>
            </w:r>
          </w:p>
        </w:tc>
        <w:tc>
          <w:tcPr>
            <w:tcW w:w="6140" w:type="dxa"/>
            <w:vAlign w:val="center"/>
          </w:tcPr>
          <w:p>
            <w:pPr>
              <w:ind w:firstLine="360"/>
              <w:jc w:val="left"/>
              <w:rPr>
                <w:rFonts w:ascii="仿宋_GB2312" w:hAnsi="仿宋_GB2312" w:cs="仿宋_GB2312"/>
                <w:color w:val="auto"/>
                <w:sz w:val="18"/>
                <w:szCs w:val="18"/>
                <w:highlight w:val="none"/>
              </w:rPr>
            </w:pP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w:t>
            </w:r>
          </w:p>
        </w:tc>
        <w:tc>
          <w:tcPr>
            <w:tcW w:w="963" w:type="dxa"/>
            <w:vAlign w:val="center"/>
          </w:tcPr>
          <w:p>
            <w:pPr>
              <w:ind w:firstLine="360"/>
              <w:jc w:val="left"/>
              <w:rPr>
                <w:rFonts w:ascii="宋体" w:hAnsi="宋体" w:eastAsia="宋体" w:cs="宋体"/>
                <w:color w:val="auto"/>
                <w:sz w:val="18"/>
                <w:szCs w:val="18"/>
                <w:highlight w:val="none"/>
              </w:rPr>
            </w:pPr>
          </w:p>
        </w:tc>
      </w:tr>
    </w:tbl>
    <w:p>
      <w:pPr>
        <w:pStyle w:val="24"/>
        <w:ind w:firstLine="0" w:firstLineChars="0"/>
        <w:jc w:val="both"/>
        <w:rPr>
          <w:color w:val="auto"/>
          <w:highlight w:val="none"/>
        </w:rPr>
      </w:pPr>
    </w:p>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4195445</wp:posOffset>
              </wp:positionH>
              <wp:positionV relativeFrom="paragraph">
                <wp:posOffset>0</wp:posOffset>
              </wp:positionV>
              <wp:extent cx="114871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871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30.35pt;margin-top:0pt;height:15.5pt;width:90.45pt;mso-position-horizontal-relative:margin;z-index:251659264;mso-width-relative:page;mso-height-relative:page;" filled="f" stroked="f" coordsize="21600,21600" o:gfxdata="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TsImdUAAAAHAQAADwAAAAAAAAAB&#10;ACAAAAAiAAAAZHJzL2Rvd25yZXYueG1sUEsBAhQAFAAAAAgAh07iQPehocETAgAACAQAAA4AAAAA&#10;AAAAAQAgAAAAJAEAAGRycy9lMm9Eb2MueG1sUEsFBgAAAAAGAAYAWQEAAKkFAAAAAA==&#10;">
              <v:fill on="f" focussize="0,0"/>
              <v:stroke on="f" weight="0.5pt"/>
              <v:imagedata o:title=""/>
              <o:lock v:ext="edit" aspectratio="f"/>
              <v:textbox inset="0mm,0mm,0mm,0mm">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B6D9E"/>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86998"/>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815D5E"/>
    <w:rsid w:val="026A2F69"/>
    <w:rsid w:val="030B1AB8"/>
    <w:rsid w:val="03123D5D"/>
    <w:rsid w:val="034D6604"/>
    <w:rsid w:val="036209C0"/>
    <w:rsid w:val="037312A7"/>
    <w:rsid w:val="03782F41"/>
    <w:rsid w:val="03986262"/>
    <w:rsid w:val="03A70114"/>
    <w:rsid w:val="04253A19"/>
    <w:rsid w:val="04BB38C6"/>
    <w:rsid w:val="04BC3B3D"/>
    <w:rsid w:val="0503292F"/>
    <w:rsid w:val="0525476D"/>
    <w:rsid w:val="05CE3E3D"/>
    <w:rsid w:val="05E90F90"/>
    <w:rsid w:val="06865D48"/>
    <w:rsid w:val="06B83EB3"/>
    <w:rsid w:val="07262D78"/>
    <w:rsid w:val="075F25AF"/>
    <w:rsid w:val="078B51EA"/>
    <w:rsid w:val="07E826EC"/>
    <w:rsid w:val="08707776"/>
    <w:rsid w:val="089A5E49"/>
    <w:rsid w:val="08A600F6"/>
    <w:rsid w:val="08ED117F"/>
    <w:rsid w:val="08F35599"/>
    <w:rsid w:val="09573B92"/>
    <w:rsid w:val="0A4F3616"/>
    <w:rsid w:val="0ADC3B93"/>
    <w:rsid w:val="0B0172C5"/>
    <w:rsid w:val="0B1E67E7"/>
    <w:rsid w:val="0B2127F6"/>
    <w:rsid w:val="0B2A1D37"/>
    <w:rsid w:val="0BB1581B"/>
    <w:rsid w:val="0C3F5E8D"/>
    <w:rsid w:val="0C4A7742"/>
    <w:rsid w:val="0C7A4A86"/>
    <w:rsid w:val="0DAC1116"/>
    <w:rsid w:val="0E3007B9"/>
    <w:rsid w:val="0E56363C"/>
    <w:rsid w:val="0E6517F4"/>
    <w:rsid w:val="0E78758A"/>
    <w:rsid w:val="0E8D7DD7"/>
    <w:rsid w:val="0E9A44F7"/>
    <w:rsid w:val="10034C86"/>
    <w:rsid w:val="103E1EFA"/>
    <w:rsid w:val="10682E2F"/>
    <w:rsid w:val="11BB2DC7"/>
    <w:rsid w:val="11F25929"/>
    <w:rsid w:val="12875D39"/>
    <w:rsid w:val="12A8713D"/>
    <w:rsid w:val="12C51B93"/>
    <w:rsid w:val="12C741DF"/>
    <w:rsid w:val="12CD50A0"/>
    <w:rsid w:val="12D969C7"/>
    <w:rsid w:val="13662317"/>
    <w:rsid w:val="13DE719D"/>
    <w:rsid w:val="13F95FF0"/>
    <w:rsid w:val="140E2CEA"/>
    <w:rsid w:val="14321435"/>
    <w:rsid w:val="14660571"/>
    <w:rsid w:val="14871C95"/>
    <w:rsid w:val="14C60177"/>
    <w:rsid w:val="14DA4EE2"/>
    <w:rsid w:val="153C10C2"/>
    <w:rsid w:val="16D01E15"/>
    <w:rsid w:val="173172B7"/>
    <w:rsid w:val="181B3589"/>
    <w:rsid w:val="181E3BC4"/>
    <w:rsid w:val="18CD18BA"/>
    <w:rsid w:val="18D1673A"/>
    <w:rsid w:val="18F93760"/>
    <w:rsid w:val="19295C24"/>
    <w:rsid w:val="192C294F"/>
    <w:rsid w:val="199C6668"/>
    <w:rsid w:val="19BA10CA"/>
    <w:rsid w:val="1A4F2C08"/>
    <w:rsid w:val="1AFF4AC2"/>
    <w:rsid w:val="1B360920"/>
    <w:rsid w:val="1BC25682"/>
    <w:rsid w:val="1BCA74A1"/>
    <w:rsid w:val="1D1A32A6"/>
    <w:rsid w:val="1D5436AD"/>
    <w:rsid w:val="1DC72C65"/>
    <w:rsid w:val="1DFB36BD"/>
    <w:rsid w:val="1E4A43F1"/>
    <w:rsid w:val="1EB64BE4"/>
    <w:rsid w:val="1ED34B0D"/>
    <w:rsid w:val="1EF10375"/>
    <w:rsid w:val="1FFA4CC5"/>
    <w:rsid w:val="2084503B"/>
    <w:rsid w:val="21382C5B"/>
    <w:rsid w:val="215C7CD8"/>
    <w:rsid w:val="21CF4E39"/>
    <w:rsid w:val="21E617A3"/>
    <w:rsid w:val="225B2CEC"/>
    <w:rsid w:val="23361BDA"/>
    <w:rsid w:val="233D00DC"/>
    <w:rsid w:val="23CF57A2"/>
    <w:rsid w:val="23ED4D27"/>
    <w:rsid w:val="24306342"/>
    <w:rsid w:val="243C5236"/>
    <w:rsid w:val="24676B71"/>
    <w:rsid w:val="25005BCA"/>
    <w:rsid w:val="255432B0"/>
    <w:rsid w:val="25846970"/>
    <w:rsid w:val="26C624DB"/>
    <w:rsid w:val="27313E46"/>
    <w:rsid w:val="27542688"/>
    <w:rsid w:val="27644139"/>
    <w:rsid w:val="27B72D34"/>
    <w:rsid w:val="27C301A8"/>
    <w:rsid w:val="28476855"/>
    <w:rsid w:val="28774F9F"/>
    <w:rsid w:val="288C3648"/>
    <w:rsid w:val="28DC038E"/>
    <w:rsid w:val="291B5757"/>
    <w:rsid w:val="294316F0"/>
    <w:rsid w:val="299F0137"/>
    <w:rsid w:val="29B569A1"/>
    <w:rsid w:val="2A854665"/>
    <w:rsid w:val="2AE37295"/>
    <w:rsid w:val="2AF44640"/>
    <w:rsid w:val="2B194798"/>
    <w:rsid w:val="2B6C4490"/>
    <w:rsid w:val="2B900752"/>
    <w:rsid w:val="2BEF7462"/>
    <w:rsid w:val="2C80637A"/>
    <w:rsid w:val="2CCB7E6F"/>
    <w:rsid w:val="2D2931D0"/>
    <w:rsid w:val="2D3D66BF"/>
    <w:rsid w:val="2D3F2AFD"/>
    <w:rsid w:val="2DD47EDE"/>
    <w:rsid w:val="2DD64A48"/>
    <w:rsid w:val="2DE15631"/>
    <w:rsid w:val="2DF41696"/>
    <w:rsid w:val="30D47661"/>
    <w:rsid w:val="30E407FF"/>
    <w:rsid w:val="30EA3D2D"/>
    <w:rsid w:val="31860484"/>
    <w:rsid w:val="31FA693D"/>
    <w:rsid w:val="32C829D3"/>
    <w:rsid w:val="33740FF7"/>
    <w:rsid w:val="342406A4"/>
    <w:rsid w:val="344A4AD6"/>
    <w:rsid w:val="34A73850"/>
    <w:rsid w:val="34B025B3"/>
    <w:rsid w:val="34F756BE"/>
    <w:rsid w:val="35305CED"/>
    <w:rsid w:val="35892A39"/>
    <w:rsid w:val="368A557D"/>
    <w:rsid w:val="36A01808"/>
    <w:rsid w:val="37481BBA"/>
    <w:rsid w:val="3865573B"/>
    <w:rsid w:val="39EA684A"/>
    <w:rsid w:val="39F21286"/>
    <w:rsid w:val="3A4A3800"/>
    <w:rsid w:val="3B153A51"/>
    <w:rsid w:val="3B1D71FC"/>
    <w:rsid w:val="3BDA7521"/>
    <w:rsid w:val="3C0D491A"/>
    <w:rsid w:val="3C0E4831"/>
    <w:rsid w:val="3C3328C9"/>
    <w:rsid w:val="3C3A5021"/>
    <w:rsid w:val="3C8D4949"/>
    <w:rsid w:val="3DA13A8D"/>
    <w:rsid w:val="3E700B1D"/>
    <w:rsid w:val="3EA34F7D"/>
    <w:rsid w:val="3EB51EFF"/>
    <w:rsid w:val="3EEE2141"/>
    <w:rsid w:val="3EEE6C7A"/>
    <w:rsid w:val="3F882048"/>
    <w:rsid w:val="40117628"/>
    <w:rsid w:val="40623EE5"/>
    <w:rsid w:val="40D44C2B"/>
    <w:rsid w:val="40D57049"/>
    <w:rsid w:val="40F01F9B"/>
    <w:rsid w:val="40F059CE"/>
    <w:rsid w:val="412D32C3"/>
    <w:rsid w:val="41760F4B"/>
    <w:rsid w:val="425526D1"/>
    <w:rsid w:val="42A15600"/>
    <w:rsid w:val="42A47E22"/>
    <w:rsid w:val="442527BE"/>
    <w:rsid w:val="447B6718"/>
    <w:rsid w:val="44B3058D"/>
    <w:rsid w:val="45A01611"/>
    <w:rsid w:val="46305EEF"/>
    <w:rsid w:val="4712413C"/>
    <w:rsid w:val="475A53B1"/>
    <w:rsid w:val="47627A8B"/>
    <w:rsid w:val="47FB7B22"/>
    <w:rsid w:val="480F2C59"/>
    <w:rsid w:val="48866984"/>
    <w:rsid w:val="49367249"/>
    <w:rsid w:val="49684A6B"/>
    <w:rsid w:val="4A49536A"/>
    <w:rsid w:val="4A734A00"/>
    <w:rsid w:val="4AF27D97"/>
    <w:rsid w:val="4B4B29E7"/>
    <w:rsid w:val="4C1F4C1C"/>
    <w:rsid w:val="4C5B3031"/>
    <w:rsid w:val="4C8A6D5F"/>
    <w:rsid w:val="4CDF72E7"/>
    <w:rsid w:val="4D7771C5"/>
    <w:rsid w:val="4D967117"/>
    <w:rsid w:val="4DA35035"/>
    <w:rsid w:val="4E175B2C"/>
    <w:rsid w:val="4EBE28E6"/>
    <w:rsid w:val="4F251034"/>
    <w:rsid w:val="4F941A96"/>
    <w:rsid w:val="4FD86355"/>
    <w:rsid w:val="506D36BD"/>
    <w:rsid w:val="515C74AA"/>
    <w:rsid w:val="51AF69BD"/>
    <w:rsid w:val="51CF5CA2"/>
    <w:rsid w:val="52564BB1"/>
    <w:rsid w:val="52F365D4"/>
    <w:rsid w:val="53351ABA"/>
    <w:rsid w:val="53710365"/>
    <w:rsid w:val="537601D2"/>
    <w:rsid w:val="537F1959"/>
    <w:rsid w:val="540F0DC9"/>
    <w:rsid w:val="5432344B"/>
    <w:rsid w:val="547B0F25"/>
    <w:rsid w:val="555C721A"/>
    <w:rsid w:val="55BC2DF8"/>
    <w:rsid w:val="565F6ADC"/>
    <w:rsid w:val="566072EF"/>
    <w:rsid w:val="56731585"/>
    <w:rsid w:val="56763536"/>
    <w:rsid w:val="56A83F23"/>
    <w:rsid w:val="56D354B1"/>
    <w:rsid w:val="57091A8F"/>
    <w:rsid w:val="57ED177C"/>
    <w:rsid w:val="582F079F"/>
    <w:rsid w:val="586D7CFE"/>
    <w:rsid w:val="58D04078"/>
    <w:rsid w:val="590D0351"/>
    <w:rsid w:val="59AA626B"/>
    <w:rsid w:val="5A933D1A"/>
    <w:rsid w:val="5B035412"/>
    <w:rsid w:val="5B3B092B"/>
    <w:rsid w:val="5B8F71CA"/>
    <w:rsid w:val="5B953CF9"/>
    <w:rsid w:val="5BA22700"/>
    <w:rsid w:val="5BE21C5E"/>
    <w:rsid w:val="5C000295"/>
    <w:rsid w:val="5CB42434"/>
    <w:rsid w:val="5E325339"/>
    <w:rsid w:val="5E6536FB"/>
    <w:rsid w:val="5EDE2286"/>
    <w:rsid w:val="5F180766"/>
    <w:rsid w:val="5F2A3775"/>
    <w:rsid w:val="5F3B1337"/>
    <w:rsid w:val="5F484798"/>
    <w:rsid w:val="5F8C10DD"/>
    <w:rsid w:val="5F8E19CC"/>
    <w:rsid w:val="605A6CFF"/>
    <w:rsid w:val="607148A4"/>
    <w:rsid w:val="60CA47EE"/>
    <w:rsid w:val="615023E1"/>
    <w:rsid w:val="6171471A"/>
    <w:rsid w:val="61891CD9"/>
    <w:rsid w:val="61E03B18"/>
    <w:rsid w:val="61E20949"/>
    <w:rsid w:val="61FF39CE"/>
    <w:rsid w:val="624D0B19"/>
    <w:rsid w:val="6264349F"/>
    <w:rsid w:val="628F3915"/>
    <w:rsid w:val="62972D5B"/>
    <w:rsid w:val="62A91EBB"/>
    <w:rsid w:val="62B5389A"/>
    <w:rsid w:val="638D4E26"/>
    <w:rsid w:val="63F03131"/>
    <w:rsid w:val="64736811"/>
    <w:rsid w:val="647B71F4"/>
    <w:rsid w:val="64E55908"/>
    <w:rsid w:val="64ED2B67"/>
    <w:rsid w:val="657468FE"/>
    <w:rsid w:val="65CC3419"/>
    <w:rsid w:val="6632657B"/>
    <w:rsid w:val="66B65FAB"/>
    <w:rsid w:val="674715B5"/>
    <w:rsid w:val="680B1872"/>
    <w:rsid w:val="684B59F0"/>
    <w:rsid w:val="68523522"/>
    <w:rsid w:val="69562AA3"/>
    <w:rsid w:val="696B6384"/>
    <w:rsid w:val="6A1A7E11"/>
    <w:rsid w:val="6A8244F2"/>
    <w:rsid w:val="6AB75A50"/>
    <w:rsid w:val="6AE17242"/>
    <w:rsid w:val="6C0D7820"/>
    <w:rsid w:val="6C413F96"/>
    <w:rsid w:val="6C4A591D"/>
    <w:rsid w:val="6D040273"/>
    <w:rsid w:val="6D803915"/>
    <w:rsid w:val="6E454B16"/>
    <w:rsid w:val="6E791155"/>
    <w:rsid w:val="6ED64600"/>
    <w:rsid w:val="6FB3099B"/>
    <w:rsid w:val="7006249D"/>
    <w:rsid w:val="707121FE"/>
    <w:rsid w:val="71621F05"/>
    <w:rsid w:val="71FB2C72"/>
    <w:rsid w:val="72A76BA4"/>
    <w:rsid w:val="73AB5FD2"/>
    <w:rsid w:val="745B2D85"/>
    <w:rsid w:val="74737187"/>
    <w:rsid w:val="74DF127F"/>
    <w:rsid w:val="752C576D"/>
    <w:rsid w:val="75CE25D8"/>
    <w:rsid w:val="75F8227C"/>
    <w:rsid w:val="76666A44"/>
    <w:rsid w:val="76C8710A"/>
    <w:rsid w:val="76E104BD"/>
    <w:rsid w:val="776960E4"/>
    <w:rsid w:val="777F0E7A"/>
    <w:rsid w:val="77EE1CF2"/>
    <w:rsid w:val="78310583"/>
    <w:rsid w:val="78C1024B"/>
    <w:rsid w:val="790D3DD7"/>
    <w:rsid w:val="79385EE5"/>
    <w:rsid w:val="793C1E75"/>
    <w:rsid w:val="7940056C"/>
    <w:rsid w:val="798346DE"/>
    <w:rsid w:val="79AF458E"/>
    <w:rsid w:val="79E42561"/>
    <w:rsid w:val="7A5B019D"/>
    <w:rsid w:val="7A983BE6"/>
    <w:rsid w:val="7AE604A8"/>
    <w:rsid w:val="7AEE220D"/>
    <w:rsid w:val="7B7C6845"/>
    <w:rsid w:val="7BE75B65"/>
    <w:rsid w:val="7BF6241B"/>
    <w:rsid w:val="7C063663"/>
    <w:rsid w:val="7C1B054B"/>
    <w:rsid w:val="7CE1111E"/>
    <w:rsid w:val="7DA074C1"/>
    <w:rsid w:val="7DAA2194"/>
    <w:rsid w:val="7E3B1E33"/>
    <w:rsid w:val="7E3D798C"/>
    <w:rsid w:val="7EAD4426"/>
    <w:rsid w:val="7F631714"/>
    <w:rsid w:val="7FC90C53"/>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3</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Lenovo</cp:lastModifiedBy>
  <cp:lastPrinted>2022-01-30T02:30:00Z</cp:lastPrinted>
  <dcterms:modified xsi:type="dcterms:W3CDTF">2024-06-27T03:23:20Z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