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both"/>
        <w:rPr>
          <w:rFonts w:ascii="华文中宋" w:eastAsia="华文中宋" w:hAnsi="华文中宋" w:cs="宋体"/>
          <w:b/>
          <w:kern w:val="0"/>
          <w:sz w:val="52"/>
          <w:szCs w:val="52"/>
        </w:rPr>
      </w:pPr>
    </w:p>
    <w:p>
      <w:pPr>
        <w:spacing w:line="570" w:lineRule="exact"/>
        <w:jc w:val="center"/>
        <w:rPr>
          <w:rFonts w:ascii="华文中宋" w:eastAsia="华文中宋" w:hAnsi="华文中宋" w:cs="宋体"/>
          <w:b/>
          <w:kern w:val="0"/>
          <w:sz w:val="52"/>
          <w:szCs w:val="52"/>
        </w:rPr>
      </w:pPr>
    </w:p>
    <w:p>
      <w:pPr>
        <w:spacing w:line="570" w:lineRule="exact"/>
        <w:jc w:val="center"/>
        <w:rPr>
          <w:rFonts w:ascii="方正小标宋_GBK" w:eastAsia="方正小标宋_GBK" w:hAnsi="华文中宋" w:cs="宋体"/>
          <w:b/>
          <w:kern w:val="0"/>
          <w:sz w:val="44"/>
          <w:szCs w:val="44"/>
        </w:rPr>
      </w:pPr>
      <w:r>
        <w:rPr>
          <w:rFonts w:ascii="方正小标宋_GBK" w:eastAsia="方正小标宋_GBK" w:hAnsi="华文中宋" w:cs="宋体" w:hint="eastAsia"/>
          <w:b/>
          <w:kern w:val="0"/>
          <w:sz w:val="44"/>
          <w:szCs w:val="44"/>
        </w:rPr>
        <w:t xml:space="preserve"> 部门单位项目支出绩效评价报告</w:t>
      </w:r>
    </w:p>
    <w:p>
      <w:pPr>
        <w:spacing w:line="570" w:lineRule="exact"/>
        <w:jc w:val="center"/>
        <w:rPr>
          <w:rFonts w:ascii="华文中宋" w:eastAsia="华文中宋" w:hAnsi="华文中宋" w:cs="宋体"/>
          <w:b/>
          <w:kern w:val="0"/>
          <w:sz w:val="52"/>
          <w:szCs w:val="52"/>
        </w:rPr>
      </w:pPr>
    </w:p>
    <w:p>
      <w:pPr>
        <w:spacing w:line="57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仿宋_GB2312" w:eastAsia="仿宋_GB2312" w:hAnsi="楷体" w:hint="eastAsia"/>
          <w:spacing w:val="-4"/>
          <w:sz w:val="32"/>
          <w:szCs w:val="32"/>
        </w:rPr>
        <w:t xml:space="preserve">2024</w:t>
      </w:r>
      <w:r>
        <w:rPr>
          <w:rFonts w:ascii="方正仿宋_GBK" w:eastAsia="方正仿宋_GBK" w:hAnsi="宋体" w:cs="宋体" w:hint="eastAsia"/>
          <w:kern w:val="0"/>
          <w:sz w:val="36"/>
          <w:szCs w:val="36"/>
        </w:rPr>
        <w:t xml:space="preserve"> </w:t>
      </w:r>
      <w:r>
        <w:rPr>
          <w:rFonts w:eastAsia="仿宋_GB2312" w:hAnsi="宋体" w:cs="宋体" w:hint="eastAsia"/>
          <w:kern w:val="0"/>
          <w:sz w:val="36"/>
          <w:szCs w:val="36"/>
        </w:rPr>
        <w:t xml:space="preserve"> 年度）</w:t>
      </w: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570" w:lineRule="exact"/>
        <w:jc w:val="center"/>
        <w:rPr>
          <w:rFonts w:eastAsia="仿宋_GB2312" w:hAnsi="宋体" w:cs="宋体"/>
          <w:kern w:val="0"/>
          <w:sz w:val="30"/>
          <w:szCs w:val="30"/>
        </w:rPr>
      </w:pPr>
    </w:p>
    <w:p>
      <w:pPr>
        <w:spacing w:line="70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项目名称：</w:t>
      </w:r>
      <w:r>
        <w:rPr>
          <w:rStyle w:val="Strong"/>
          <w:rFonts w:ascii="仿宋" w:eastAsia="仿宋" w:hAnsi="仿宋" w:cs="仿宋" w:hint="eastAsia"/>
          <w:b w:val="0"/>
          <w:bCs w:val="0"/>
          <w:spacing w:val="-4"/>
          <w:sz w:val="32"/>
          <w:szCs w:val="32"/>
        </w:rPr>
        <w:t xml:space="preserve">喀什噶尔河灌区岳普湖县输水总干渠续建配套与现代化改造工程（第四标段）项目</w:t>
      </w:r>
    </w:p>
    <w:p>
      <w:pPr>
        <w:spacing w:line="570" w:lineRule="exact"/>
        <w:ind w:firstLine="360" w:firstLineChars="100"/>
        <w:jc w:val="left"/>
        <w:rPr>
          <w:rFonts w:ascii="仿宋" w:eastAsia="仿宋" w:hAnsi="仿宋" w:cs="仿宋"/>
          <w:kern w:val="0"/>
          <w:sz w:val="32"/>
          <w:szCs w:val="32"/>
        </w:rPr>
      </w:pPr>
      <w:r>
        <w:rPr>
          <w:rFonts w:ascii="仿宋" w:eastAsia="仿宋" w:hAnsi="仿宋" w:cs="仿宋" w:hint="eastAsia"/>
          <w:kern w:val="0"/>
          <w:sz w:val="36"/>
          <w:szCs w:val="36"/>
        </w:rPr>
        <w:t xml:space="preserve">实施单位（公章）：</w:t>
      </w:r>
      <w:r>
        <w:rPr>
          <w:rStyle w:val="Strong"/>
          <w:rFonts w:ascii="仿宋" w:eastAsia="仿宋" w:hAnsi="仿宋" w:cs="仿宋" w:hint="eastAsia"/>
          <w:b w:val="0"/>
          <w:bCs w:val="0"/>
          <w:spacing w:val="-4"/>
          <w:sz w:val="32"/>
          <w:szCs w:val="32"/>
        </w:rPr>
        <w:t xml:space="preserve">岳普湖县水利局</w:t>
      </w:r>
    </w:p>
    <w:p>
      <w:pPr>
        <w:spacing w:line="540" w:lineRule="exact"/>
        <w:ind w:firstLine="360" w:firstLineChars="100"/>
        <w:rPr>
          <w:rFonts w:ascii="仿宋" w:eastAsia="仿宋" w:hAnsi="仿宋" w:cs="仿宋" w:hint="eastAsia"/>
          <w:spacing w:val="-4"/>
          <w:sz w:val="32"/>
          <w:szCs w:val="32"/>
        </w:rPr>
      </w:pPr>
      <w:r>
        <w:rPr>
          <w:rFonts w:ascii="仿宋" w:eastAsia="仿宋" w:hAnsi="仿宋" w:cs="仿宋" w:hint="eastAsia"/>
          <w:kern w:val="0"/>
          <w:sz w:val="36"/>
          <w:szCs w:val="36"/>
        </w:rPr>
        <w:t xml:space="preserve">主管部门（公章）：</w:t>
      </w:r>
      <w:r>
        <w:rPr>
          <w:rStyle w:val="Strong"/>
          <w:rFonts w:ascii="仿宋" w:eastAsia="仿宋" w:hAnsi="仿宋" w:cs="仿宋" w:hint="eastAsia"/>
          <w:b w:val="0"/>
          <w:bCs w:val="0"/>
          <w:spacing w:val="-4"/>
          <w:sz w:val="32"/>
          <w:szCs w:val="32"/>
        </w:rPr>
        <w:t xml:space="preserve">岳普湖县水利局</w:t>
      </w:r>
    </w:p>
    <w:p>
      <w:pPr>
        <w:spacing w:line="570" w:lineRule="exact"/>
        <w:ind w:firstLine="360" w:firstLineChars="100"/>
        <w:rPr>
          <w:rFonts w:ascii="仿宋" w:eastAsia="仿宋" w:hAnsi="仿宋" w:cs="仿宋"/>
          <w:spacing w:val="-4"/>
          <w:sz w:val="32"/>
          <w:szCs w:val="32"/>
        </w:rPr>
      </w:pPr>
      <w:r>
        <w:rPr>
          <w:rFonts w:ascii="仿宋" w:eastAsia="仿宋" w:hAnsi="仿宋" w:cs="仿宋" w:hint="eastAsia"/>
          <w:kern w:val="0"/>
          <w:sz w:val="36"/>
          <w:szCs w:val="36"/>
        </w:rPr>
        <w:t xml:space="preserve">项目负责人（签章）：</w:t>
      </w:r>
      <w:r>
        <w:rPr>
          <w:rStyle w:val="Strong"/>
          <w:rFonts w:ascii="仿宋" w:eastAsia="仿宋" w:hAnsi="仿宋" w:cs="仿宋" w:hint="eastAsia"/>
          <w:b w:val="0"/>
          <w:bCs w:val="0"/>
          <w:spacing w:val="-4"/>
          <w:sz w:val="32"/>
          <w:szCs w:val="32"/>
        </w:rPr>
        <w:t xml:space="preserve">买买提·肉苏力</w:t>
      </w:r>
    </w:p>
    <w:p>
      <w:pPr>
        <w:spacing w:line="540" w:lineRule="exact"/>
        <w:ind w:firstLine="360" w:firstLineChars="100"/>
        <w:rPr>
          <w:rStyle w:val="Strong"/>
          <w:rFonts w:ascii="仿宋" w:eastAsia="仿宋" w:hAnsi="仿宋" w:cs="仿宋" w:hint="eastAsia"/>
          <w:b w:val="0"/>
          <w:bCs w:val="0"/>
          <w:spacing w:val="-4"/>
          <w:sz w:val="32"/>
          <w:szCs w:val="32"/>
        </w:rPr>
      </w:pPr>
      <w:r>
        <w:rPr>
          <w:rFonts w:ascii="仿宋" w:eastAsia="仿宋" w:hAnsi="仿宋" w:cs="仿宋" w:hint="eastAsia"/>
          <w:kern w:val="0"/>
          <w:sz w:val="36"/>
          <w:szCs w:val="36"/>
        </w:rPr>
        <w:t xml:space="preserve">填报时间：</w:t>
      </w:r>
      <w:r>
        <w:rPr>
          <w:rStyle w:val="Strong"/>
          <w:rFonts w:ascii="仿宋" w:eastAsia="仿宋" w:hAnsi="仿宋" w:cs="仿宋" w:hint="eastAsia"/>
          <w:b w:val="0"/>
          <w:bCs w:val="0"/>
          <w:spacing w:val="-4"/>
          <w:sz w:val="32"/>
          <w:szCs w:val="32"/>
        </w:rPr>
        <w:t xml:space="preserve">2025年03月04日</w:t>
      </w:r>
    </w:p>
    <w:p>
      <w:pPr>
        <w:rPr>
          <w:rStyle w:val="Strong"/>
          <w:rFonts w:ascii="仿宋" w:eastAsia="仿宋" w:hAnsi="仿宋" w:cs="仿宋" w:hint="eastAsia"/>
          <w:b w:val="0"/>
          <w:bCs w:val="0"/>
          <w:spacing w:val="-4"/>
          <w:sz w:val="32"/>
          <w:szCs w:val="32"/>
        </w:rPr>
      </w:pPr>
      <w:r>
        <w:br w:type="page"/>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一、基本情况</w:t>
      </w:r>
    </w:p>
    <w:p>
      <w:pPr>
        <w:spacing w:line="570" w:lineRule="exact"/>
        <w:ind w:firstLine="640" w:firstLineChars="200"/>
        <w:rPr>
          <w:rStyle w:val="Strong"/>
          <w:rFonts w:ascii="方正楷体_GBK" w:eastAsia="方正楷体_GBK" w:hAnsi="方正楷体_GBK" w:cs="方正楷体_GBK"/>
          <w:bCs w:val="0"/>
          <w:spacing w:val="-4"/>
          <w:sz w:val="32"/>
          <w:szCs w:val="32"/>
        </w:rPr>
      </w:pPr>
      <w:r>
        <w:rPr>
          <w:rStyle w:val="Strong"/>
          <w:rFonts w:ascii="楷体" w:eastAsia="楷体" w:hAnsi="楷体" w:cs="楷体" w:hint="eastAsia"/>
          <w:bCs w:val="0"/>
          <w:spacing w:val="-4"/>
          <w:sz w:val="32"/>
          <w:szCs w:val="32"/>
        </w:rPr>
        <w:t xml:space="preserve">（一）项目概况。包括项目背景、主要内容及实施情况、资金投入和使用情况等。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1.项目背景</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遵循财政部《项目支出绩效评价管理办法》（财预〔2020〕10号）、自治区财政厅《自治区财政支出绩效评价管理暂行办法》（新财预〔2018〕189号）、喀什地区财政局《关于进一步加强和规范喀什地区项目支出“全过程”预算绩效管理结果应用的通知》（喀地财绩〔2022〕2号）等相关政策文件与规定，旨在评价本项目实施的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根据《自治区发展改革委 水利厅关于下达国家水网骨干工程专项2022年第二批中央预算内投资计划的通知》政策文件要求，随着我国经济的快速发展和城市化进程的加速，水资源的需求日益增加，而水资源的时空分布不均，使得部分地区的水资源供需矛盾凸显。为了解决这一问题，提高水资源的配置效率和使用效益，国家决定实施水网骨干工程专项项目。我国在水资源管理和保护方面一直高度重视，实施了一系列重大水利工程。国家水网骨干工程作为其中的重要组成部分，对于完善国家水网体系，提升水资源安全保障能力具有重要意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随着喀什噶尔河灌区农业生产的不断发展，对水利设施的要求也越来越高。原有的输水总干渠可能存在老化、渗漏等问题，无法满足现代农业高效、节水的灌溉需求。因此，对输水总干渠进行续建配套与现代化改造，是提升灌区农业生产能力、保障粮食安全的必要举措。喀什地区水资源相对短缺，且时空分布不均。通过现代化改造输水总干渠，可以提高水资源利用效率，减少渗漏损失，从而有效缓解水资源短缺问题。喀什地区高度重视水利设施建设，出台了一系列政策措施推动灌区续建配套与现代化改造。项目的实施基于农业发展需求、水资源短缺问题以及政策推动等多方面因素的综合考虑。其意义在于提升灌溉效率、促进节水农业发展、改善生态环境以及推动区域经济发展等多个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2.主要内容及实施情况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（1）主要内容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建设输水总干渠3.90公里，渠段内配套改建建筑物29座。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（2）实施情况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前由项目负责人买买提·肉苏力进行牵头，首先进行项目的前期调研。评估项目实施的相关性、预期绩效的可实现性、实施方案的有效性、财政资金投入可行性风险。其次在项目实施过程中结合本县的实际要求，严格按照相关文件的规定开展，在项目实施过程中不定期进行监督检查，发现问题及时整改。最后项目结束时实施单位及时进行成果验收，做好项目的后期管护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3.项目实施主体</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项目实施主体:岳普湖县水利局。</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项目实施时间：2024年1月-12月。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基本情况：贯彻执行有关水行政管理的法律法规和方针政策；负责保障水资源的合理开发利用；拟定地方性水利发展规划和政策，起草相关地方性法规和政府规章草案；组织编制全县重大水资源发展规划，重要河流湖泊流域综合规划、防洪规划等重大水利规划。</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按规定制定水利工程建设有关制度并组织实施，负责提出水利固定资产投资规模、方向、具体安排建议并组织实施，按规定权限审批、核准规划内和年度计划规模内固定资产投资项目，提出水利资金安排建议并负责项目实施的监督管理。负责组织编制洪水干旱灾害防治规划和防护标准并指导实施。承担水情旱情监测预警工作。组织编制重要河流湖泊和重要水工程的防御洪水抗御旱灾调度及应急水量调度方案，按程序报批并组织实施。承担防御洪水应急抢险的技术支撑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实施主体编制情况：岳普湖县水利局行政编制人员5名、行政参公编制人员10名、行政事业编制人员8名、行政事业工勤编制人员2名。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4.资金投入情况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（1）项目资金安排落实情况分析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关于下达喀什地区水利专项（重大骨干防洪减灾方向等）2024年第一批中央预算内投资计划的通知》（喀发改投资〔2024〕430号）等文件，年初预算数4243.00万元，全年预算数为4243.00万元，其中：财政资金4243.00万元，其他资金0.00万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（2）项目资金总投入情况分析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截止2024年12月31日，实际到位项目资金4243.00万元，预算资金到位率为100%。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5.资金使用情况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截止2024年12月31日，本项目实际支付资金4183.58万元，预算执行率98.60%。项目资金主要用于输水总干渠续建配套建设。</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（二）项目绩效目标。包括总体目标和阶段性目标。</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1.项目总体目标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建设输水总干渠3.90公里，渠段内配套改建建筑物29座。通过项目的实施减少水土流失，提升水源涵养和水土保持能力。提高灌区的灌溉保证水平，改善农田引水灌溉条件。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2.项目阶段性目标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前期准备：通过制定项目实施方案，经项目负责人审核通过后，有序开展后续工作。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组织实施：资金一到位，立即根据项目要求实施项目。项目责任人按照项目实施方案要求逐一进行项目部署安排，提高项目质量及效率性。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项目投入：本项目预算安排总额为4243.00万元，为中央转移支付资金。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项目产出：建设输水总干渠3.90公里，渠段内配套改建建筑物29座。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项目效果：本项目的实施减少水土流失，提升水源涵养和水土保持能力。提高灌区的灌溉保证水平，改善农田引水灌溉条件。</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二、绩效评价工作开展情况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（一）绩效评价目的、对象</w:t>
      </w:r>
      <w:r>
        <w:rPr>
          <w:rStyle w:val="Strong"/>
          <w:rFonts w:ascii="楷体" w:eastAsia="楷体" w:hAnsi="楷体" w:cs="楷体" w:hint="eastAsia"/>
          <w:bCs w:val="0"/>
          <w:spacing w:val="-4"/>
          <w:sz w:val="32"/>
          <w:szCs w:val="32"/>
          <w:lang w:eastAsia="zh-CN"/>
        </w:rPr>
        <w:t xml:space="preserve">、时间和</w:t>
      </w:r>
      <w:r>
        <w:rPr>
          <w:rStyle w:val="Strong"/>
          <w:rFonts w:ascii="楷体" w:eastAsia="楷体" w:hAnsi="楷体" w:cs="楷体" w:hint="eastAsia"/>
          <w:bCs w:val="0"/>
          <w:spacing w:val="-4"/>
          <w:sz w:val="32"/>
          <w:szCs w:val="32"/>
        </w:rPr>
        <w:t xml:space="preserve">范围。</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完整性主要体现在绩效评价过程的全面性和系统性。涵盖了对项目全过程的完整生命周期的评价，确保评价行为持续性，有利于不同阶段的项目评价信息相互支撑和验证。保证评价结论的科学性和权威性。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项目绩效评价过程中，应全面考虑项目的各个方面，包括项目的目标设定、实施过程、资源利用、风险控制、产出效果等。此外，完整性要求评价充分考虑项目效益的发挥贡献。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为了实现项目绩效评价的完整性，建立一套科学、合理、系统的评价指标体系。评价体系能够全面反映项目的特点和要求，确保评价的准确性和有效性。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2.绩效评价目的</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自治区财政厅《自治区财政支出绩效评价管理暂行办法》（新财预〔2018〕189号）、喀什地区财政局《关于进一步加强和规范喀什地区项目支出“全过程”预算绩效管理结果应用的通知》（喀地财绩〔2022〕2号）等相关政策文件的规定，对“喀什噶尔河灌区岳普湖县输水总干渠续建配套与现代化改造工程（第四标段）项目”开展本次部门项目支出绩效评价工作旨在评价财政项目的实施前期、过程及效果，评价财政预算资金使用的效率及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的目的是发现预算资金在项目立项、执行管理中制度保障、实际操作方面的缺陷和薄弱环节，同时总结提炼项目和部门的经验做法，为预算部门改进、完善项目管理和预算管理提供可行性参考建议。也为下一年预算编制与项目评审提供充分有效的依据，以达到改进预算管理、优化资源配置、提高预算资金使用效益的目的。具体绩效评价的目的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是通过部门项目支出绩效评价，进一步严格落实《中华人民共和国预算法》（2018年修正）以及党中央、国务院关于加强预算绩效管理的指示精神，建立健全“花钱必问效、无效必问责”的绩效预算管理机制、提升财政资金的使用效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二是通过部门项目支出绩效评价，进一步做实绩效目标，根据项目绩效目标设立情况，细化形成多维度绩效指标，保证项目绩效指标设置科学、规范、合理、可衡量。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为评价工作提供更深一步的技术支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3.绩效评价对象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财政部《项目支出绩效评价管理办法》（财预〔2020〕10号）、自治区财政厅《自治区财政支出绩效评价管理暂行办法》（新财预〔2018〕189号）、喀什地区财政局《关于进一步加强和规范喀什地区项目支出“全过程”预算绩效管理结果应用的通知》（喀地财绩〔2022〕2号）等相关政策文件的规定，以“喀什噶尔河灌区岳普湖县输水总干渠续建配套与现代化改造工程（第四标段）项目”支出为对象所对应的预算资金，以本项目实施所带来的产出和效果为主要内容，以促进预算单位完成特定工作任务目标所组织开展的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4.绩效评价时间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本次绩效评价工作开展时间为2025年1月16日至2025年2月28日。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5.绩效评价范围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本次评价范围涵盖项目总体绩效目标、各项绩效指标完成情况以及预算执行情况。对项目预算资金支出的所有内容进行评价。包括项目决策、项目实施和项目成果验收流程等。</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（二）绩效评价原则、评价指标体系（附表说明）、评价方法、评价标准等。</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1.绩效评价原则</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本次绩效评价遵循的原则包括：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（1）科学公正。绩效评价应当运用科学合理的方法，按照规范的程序，对项目绩效进行客观、公正的反映。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（4）公开透明。绩效评价结果应依法依规公开，并自觉接受社会监督。</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2.绩效评价指标体系</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绩效评价指标体系根据《预算绩效评价共性指标体系框架》（财预〔2013〕53号）、《自治区党委 自治区人民政府关于全面实施预算绩效管理的实施意见》（新党发〔2018〕30号）、《关于印发&lt;项目支出绩效评价管理办法&gt;的通知》（财预﹝2020﹞10号）等文件精神，结合专项特点，在与专家组、绩效评价组充分协商的基础上，绩效评价组细化了该项目的绩效评价指标体系。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一级指标为：决策、过程、产出、效益。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二级指标为：项目立项、绩效目标、资金投入、资金管理、组织实施、产出数量、产出质量、产出时效、产出成本、项目效益。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级指标为：立项依据充分性、立项程序规范性、绩效目标合理性、绩效指标明确性、预算编制科学性、资金分配合理性、资金到位率、预算执行率、资金使用合规性、管理制度健全性、制度执行有效性、项目实施管理规范性、建设输水总干渠长度、配套改建建筑物数量、年度工程质量合格率、年度建设任务量完成率、资金支付及时率、资金支付完成时间、输水总干渠建设成本、提高灌区的灌溉保证水平，改善农田引水灌溉条件、减少水土流失，提升水源涵养和水土保持能力、受益农户满意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3.绩效评价方法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本次评价采用定量与定性评价相结合的比较法、文献法、公众评判法等方法，总分由各项指标得分汇总形成。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立项依据充分性：比较法、文献法，查找法律法规政策以及规划，对比实际执行内容和政策支持内容是否匹配。</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绩效目标合理性：比较法，对比分析年初编制项目支出绩效目标表与项目内容的相关性、资金的匹配性等。</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绩效指标明确性：比较法，比较分析年初编制项目支出绩效目标表是否符合双七原则，是否可衡量。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资金分配合理性：因素分析法，综合分析资金的分配依据是否充分，分配金额是否与项目实施单位需求金额一致。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资金到位率：比较法，资金到位率预期指标值应为100%，通过实际计算，分析实际完成值和预期指标值之间的差距和原因。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预算执行率：比较法，预算执行率预期指标值应为100%，通过实际计算，分析实际完成值和预期指标值之间的差距和原因。</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将实际完成值与年初指标值相比，完成指标值该指标赋全部分值；对完成值高于指标值较多的，要分析原因，如果是由于年初指标值设定明显偏低造成的，要按照偏离度适度调减分值；未完成指标值的，按照完成值与指标值的比例计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（4）项目效益方面</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公众评判法、实地勘察法，通过实地勘察、问卷及抽样调查等方式评价本项目实施后社会公众或服务对象对项目实施效果的满意程度。</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比较法：通过整理本项目相关资料和数据，评价数量指标的完成情况；通过分析项目的实施情况与绩效目标实现情况，评价项目实施的效果；通过分析项目资金使用情况及产生的效果，评价预算资金分配的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4.绩效评价标准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计划标准：指以预先制定的目标、计划、预算、定额等作为评价标准。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行业标准：指参照国家公布的行业指标数据制定的评价标准。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历史标准：指参照历史数据制定的评价标准，为体现绩效改进的原则，在可实现的条件下应当确定相对较高的评价标准。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喀什噶尔河灌区岳普湖县输水总干渠续建配套与现代化改造工程（第四标段）项目”采用的是计划标准，以事先制定的目标、计划、预算、定额等预计数据作为评价财政支出绩效的标准。通过将实际完成值与预定数据进行对比，发现偏差及时通知实施单位进行限期整改并反馈整改情况。</w:t>
      </w:r>
    </w:p>
    <w:p>
      <w:pPr>
        <w:spacing w:line="570" w:lineRule="exact"/>
        <w:ind w:firstLine="640" w:firstLineChars="200"/>
        <w:rPr>
          <w:rStyle w:val="Strong"/>
          <w:rFonts w:ascii="楷体" w:eastAsia="楷体" w:hAnsi="楷体" w:cs="楷体"/>
          <w:bCs w:val="0"/>
          <w:spacing w:val="-4"/>
          <w:sz w:val="32"/>
          <w:szCs w:val="32"/>
        </w:rPr>
      </w:pPr>
      <w:r>
        <w:rPr>
          <w:rStyle w:val="Strong"/>
          <w:rFonts w:ascii="楷体" w:eastAsia="楷体" w:hAnsi="楷体" w:cs="楷体" w:hint="eastAsia"/>
          <w:bCs w:val="0"/>
          <w:spacing w:val="-4"/>
          <w:sz w:val="32"/>
          <w:szCs w:val="32"/>
        </w:rPr>
        <w:t xml:space="preserve">（三）绩效评价工作过程。</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本次评价设计了评价方案、评价指标体系，通过资料分析、调研、访谈满意度调查等方式形成评价结论，在与项目单位沟通后确定评价意见，并出具评价报告。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1.前期准备阶段（2025年1月16日—1月18日）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项目支出绩效评价管理办法》（财预〔2020〕10号）文件精神，认真学习相关要求与规定，成立绩效评价组。绩效评价组开展项目绩效评价工作，首先开展前期调研；其次明确项目绩效目标，设计绩效评价指标体系并确定绩效评价方法；接着确定现场和非现场评价范围，设计资料清单；最后制定评价实施方案并进行论证。</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作为绩效评价工作具体实施机构，绩效评价组成员构成如下：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买买提·肉苏力任绩效评价组组长，绩效评价工作职责为负责全盘工作，对项目实施情况进行实地调查。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艾山江·卡地尔、阿不都合力力、阿曼妮萨·塔依力普任绩效评价组成员，绩效评价工作职责对项目实施情况进行实地调查，负责资料审核等工作。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2.组织实施阶段（2025年1月19日—2月10日）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组组长制定绩效评价工作方案，具体包括项目概况、评价思路、方法手段、组织实施、进度安排等。绩效评价组成员收集项目立项依据、相关会议纪要、实施方案、财政资金分配方案、支付管理情况等相关评价资料并进行梳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3.分析评价阶段（2025年2月11日—2月15日）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绩效评价组根据收集梳理的资料围绕项目立项、资金落实、业务管理、财务管理、项目产出、项目效益等内容，对照已确定的绩效评价指标进行详细全面的分析评价，逐项打分并形成绩效评价最终结果。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4.撰写与提交评价报告阶段（2025年2月16日-2月21日）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绩效评价组根据收集项目评价资料撰写绩效评价报告。按照新疆维吾尔自治区财政绩效管理信息系统绩效评价模块中的统一格式及文本框架撰写绩效评价报告并提交审核。</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5.归集档案阶段（2025年2月22日-2月28日）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建立和落实档案管理制度，由绩效评价组将项目相关资料存档，包括但不限于：评价项目基本情况和相关文件、评价实施方案、项目支付资料等相关档案。</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三、综合评价情况及评价结论</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（一）综合评价情况</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经绩效评价组通过实地调研、综合分析法、问卷调查法等方式，主要采用综合分析法对项目的决策、实施、产出、效益进行综合评价分析。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在项目决策方面：立项符合国家法律法规、国民经济发展规划和相关政策，项目立项依据充分。项目按照规定的程序申请，经过必要的研究、论证和评估，立项程序规范。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管理方面：本项目预算安排4243.00万元，实际支出4183.58万元，预算执行率98.60%。项目资金使用合规，项目财务管理制度健全，财务监控到位，所有资金支付均按照国库集中支付制度严格执行，现有项目管理制度执行情况良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在项目效果方面：现阶段已完成3.90公里的输水总干渠建设，渠段内配套改建29座建筑物的任务。预算执行率为98.60%。通过项目的实施减少水土流失，提升水源涵养和水土保持能力。提高灌区的灌溉保证水平，改善农田引水灌溉条件。受益农户满意度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（二）综合评价结论</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运用绩效评价组制定的评价指标体系以及财政部《项目支出绩效评价管理办法》（财预〔2020〕10号）、喀什地区财政局《关于进一步加强和规范喀什地区项目支出“全过程”预算绩效管理结果应用的通知》（喀地财绩〔2022〕2号）等文件的评分标准，通过数据采集、问卷调查及访谈等方式，对本项目进行客观评价，总分一般设置为100分，其中项目决策20分、项目过程15分、项目产出35分、项目效益30分。评价结果分为优、良、中、差四个等级：优（90分（含）—100分）；良（80分（含）—90分）；中（70分（含）—80分）；差（70分以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本项目最终评分结果：总得分为99.77分，绩效评级为“优”。</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具体得分情况如下:</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1.项目决策指标权重为20分，得分为20分，得分率为100%。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2.项目过程指标权重为15分，得分为14.96分，得分率为99.73%。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3.项目产出指标权重为35分，得分为34.81分，得分率为99.46%。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4.项目效益指标权重为20分，得分为20分，得分率为100%。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5.项目满意度指标权重为10分，得分为10分，得分率为100%。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具体打分情况详见：附件1综合评分表。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项目绩效评价评分情况表</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指 标 A.项目决策 B.项目过程 C.项目产出 D.项目效益 E.项目满意度 合  计</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权 重 20.00    15.00    35.00    20.00    10.00    100.00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 分 20.00    14.96    34.81    20.00    10.00    99.77</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得分率 100.00%  99.73%   99.46%   100.00%   100.00%         99.77%</w:t>
      </w:r>
    </w:p>
    <w:p>
      <w:pPr>
        <w:spacing w:line="570" w:lineRule="exact"/>
        <w:ind w:firstLine="640" w:firstLineChars="200"/>
        <w:rPr>
          <w:rStyle w:val="Strong"/>
          <w:rFonts w:ascii="黑体" w:eastAsia="黑体" w:hAnsi="黑体" w:cs="黑体"/>
          <w:b w:val="0"/>
          <w:sz w:val="32"/>
          <w:szCs w:val="32"/>
        </w:rPr>
      </w:pPr>
      <w:r>
        <w:rPr>
          <w:rStyle w:val="Strong"/>
          <w:rFonts w:ascii="黑体" w:eastAsia="黑体" w:hAnsi="黑体" w:cs="黑体" w:hint="eastAsia"/>
          <w:b w:val="0"/>
          <w:spacing w:val="-4"/>
          <w:sz w:val="32"/>
          <w:szCs w:val="32"/>
        </w:rPr>
        <w:t xml:space="preserve">四、绩效评价指标分析 </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（一）项目决策情况。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决策类指标包括项目立项、绩效目标和资金投入三方面的内容，由6个三级指标构成，权重分值为20分，实际得分20分，得分率为100%。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1.项目立项</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项目立项指标从立项依据充分性、立项程序规范性2个方面进行评价，权重分值8分，实际得分8分。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（1）立项依据充分性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该项目立项符合国家相关法律法规及发展政策，符合行业规划要求，根据《关于下达喀什地区水利专项（重大骨干防洪减灾方向等）2024年第一批中央预算内投资计划的通知》为立项依据，结合单位的管理职责和履职效能组织实施，围绕单位的本年度工作重点和工作计划制定经费预算，属于公共财政支持范围。本项目与部门内部其他相关项目不重复。部门发展规划及职能文件等归档完整。根据评分标准，该指标不扣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（2）立项程序规范性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决算依据编制工作计划和经费预算，经过与部门项目分管领导沟通、筛选确定经费预算计划，确定最终预算方案。项目的审批文件、材料符合相关要求，项目事前经过必要的专家论证、评估及集体决策，保障了程序的规范性。根据评价标准，该指标不扣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2.绩效目标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绩效目标指标从绩效目标合理性、绩效指标明确性2个方面进行评价，权重分值5分，实际得分5分。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（1）绩效目标合理性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了《喀什噶尔河灌区岳普湖县输水总干渠续建配套与现代化改造工程（第四标段）项目实施方案》，明确了总体思路及目标。绩效目标表经过审核，绩效目标与实际工作内容具有相关性，预算与确定的项目投资额相匹配，对项目任务进行了详细分解。项目预期产出效益及效果符合正常的业绩水平。根据评价标准，该指标不扣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（2）绩效指标明确性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设置了明确的预期产出效益和效果，将绩效目标细化分解为具体的绩效指标，项目的三级指标设置与项目目标任务数相对应，绩效目标设定的绩效指标清晰、细化、可衡量。根据评价标准，该指标不扣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3.资金投入</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资金投入指标从预算编制科学性、资金分配合理性2个方面进行评价，权重分值7分，实际得分7分。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（1）预算编制科学性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为年中追加，根据项目需求编制，预算编制与单位职能相匹配，预算编制经过科学论证，提供充分的测算依据佐证资料，编制准确可靠的数据和信息。确保预算内容与项目内容相匹配。项目投资额为4243.00万元，主要支出为输水总干渠续建配套建设。</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项目投资额与工作任务相匹配。预算编制的程序规范、透明，确保预算的公正性和公平性。根据评价标准，该指标不扣分，实际得分5分。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（2）资金分配合理性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项目进行全面的评估和分析，确定各个环节和部门的资金需求，确保资金的使用与项目的进展和目标实现紧密相关。通过合理的资金分配，确保项目的顺利进行，避免资金短缺或浪费，提高项目的整体效益。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分配时，优先满足关键任务的资金需求，确保项目按照计划和时间表进行。资金分配情况：输水总干渠建设成本4243.00万元。资金分配额度与项目单位实际工作内容相适应，资金分配额度合理，资金分配依据充分。根据评价标准，该指标不扣分，实际得分2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（二）项目过程情况。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过程类指标包括资金管理和组织实施两方面的内容，由6个三级指标构成，权重分值为15分，实际得分14.96分，得分率为99.73%。</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1.资金管理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资金管理指标从资金到位率、预算执行率、资金使用合规性3个方面进行评价，权重分值8分，实际得分7.96分。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（1）资金到位率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财政资金及时足额到位，牵头单位能够及时足额按照合同约定将专项资金拨付给联合体单位，资金到位率为100%。预算资金按计划进度执行。根据评分标准，该指标不扣分，实际得分3分。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（2）预算执行率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预算编制较为详细，项目资金支出总体能够按照预算执行，预算执行率为98.60%。根据评分标准，该指标扣分，实际得分2.96分。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（3）资金使用合规性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了相关的制度和管理规定，对项目经费使用进行规范管理，财务制度健全、执行严格，资金的拨付有完整的审批程序和手续，资金使用符合该项目的立项批复。资金不存在截留、挤占、挪用、虚列支出等情况。根据评分标准，该指标不扣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2.组织实施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组织实施指标从管理制度健全性、制度执行有效性、项目实施管理规范性3个方面进行评价，权重分值7分，实际得分7分。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（1）管理制度健全性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制定了《岳普湖县水利局项目经费管理办法》等相关管理办法，对财政资金进行严格管理，做到专款专用。项目的执行符合《岳普湖县水利局项目管理办法》等相关法律法规和管理规定。根据评分标准，该指标不扣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（2）制度执行有效性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对资金使用的合法合规性进行监督，年末对资金使用效果进行评价。项目管理、实施人员落实到位，有效按照计划执行。项目执行情况等资料齐全，项目相关手续完备，及时进行归档。根据评分标准，该指标不扣分，实际得分2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（3）项目实施管理规范性</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①承接主体项目管理制度健全，项目实施符合相关项目管理规定；</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②建立了实施领导机制并建立了完善的实施方案；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③建立了项目台账，台账记录全面、完整；</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④能接受和配合相关部门的监督检查及绩效评价。</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根据评分标准，该指标不扣分，实际得分3分。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（三）项目产出情况。</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产出类指标包括产出数量、产出质量、产出时效、产出成本四方面的内容，由7个三级指标构成，权重分为35分，实际得分34.81分，得分率为99.46%。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1.产出数量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建设输水总干渠长度年度指标值为大于等于3.90公里，实际完成值为3.90公里，完成预期目标，根据评分标准，该指标不扣分。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配套改建建筑物数量年度指标值为大于等于29座，实际完成值为29座，完成预期目标，根据评分标准，该指标不扣分。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产出数量三级指标共计2个，指标从实际完成情况方面进行评价，权重分值9分，实际得分9分。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2.产出质量</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年度工程质量合格率年度指标值为等于100%，实际完成值为100%，完成预期目标，根据评分标准，该指标不扣分。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年度建设任务量完成率年度指标值为等于100%，实际完成值为100%，完成预期目标，根据评分标准，该指标不扣分。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产出质量三级指标共计2个，指标从质量达标方面进行评价，权重分值9分，实际得分9分。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3.产出时效</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资金支付及时率年度指标值为等于100%，实际完成值为98.6%，未完成预期目标，根据评分标准，该指标扣0.06分。实际得分3.94分。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未完成原因：项目已完工，剩余资金为项目工程质保金。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改进措施：待项目质保期过后，工程质量无误后及时支付资金。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资金支付完成时间年度指标值为2024年12月30日前，实际完成值为2024年12月20日，完成预期目标，根据评分标准，该指标不扣分。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产出时效三级指标共计2个，指标从完成及时性方面进行评价，权重分值8分，实际得分7.94分。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4.产出成本</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输水总干渠建设成本年度指标值为小于等于1087.94万元/公里，实际完成值为1072.71万元/公里，未完成预期目标，根据评分标准，该指标扣0.13分，实际得分8.87分。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未完成原因：项目已完工，剩余资金为项目工程质保金。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改进措施：待项目质保期过后，工程质量无误后及时支付资金。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产出成本三级指标共计1个，指标从成本节约情况进行评价，权重分值9分，实际得分8.87分。</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（四）项目效益情况。</w:t>
      </w:r>
    </w:p>
    <w:p>
      <w:pPr>
        <w:spacing w:line="540" w:lineRule="exact"/>
        <w:ind w:firstLine="567"/>
        <w:rPr>
          <w:rStyle w:val="Strong"/>
          <w:rFonts w:ascii="仿宋" w:eastAsia="仿宋" w:hAnsi="仿宋" w:cs="仿宋" w:hint="eastAsia"/>
          <w:b w:val="0"/>
          <w:bCs w:val="0"/>
          <w:spacing w:val="-4"/>
          <w:sz w:val="32"/>
          <w:szCs w:val="32"/>
        </w:rPr>
      </w:pPr>
      <w:r>
        <w:rPr>
          <w:rStyle w:val="Strong"/>
          <w:rFonts w:ascii="仿宋" w:eastAsia="仿宋" w:hAnsi="仿宋" w:cs="仿宋" w:hint="eastAsia"/>
          <w:b w:val="0"/>
          <w:bCs w:val="0"/>
          <w:spacing w:val="-4"/>
          <w:sz w:val="32"/>
          <w:szCs w:val="32"/>
        </w:rPr>
        <w:t xml:space="preserve">效益类指标包括项目效益1个方面的内容，由2个三级指标构成，权重分为20分，实际得分20分，得分率为100%。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（1）实施效益指标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实施效益指标从项目实施所产生的效益方面进行评价，权重分值20分，实际得分20分。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①项目实施的经济效益分析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本项目无此指标。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②项目实施的社会效益分析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提高灌区的灌溉保证水平，改善农田引水灌溉条件年度指标值为有效提高，实际完成值为有效提高，完成预期目标，根据评分标准，该指标不扣分，实际得10分。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③项目实施的生态效益分析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减少水土流失，提升水源涵养和水土保持能力年度指标值为有效保障，实际完成值为有效保障，完成预期目标，根据评分标准，该指标不扣分，实际得10分。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④项目实施的可持续影响分析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本项目无此指标。</w:t>
      </w:r>
    </w:p>
    <w:p>
      <w:pPr>
        <w:spacing w:line="570" w:lineRule="exact"/>
        <w:ind w:firstLine="640" w:firstLineChars="200"/>
        <w:rPr>
          <w:rFonts w:ascii="楷体" w:eastAsia="楷体" w:hAnsi="楷体" w:cs="楷体"/>
          <w:b/>
          <w:spacing w:val="-4"/>
          <w:sz w:val="32"/>
          <w:szCs w:val="32"/>
        </w:rPr>
      </w:pPr>
      <w:r>
        <w:rPr>
          <w:rFonts w:ascii="楷体" w:eastAsia="楷体" w:hAnsi="楷体" w:cs="楷体" w:hint="eastAsia"/>
          <w:b/>
          <w:spacing w:val="-4"/>
          <w:sz w:val="32"/>
          <w:szCs w:val="32"/>
        </w:rPr>
        <w:t xml:space="preserve">（</w:t>
      </w:r>
      <w:r>
        <w:rPr>
          <w:rFonts w:ascii="楷体" w:eastAsia="楷体" w:hAnsi="楷体" w:cs="楷体" w:hint="eastAsia"/>
          <w:b/>
          <w:spacing w:val="-4"/>
          <w:sz w:val="32"/>
          <w:szCs w:val="32"/>
          <w:lang w:val="en-US" w:eastAsia="zh-CN"/>
        </w:rPr>
        <w:t xml:space="preserve">五</w:t>
      </w:r>
      <w:r>
        <w:rPr>
          <w:rFonts w:ascii="楷体" w:eastAsia="楷体" w:hAnsi="楷体" w:cs="楷体" w:hint="eastAsia"/>
          <w:b/>
          <w:spacing w:val="-4"/>
          <w:sz w:val="32"/>
          <w:szCs w:val="32"/>
        </w:rPr>
        <w:t xml:space="preserve">）满意度指标完成情况分析。</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项目满意度指标包括满意度指标1个方面的内容，由1个三级指标构成，权重分为10分，实际得分10分，得分率为100%。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1.满意度指标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满意度指标完成情况分析从关注社会公众或服务对象对项目实施效果的满意程度方面进行评价，权重分值10分，实际得分10分。</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①受益农户满意度完成情况分析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本次采用线下纸质调查问卷的方式，旨在客观评价调查对象对本项目实施情况的满意度。每项指标的满意度分为三档，即“满意”、“基本满意”、“不满意”。各档次对应的分值比例为100%、80%、0%，通过加权计算得出各项指标的满意度比例。依据已回收问卷汇总，其中：满意度=∑样本数（“满意”×1.0+“基本满意”×0.8+“不满意”×0）/总样本数×100%。本项目关于满意度调查共设置6个问题，本项目总体满意度的计算公式=∑6个问题的满意度/6。</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评分规则设定为：满意度大于等于98%得10分；不足98%的大于等于80%得8分；不足80%的大于等于60%得5分；不足60%的不得分。该指标得分=满意度*该指标权重分值。</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综合来看，受访对象的满意度分析结果为100%。因此按满意度权重计分：100%*10分=10分，满意度指标实际得分10分。</w:t>
      </w:r>
    </w:p>
    <w:p>
      <w:pPr>
        <w:spacing w:line="570" w:lineRule="exact"/>
        <w:ind w:firstLine="640" w:firstLineChars="200"/>
        <w:rPr>
          <w:rStyle w:val="Strong"/>
          <w:rFonts w:ascii="黑体" w:eastAsia="黑体" w:hAnsi="黑体" w:cs="黑体"/>
          <w:b w:val="0"/>
          <w:spacing w:val="-4"/>
          <w:sz w:val="32"/>
          <w:szCs w:val="32"/>
        </w:rPr>
      </w:pPr>
      <w:bookmarkStart w:id="0" w:name="_GoBack"/>
      <w:bookmarkEnd w:id="0"/>
      <w:r>
        <w:rPr>
          <w:rStyle w:val="Strong"/>
          <w:rFonts w:ascii="黑体" w:eastAsia="黑体" w:hAnsi="黑体" w:cs="黑体" w:hint="eastAsia"/>
          <w:b w:val="0"/>
          <w:spacing w:val="-4"/>
          <w:sz w:val="32"/>
          <w:szCs w:val="32"/>
        </w:rPr>
        <w:t xml:space="preserve">五、预算执行进度与绩效指标偏差</w:t>
      </w:r>
    </w:p>
    <w:p>
      <w:pPr>
        <w:spacing w:line="540" w:lineRule="exact"/>
        <w:ind w:firstLine="567"/>
        <w:rPr>
          <w:rFonts w:ascii="仿宋" w:eastAsia="仿宋" w:hAnsi="仿宋" w:cs="仿宋"/>
          <w:spacing w:val="-4"/>
          <w:sz w:val="32"/>
          <w:szCs w:val="32"/>
        </w:rPr>
      </w:pPr>
      <w:r>
        <w:rPr>
          <w:rStyle w:val="Strong"/>
          <w:rFonts w:ascii="仿宋" w:eastAsia="仿宋" w:hAnsi="仿宋" w:cs="仿宋" w:hint="eastAsia"/>
          <w:b w:val="0"/>
          <w:bCs w:val="0"/>
          <w:spacing w:val="-4"/>
          <w:sz w:val="32"/>
          <w:szCs w:val="32"/>
        </w:rPr>
        <w:t xml:space="preserve">“喀什噶尔河灌区岳普湖县输水总干渠续建配套与现代化改造工程（第四标段）项目”预算执行率与绩效指标完成率存在偏差，项目预算执行率为98.60%，项目绩效指标总体完成率99.90%，偏差率为1.30%。</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1.项目预算执行未达年初预期、时效指标下的“资金支付及时率”、成本指标下的“输水总干渠建设成本”实际完成未达预期，指标实际完成较预期出现负偏差。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未完成原因：项目已完工，剩余资金为项目工程质保金。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改进措施：待项目质保期过后，工程质量无误后及时支付资金。</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2.满意度指标实际完成值优于预期值，指标实际完成较预期出现正偏差。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偏差原因：首先，项目初期，对受益对象需求的理解存在偏差，导致预期值设置偏低。其次，项目在实际执行过程中有效地满足了项目预期目标，造成实际完成情况超出受益对象的期望。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改进措施：对偏差进行深入分析，充分了解受益对象的需求变化，明确造成实际完成值高于预期的具体原因，以便在未来的项目中更好地把握和预测。</w:t>
      </w:r>
    </w:p>
    <w:p>
      <w:pPr>
        <w:spacing w:line="570" w:lineRule="exact"/>
        <w:ind w:firstLine="640" w:firstLineChars="200"/>
        <w:rPr>
          <w:rStyle w:val="Strong"/>
          <w:rFonts w:ascii="黑体" w:eastAsia="黑体" w:hAnsi="黑体" w:cs="黑体" w:hint="eastAsia"/>
          <w:b w:val="0"/>
          <w:spacing w:val="-4"/>
          <w:sz w:val="32"/>
          <w:szCs w:val="32"/>
          <w:lang w:eastAsia="zh-CN"/>
        </w:rPr>
      </w:pPr>
      <w:r>
        <w:rPr>
          <w:rStyle w:val="Strong"/>
          <w:rFonts w:ascii="黑体" w:eastAsia="黑体" w:hAnsi="黑体" w:cs="黑体" w:hint="eastAsia"/>
          <w:b w:val="0"/>
          <w:spacing w:val="-4"/>
          <w:sz w:val="32"/>
          <w:szCs w:val="32"/>
        </w:rPr>
        <w:t xml:space="preserve">六、主要经验及做法、存在的问题及原因分析</w:t>
      </w:r>
      <w:r>
        <w:rPr>
          <w:rStyle w:val="Strong"/>
          <w:rFonts w:ascii="黑体" w:eastAsia="黑体" w:hAnsi="黑体" w:cs="黑体" w:hint="eastAsia"/>
          <w:b w:val="0"/>
          <w:spacing w:val="-4"/>
          <w:sz w:val="32"/>
          <w:szCs w:val="32"/>
          <w:lang w:eastAsia="zh-CN"/>
        </w:rPr>
        <w:t xml:space="preserve">、下一步改进措施</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（一）主要经验及做法</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在项目的规划和设计阶段，注重科学性和前瞻性。通过深入的调研和细致的分析，充分考虑了水资源的分布情况、用水需求以及地形地貌等关键因素，从而科学地确定了工程的规模和布局。项目实施的目标是确保工程设施在经济上合理，在运行上可靠，以期达到最佳的效益。</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在施工阶段，严格把控工程质量。通过建立健全的质量管理体系，明确质量标准和责任分工，加强施工现场的质量监督和检查。质量是工程的生命线，因此对每一个细节都严格把关，不容有失。同时，注重施工安全，确保工程施工过程中的安全稳定，为工程的顺利进行提供坚实保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（二）存在的问题及原因分析</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环境影响与生态保护。输水总干渠的建设与改造对周边环境产生一定影响，平衡工程建设与生态保护之间的关系成为一大难题。在这一过程中，需要对环境影响进行详尽的评估，确保在推进水利基础设施建设的同时，不会对自然生态造成不可逆转的损害。这包括对生物多样性的影响评估、水质保护</w:t>
      </w:r>
      <w:r>
        <w:rPr>
          <w:rStyle w:val="Strong"/>
          <w:rFonts w:ascii="仿宋" w:eastAsia="仿宋" w:hAnsi="仿宋" w:cs="仿宋" w:hint="eastAsia"/>
          <w:b w:val="0"/>
          <w:bCs w:val="0"/>
          <w:spacing w:val="-4"/>
          <w:sz w:val="32"/>
          <w:szCs w:val="32"/>
        </w:rPr>
        <w:t xml:space="preserve">以及</w:t>
      </w:r>
      <w:r>
        <w:rPr>
          <w:rStyle w:val="Strong"/>
          <w:rFonts w:ascii="仿宋" w:eastAsia="仿宋" w:hAnsi="仿宋" w:cs="仿宋" w:hint="eastAsia"/>
          <w:b w:val="0"/>
          <w:bCs w:val="0"/>
          <w:spacing w:val="-4"/>
          <w:sz w:val="32"/>
          <w:szCs w:val="32"/>
        </w:rPr>
        <w:t xml:space="preserve">土地使用变化的监测等多方面的工作。</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项目管理与协调问题。项目涉及多个部门和单位，项目管理与协调难度较大，出现信息传递不畅、责任不明确等问题。为了有效解决这些问题，需要建立一个高效的项目管理团队，制定明确的沟通机制和责任分配体系。同时，利用现代信息技术，来提高信息共享的效率，确保所有参与方都能够及时获取项目进展和相关决策信息，从而提高整个项目的执行效率和成功率。</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（三）下一步改进措施</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1.强化环境保护与生态修复：在项目实施过程中，严格遵守环保法规，采取一系列有效措施，以减少对周边环境的负面影响。加强生态修复工作，通过科学的方法和技术手段，确保项目与生态环境的协调发展，力求在推动经济发展的同时，也保护和改善了自然环境。</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优化项目管理机制：为了提高项目的整体管理水平和效率，建立健全的项目管理机制。明确各部门和单位的职责与分工，确保每个环节都有明确的责任人。同时，加强信息沟通与协调，确保项目信息的透明和流畅，从而提升团队协作的效率，为项目的顺利进行提供坚实的管理保障。</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七、有关建议</w:t>
      </w:r>
    </w:p>
    <w:p>
      <w:pPr>
        <w:spacing w:line="540" w:lineRule="exact"/>
        <w:ind w:firstLine="567"/>
        <w:rPr>
          <w:rStyle w:val="Strong"/>
          <w:rFonts w:ascii="仿宋" w:eastAsia="仿宋" w:hAnsi="仿宋" w:cs="仿宋"/>
          <w:b w:val="0"/>
          <w:bCs w:val="0"/>
          <w:spacing w:val="-4"/>
          <w:sz w:val="32"/>
          <w:szCs w:val="32"/>
        </w:rPr>
      </w:pPr>
      <w:r>
        <w:rPr>
          <w:rStyle w:val="Strong"/>
          <w:rFonts w:ascii="仿宋" w:eastAsia="仿宋" w:hAnsi="仿宋" w:cs="仿宋" w:hint="eastAsia"/>
          <w:b w:val="0"/>
          <w:bCs w:val="0"/>
          <w:spacing w:val="-4"/>
          <w:sz w:val="32"/>
          <w:szCs w:val="32"/>
        </w:rPr>
        <w:t xml:space="preserve">1.建议提高管护人员专业素质。针对项目后续管护过程中的人员需求，开展针对性的培训和技能提升工作。通过定期的教育课程和实践操作，提高人员的专业素质和技能水平，从而为项目后续持续发挥效益提供有力保障。这样不仅能够确保管护工作的专业性，还能增强团队应对各种突发情况的能力。</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2.建议建立健全管护制度。为了确保项目的长期稳定运行，需要制定一套详细的项目管护制度。这包括但不限于设施维护、巡检、保养、安全监测等方面的规定，确保各项管护工作有章可循，责任明确。通过制度的建立，可以规范管护流程，提高工作效率，同时也能为可能出现的问题提供解决的依据。</w:t>
      </w:r>
      <w:r>
        <w:rPr>
          <w:rFonts w:ascii="仿宋" w:eastAsia="仿宋" w:hAnsi="仿宋" w:cs="仿宋" w:hint="eastAsia"/>
          <w:b w:val="0"/>
          <w:bCs w:val="0"/>
          <w:spacing w:val="-4"/>
          <w:sz w:val="32"/>
          <w:szCs w:val="32"/>
        </w:rPr>
        <w:br/>
      </w:r>
      <w:r>
        <w:rPr>
          <w:rStyle w:val="Strong"/>
          <w:rFonts w:ascii="仿宋" w:eastAsia="仿宋" w:hAnsi="仿宋" w:cs="仿宋" w:hint="eastAsia"/>
          <w:b w:val="0"/>
          <w:bCs w:val="0"/>
          <w:spacing w:val="-4"/>
          <w:sz w:val="32"/>
          <w:szCs w:val="32"/>
        </w:rPr>
        <w:t xml:space="preserve">3.建议加强设施维护与保养。为了保证输水设施的正常运行和长期稳定性，建议定期对输水设施进行检查、维修和保养。通过及时发现并处理设施损坏、老化等问题，可以有效避免因设施故障导致的停水或水质问题。此外，加强维护和保养工作，还能延长设施的使用寿命，减少不必要的维修成本。</w:t>
      </w:r>
    </w:p>
    <w:p>
      <w:pPr>
        <w:spacing w:line="570" w:lineRule="exact"/>
        <w:ind w:firstLine="640" w:firstLineChars="200"/>
        <w:rPr>
          <w:rStyle w:val="Strong"/>
          <w:rFonts w:ascii="黑体" w:eastAsia="黑体" w:hAnsi="黑体" w:cs="黑体"/>
          <w:b w:val="0"/>
          <w:spacing w:val="-4"/>
          <w:sz w:val="32"/>
          <w:szCs w:val="32"/>
        </w:rPr>
      </w:pPr>
      <w:r>
        <w:rPr>
          <w:rStyle w:val="Strong"/>
          <w:rFonts w:ascii="黑体" w:eastAsia="黑体" w:hAnsi="黑体" w:cs="黑体" w:hint="eastAsia"/>
          <w:b w:val="0"/>
          <w:spacing w:val="-4"/>
          <w:sz w:val="32"/>
          <w:szCs w:val="32"/>
        </w:rPr>
        <w:t xml:space="preserve">八、其他需要说明的问题</w:t>
      </w:r>
    </w:p>
    <w:p>
      <w:pPr>
        <w:spacing w:line="540" w:lineRule="exact"/>
        <w:ind w:firstLine="567"/>
        <w:rPr>
          <w:rStyle w:val="Strong"/>
          <w:rFonts w:ascii="仿宋" w:eastAsia="仿宋" w:hAnsi="仿宋"/>
          <w:b w:val="0"/>
          <w:spacing w:val="-4"/>
          <w:sz w:val="32"/>
          <w:szCs w:val="32"/>
        </w:rPr>
      </w:pPr>
      <w:r>
        <w:rPr>
          <w:rStyle w:val="Strong"/>
          <w:rFonts w:ascii="仿宋" w:eastAsia="仿宋" w:hAnsi="仿宋" w:cs="仿宋" w:hint="eastAsia"/>
          <w:b w:val="0"/>
          <w:bCs w:val="0"/>
          <w:spacing w:val="-4"/>
          <w:sz w:val="32"/>
          <w:szCs w:val="32"/>
        </w:rPr>
        <w:t xml:space="preserve">我单位对上述项目支出绩效评价报告内反映内容的真实性、完整性负责，接受上级部门及社会公众监督。</w:t>
      </w:r>
    </w:p>
    <w:sectPr>
      <w:footerReference w:type="default" r:id="rId2"/>
      <w:pgSz w:w="11906" w:h="16838" w:orient="portrait"/>
      <w:pgMar w:top="1440" w:right="1558" w:bottom="1440" w:left="1800" w:header="851" w:footer="992" w:gutter="0"/>
      <w:pgBorders/>
      <w:cols w:num="1" w:space="425">
        <w:col w:w="8548"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3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OTc0ZGFmZGVlMTU2YmFlODYzODJmYzUzZGI2NmMwNGE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299A846E7742483FADE25949A45A48D3_12</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Template>
  <TotalTime>0</TotalTime>
  <Pages>3</Pages>
  <Words>341</Words>
  <Characters>646</Characters>
  <Application>WPS Office_11.1.0.14036_F1E327BC-269C-435d-A152-05C5408002CA</Application>
  <DocSecurity>0</DocSecurity>
  <Lines>5</Lines>
  <Paragraphs>1</Paragraphs>
  <Company>Microsoft</Company>
  <CharactersWithSpaces>652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ksjx-admin</cp:lastModifiedBy>
  <cp:revision>19</cp:revision>
  <cp:lastPrinted>2018-12-31T10:56:00Z</cp:lastPrinted>
  <dcterms:created xsi:type="dcterms:W3CDTF">2022-01-14T05:11:00Z</dcterms:created>
  <dcterms:modified xsi:type="dcterms:W3CDTF">2025-03-26T11:27:46Z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2052-11.1.0.14036</vt:lpwstr>
  </property>
  <property fmtid="{D5CDD505-2E9C-101B-9397-08002B2CF9AE}" pid="3" name="ICV">
    <vt:lpwstr>299A846E7742483FADE25949A45A48D3_12</vt:lpwstr>
  </property>
</Properties>
</file>