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ascii="仿宋_GB2312" w:hAnsi="仿宋_GB2312" w:eastAsia="仿宋_GB2312" w:cs="仿宋_GB2312"/>
          <w:kern w:val="0"/>
          <w:sz w:val="36"/>
          <w:szCs w:val="36"/>
        </w:rPr>
        <w:t>2020</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bookmarkStart w:id="0" w:name="_GoBack"/>
      <w:bookmarkEnd w:id="0"/>
    </w:p>
    <w:p>
      <w:pPr>
        <w:spacing w:line="700" w:lineRule="exact"/>
        <w:jc w:val="left"/>
        <w:rPr>
          <w:rFonts w:hAnsi="宋体" w:eastAsia="仿宋_GB2312" w:cs="宋体"/>
          <w:kern w:val="0"/>
          <w:sz w:val="36"/>
          <w:szCs w:val="36"/>
        </w:rPr>
      </w:pPr>
    </w:p>
    <w:p>
      <w:pPr>
        <w:spacing w:line="700" w:lineRule="exact"/>
        <w:ind w:left="3960" w:leftChars="0" w:hanging="3960" w:hangingChars="11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岳普湖县商务和经济信息化委员会</w:t>
      </w:r>
    </w:p>
    <w:p>
      <w:pPr>
        <w:spacing w:line="700" w:lineRule="exact"/>
        <w:ind w:left="0" w:leftChars="0" w:firstLine="0" w:firstLineChars="0"/>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ascii="仿宋_GB2312" w:hAnsi="仿宋_GB2312" w:eastAsia="仿宋_GB2312" w:cs="仿宋_GB2312"/>
          <w:kern w:val="0"/>
          <w:sz w:val="36"/>
          <w:szCs w:val="36"/>
        </w:rPr>
        <w:t xml:space="preserve">2021 年 </w:t>
      </w:r>
      <w:r>
        <w:rPr>
          <w:rFonts w:hint="eastAsia" w:ascii="仿宋_GB2312" w:hAnsi="仿宋_GB2312" w:eastAsia="仿宋_GB2312" w:cs="仿宋_GB2312"/>
          <w:kern w:val="0"/>
          <w:sz w:val="36"/>
          <w:szCs w:val="36"/>
          <w:lang w:val="en-US" w:eastAsia="zh-CN"/>
        </w:rPr>
        <w:t>03</w:t>
      </w:r>
      <w:r>
        <w:rPr>
          <w:rFonts w:hint="eastAsia" w:ascii="仿宋_GB2312" w:hAnsi="仿宋_GB2312" w:eastAsia="仿宋_GB2312" w:cs="仿宋_GB2312"/>
          <w:kern w:val="0"/>
          <w:sz w:val="36"/>
          <w:szCs w:val="36"/>
        </w:rPr>
        <w:t xml:space="preserve"> 月 </w:t>
      </w:r>
      <w:r>
        <w:rPr>
          <w:rFonts w:hint="eastAsia" w:ascii="仿宋_GB2312" w:hAnsi="仿宋_GB2312" w:eastAsia="仿宋_GB2312" w:cs="仿宋_GB2312"/>
          <w:kern w:val="0"/>
          <w:sz w:val="36"/>
          <w:szCs w:val="36"/>
          <w:lang w:val="en-US" w:eastAsia="zh-CN"/>
        </w:rPr>
        <w:t xml:space="preserve">15 </w:t>
      </w:r>
      <w:r>
        <w:rPr>
          <w:rFonts w:hint="eastAsia" w:ascii="仿宋_GB2312" w:hAnsi="仿宋_GB2312" w:eastAsia="仿宋_GB2312" w:cs="仿宋_GB2312"/>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bidi="ar"/>
        </w:rPr>
        <w:t>（一）单位基本情况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1.部门主要职能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贯彻执行国家、自治区、地区工业信息化的法律、法规和方针政策。监测、分析全县物流与电子商务产业的运行态势，统计并发布相关信息，进行预测预警和信息引导。指导工商企业投资和商业性银行贷款方向。拟定服务贸易发展规划并开展相关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2.部门机构设置及人员构成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成立时间2011年12月，隶属县人民政府，下设商务办、工信办、行政办等科室，</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下设机构为</w:t>
      </w:r>
      <w:r>
        <w:rPr>
          <w:rStyle w:val="8"/>
          <w:rFonts w:hint="default" w:ascii="仿宋_GB2312" w:hAnsi="仿宋_GB2312" w:eastAsia="仿宋_GB2312" w:cs="仿宋_GB2312"/>
          <w:b w:val="0"/>
          <w:color w:val="333333"/>
          <w:sz w:val="32"/>
          <w:szCs w:val="32"/>
          <w:lang w:val="en-US" w:eastAsia="zh-CN" w:bidi="ar"/>
        </w:rPr>
        <w:t>教务处</w:t>
      </w:r>
      <w:r>
        <w:rPr>
          <w:rStyle w:val="8"/>
          <w:rFonts w:hint="eastAsia" w:ascii="仿宋_GB2312" w:hAnsi="仿宋_GB2312" w:eastAsia="仿宋_GB2312" w:cs="仿宋_GB2312"/>
          <w:b w:val="0"/>
          <w:color w:val="333333"/>
          <w:sz w:val="32"/>
          <w:szCs w:val="32"/>
          <w:lang w:val="en-US" w:eastAsia="zh-CN" w:bidi="ar"/>
        </w:rPr>
        <w:t>、</w:t>
      </w:r>
      <w:r>
        <w:rPr>
          <w:rStyle w:val="8"/>
          <w:rFonts w:hint="default" w:ascii="仿宋_GB2312" w:hAnsi="仿宋_GB2312" w:eastAsia="仿宋_GB2312" w:cs="仿宋_GB2312"/>
          <w:b w:val="0"/>
          <w:color w:val="333333"/>
          <w:sz w:val="32"/>
          <w:szCs w:val="32"/>
          <w:lang w:val="en-US" w:eastAsia="zh-CN" w:bidi="ar"/>
        </w:rPr>
        <w:t>行政办公室</w:t>
      </w:r>
      <w:r>
        <w:rPr>
          <w:rStyle w:val="8"/>
          <w:rFonts w:hint="eastAsia" w:ascii="仿宋_GB2312" w:hAnsi="仿宋_GB2312" w:eastAsia="仿宋_GB2312" w:cs="仿宋_GB2312"/>
          <w:b w:val="0"/>
          <w:color w:val="333333"/>
          <w:sz w:val="32"/>
          <w:szCs w:val="32"/>
          <w:lang w:val="en-US" w:eastAsia="zh-CN" w:bidi="ar"/>
        </w:rPr>
        <w:t>、</w:t>
      </w:r>
      <w:r>
        <w:rPr>
          <w:rStyle w:val="8"/>
          <w:rFonts w:hint="default" w:ascii="仿宋_GB2312" w:hAnsi="仿宋_GB2312" w:eastAsia="仿宋_GB2312" w:cs="仿宋_GB2312"/>
          <w:b w:val="0"/>
          <w:color w:val="333333"/>
          <w:sz w:val="32"/>
          <w:szCs w:val="32"/>
          <w:lang w:val="en-US" w:eastAsia="zh-CN" w:bidi="ar"/>
        </w:rPr>
        <w:t>工信办</w:t>
      </w:r>
      <w:r>
        <w:rPr>
          <w:rStyle w:val="8"/>
          <w:rFonts w:hint="eastAsia" w:ascii="仿宋_GB2312" w:hAnsi="仿宋_GB2312" w:eastAsia="仿宋_GB2312" w:cs="仿宋_GB2312"/>
          <w:b w:val="0"/>
          <w:color w:val="333333"/>
          <w:sz w:val="32"/>
          <w:szCs w:val="32"/>
          <w:lang w:val="en-US" w:eastAsia="zh-CN" w:bidi="ar"/>
        </w:rPr>
        <w:t>、</w:t>
      </w:r>
      <w:r>
        <w:rPr>
          <w:rStyle w:val="8"/>
          <w:rFonts w:hint="default" w:ascii="仿宋_GB2312" w:hAnsi="仿宋_GB2312" w:eastAsia="仿宋_GB2312" w:cs="仿宋_GB2312"/>
          <w:b w:val="0"/>
          <w:color w:val="333333"/>
          <w:sz w:val="32"/>
          <w:szCs w:val="32"/>
          <w:lang w:val="en-US" w:eastAsia="zh-CN" w:bidi="ar"/>
        </w:rPr>
        <w:t>商务办</w:t>
      </w:r>
      <w:r>
        <w:rPr>
          <w:rStyle w:val="8"/>
          <w:rFonts w:hint="eastAsia" w:ascii="仿宋_GB2312" w:hAnsi="仿宋_GB2312" w:eastAsia="仿宋_GB2312" w:cs="仿宋_GB2312"/>
          <w:b w:val="0"/>
          <w:color w:val="333333"/>
          <w:sz w:val="32"/>
          <w:szCs w:val="32"/>
          <w:lang w:val="en-US" w:eastAsia="zh-CN" w:bidi="ar"/>
        </w:rPr>
        <w:t>、</w:t>
      </w:r>
      <w:r>
        <w:rPr>
          <w:rStyle w:val="8"/>
          <w:rFonts w:hint="default" w:ascii="仿宋_GB2312" w:hAnsi="仿宋_GB2312" w:eastAsia="仿宋_GB2312" w:cs="仿宋_GB2312"/>
          <w:b w:val="0"/>
          <w:color w:val="333333"/>
          <w:sz w:val="32"/>
          <w:szCs w:val="32"/>
          <w:lang w:val="en-US" w:eastAsia="zh-CN" w:bidi="ar"/>
        </w:rPr>
        <w:t>财务办公室。人员编制</w:t>
      </w:r>
      <w:r>
        <w:rPr>
          <w:rStyle w:val="8"/>
          <w:rFonts w:hint="eastAsia" w:ascii="仿宋_GB2312" w:hAnsi="仿宋_GB2312" w:eastAsia="仿宋_GB2312" w:cs="仿宋_GB2312"/>
          <w:b w:val="0"/>
          <w:color w:val="333333"/>
          <w:sz w:val="32"/>
          <w:szCs w:val="32"/>
          <w:lang w:val="en-US" w:eastAsia="zh-CN" w:bidi="ar"/>
        </w:rPr>
        <w:t>为</w:t>
      </w:r>
      <w:r>
        <w:rPr>
          <w:rStyle w:val="8"/>
          <w:rFonts w:hint="default" w:ascii="仿宋_GB2312" w:hAnsi="仿宋_GB2312" w:eastAsia="仿宋_GB2312" w:cs="仿宋_GB2312"/>
          <w:b w:val="0"/>
          <w:color w:val="333333"/>
          <w:sz w:val="32"/>
          <w:szCs w:val="32"/>
          <w:lang w:val="en-US" w:eastAsia="zh-CN" w:bidi="ar"/>
        </w:rPr>
        <w:t>8</w:t>
      </w:r>
      <w:r>
        <w:rPr>
          <w:rStyle w:val="8"/>
          <w:rFonts w:hint="eastAsia" w:ascii="仿宋_GB2312" w:hAnsi="仿宋_GB2312" w:eastAsia="仿宋_GB2312" w:cs="仿宋_GB2312"/>
          <w:b w:val="0"/>
          <w:color w:val="333333"/>
          <w:sz w:val="32"/>
          <w:szCs w:val="32"/>
          <w:lang w:val="en-US" w:eastAsia="zh-CN" w:bidi="ar"/>
        </w:rPr>
        <w:t>人。</w:t>
      </w:r>
      <w:r>
        <w:rPr>
          <w:rStyle w:val="8"/>
          <w:rFonts w:hint="default" w:ascii="仿宋_GB2312" w:hAnsi="仿宋_GB2312" w:eastAsia="仿宋_GB2312" w:cs="仿宋_GB2312"/>
          <w:b w:val="0"/>
          <w:color w:val="333333"/>
          <w:sz w:val="32"/>
          <w:szCs w:val="32"/>
          <w:lang w:val="en-US" w:eastAsia="zh-CN" w:bidi="ar"/>
        </w:rPr>
        <w:t>实有人数</w:t>
      </w:r>
      <w:r>
        <w:rPr>
          <w:rStyle w:val="8"/>
          <w:rFonts w:hint="eastAsia" w:ascii="仿宋_GB2312" w:hAnsi="仿宋_GB2312" w:eastAsia="仿宋_GB2312" w:cs="仿宋_GB2312"/>
          <w:b w:val="0"/>
          <w:color w:val="333333"/>
          <w:sz w:val="32"/>
          <w:szCs w:val="32"/>
          <w:lang w:val="en-US" w:eastAsia="zh-CN" w:bidi="ar"/>
        </w:rPr>
        <w:t>2</w:t>
      </w:r>
      <w:r>
        <w:rPr>
          <w:rStyle w:val="8"/>
          <w:rFonts w:hint="default" w:ascii="仿宋_GB2312" w:hAnsi="仿宋_GB2312" w:eastAsia="仿宋_GB2312" w:cs="仿宋_GB2312"/>
          <w:b w:val="0"/>
          <w:color w:val="333333"/>
          <w:sz w:val="32"/>
          <w:szCs w:val="32"/>
          <w:lang w:val="en-US" w:eastAsia="zh-CN" w:bidi="ar"/>
        </w:rPr>
        <w:t>9人。</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3.年度重点工作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落实好县委、政府安排的职能职责，抓好项目实施管理资金支付工作。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（二）项目决策过程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部门项目的立项依据充分，符合相关法规政策及部门职责，依据充分。符合行业发展和政策要求，与部门职责范围相符，属于部门履职所需。符合中央、地方事权支出责任划分原则。</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部门项目立项程序规范，项目严格按照规定的程序申请设立；审批文件、材料符合相关要求；项目前期已经过必要的可行性研究、专家论证、风险评估、绩效评估、集体决策。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部门整体绩效指标明确，已将整体项目绩效目标细化分解为具体的绩效指标；可以通过清晰、可衡量的指标值予以体现；与整体项目目标任务数或计划数相对应。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预算编制科学，整体项目在资金投入方面，预算编制经过科学论证、有明确标准，资金额度与年度目标相适应，用以反映和考核项目预算编制的科学性、合理性情况。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资金分配合理，整体项目预算资金分配有测算依据，资金分配额度合理，与部门单位的实际情况相适应。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（三）项目资金分配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1.分配依据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紧密结合部门职能，开展部门预算编制工作，按照收支平衡、保障重点的原则，合理规范编制部门预算，分配依据充分。</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2.分配结果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预算编制和分配符合部门职责和任务要求，能根据年度工作重点，在不同项目、不同用途之间分配合理。整体绩效目标与预算确定的资金相匹配。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3.重点支出保障率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default" w:ascii="仿宋_GB2312" w:hAnsi="仿宋_GB2312" w:eastAsia="仿宋_GB2312" w:cs="仿宋_GB2312"/>
          <w:b w:val="0"/>
          <w:color w:val="333333"/>
          <w:sz w:val="32"/>
          <w:szCs w:val="32"/>
          <w:highlight w:val="none"/>
          <w:lang w:val="en-US" w:eastAsia="zh-CN" w:bidi="ar"/>
        </w:rPr>
        <w:t>本年度预算安排的重点项目支出</w:t>
      </w:r>
      <w:r>
        <w:rPr>
          <w:rStyle w:val="8"/>
          <w:rFonts w:hint="eastAsia" w:ascii="仿宋_GB2312" w:hAnsi="仿宋_GB2312" w:eastAsia="仿宋_GB2312" w:cs="仿宋_GB2312"/>
          <w:b w:val="0"/>
          <w:color w:val="333333"/>
          <w:sz w:val="32"/>
          <w:szCs w:val="32"/>
          <w:highlight w:val="none"/>
          <w:lang w:val="en-US" w:eastAsia="zh-CN" w:bidi="ar"/>
        </w:rPr>
        <w:t>14835.56万元，</w:t>
      </w:r>
      <w:r>
        <w:rPr>
          <w:rStyle w:val="8"/>
          <w:rFonts w:hint="default" w:ascii="仿宋_GB2312" w:hAnsi="仿宋_GB2312" w:eastAsia="仿宋_GB2312" w:cs="仿宋_GB2312"/>
          <w:b w:val="0"/>
          <w:color w:val="333333"/>
          <w:sz w:val="32"/>
          <w:szCs w:val="32"/>
          <w:highlight w:val="none"/>
          <w:lang w:val="en-US" w:eastAsia="zh-CN" w:bidi="ar"/>
        </w:rPr>
        <w:t>项目总支出</w:t>
      </w:r>
      <w:r>
        <w:rPr>
          <w:rStyle w:val="8"/>
          <w:rFonts w:hint="eastAsia" w:ascii="仿宋_GB2312" w:hAnsi="仿宋_GB2312" w:eastAsia="仿宋_GB2312" w:cs="仿宋_GB2312"/>
          <w:b w:val="0"/>
          <w:color w:val="333333"/>
          <w:sz w:val="32"/>
          <w:szCs w:val="32"/>
          <w:highlight w:val="none"/>
          <w:lang w:val="en-US" w:eastAsia="zh-CN" w:bidi="ar"/>
        </w:rPr>
        <w:t>15095.42万元，重点支出保障率为98.28%。</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（四）部门单位整体支出规模</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2020年度本单位部门整体支出年初预算总额为1978.45万元。其中：一般公共预算拨款支出1978.45万元，占比100%。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按预算支出用途划分，其中：基本支出全年预算合计223.19万元，占年度部门整体支出预算1.46%，主要用于人员工资社保及日常公用经费支出；项目支出全年预算15095.42万元，占年度部门整体支出预算的98.54%，主要用于保障年度完成核定的职能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部门整体支出全年预算数为15318.61万元，实际预算执行数15318.61万元，预算执行率为100%。</w:t>
      </w:r>
    </w:p>
    <w:p>
      <w:pPr>
        <w:ind w:firstLine="640" w:firstLineChars="200"/>
      </w:pPr>
      <w:r>
        <w:rPr>
          <w:rStyle w:val="8"/>
          <w:rFonts w:hint="eastAsia" w:ascii="仿宋_GB2312" w:hAnsi="仿宋_GB2312" w:eastAsia="仿宋_GB2312" w:cs="仿宋_GB2312"/>
          <w:b w:val="0"/>
          <w:color w:val="333333"/>
          <w:sz w:val="32"/>
          <w:szCs w:val="32"/>
          <w:lang w:val="en-US" w:eastAsia="zh-CN" w:bidi="ar"/>
        </w:rPr>
        <w:t>年初基本支出预算数为163.50万元，全年基本支出预算调整数为223.19万元，支出预算调整率36.51%。</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lang w:val="en-US" w:eastAsia="zh-CN" w:bidi="ar"/>
        </w:rPr>
        <w:t>年初政府</w:t>
      </w:r>
      <w:r>
        <w:rPr>
          <w:rStyle w:val="8"/>
          <w:rFonts w:hint="eastAsia" w:ascii="仿宋_GB2312" w:hAnsi="仿宋_GB2312" w:eastAsia="仿宋_GB2312" w:cs="仿宋_GB2312"/>
          <w:b w:val="0"/>
          <w:color w:val="auto"/>
          <w:sz w:val="32"/>
          <w:szCs w:val="32"/>
          <w:highlight w:val="none"/>
          <w:lang w:val="en-US" w:eastAsia="zh-CN" w:bidi="ar"/>
        </w:rPr>
        <w:t>采购预算数为8694.19万元，实际政府采购数为8694.19万元，政府采购执行率为100%。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项目支出总预算15095.42万元,涉及20个项目。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r>
        <w:rPr>
          <w:rStyle w:val="8"/>
          <w:rFonts w:hint="eastAsia" w:ascii="方正楷体_GBK" w:hAnsi="方正楷体_GBK" w:eastAsia="方正楷体_GBK" w:cs="方正楷体_GBK"/>
          <w:b w:val="0"/>
          <w:color w:val="auto"/>
          <w:sz w:val="32"/>
          <w:szCs w:val="32"/>
          <w:lang w:val="en-US" w:eastAsia="zh-CN" w:bidi="ar"/>
        </w:rPr>
        <w:t>（五）评价使用方法和主要内容、涉及范围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1.评价使用方法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绩效评价方法主要采用综合评价法来进行评价，通过综合研究本部门职能，对比分析项目设立与部门职能之间的匹配关系，对项目的分类及合理性进行评价。在综合评价法评价的基础上，综合辅以成本分析法、比较法等。</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2.主要内容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的主要内容为部门目标、部门职能、资源配置、预算管理、财务管理、人力资源管理、资产管理、业务管理、部门绩效产出。同时着重对部门基本支出、项目支出结构安排的合理性、职责执行的规范性进行评价。</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评价范围是部门单位的部门决策、部门管理和部门绩效。</w:t>
      </w: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（一）预算管理情况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1.管理制度健全性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本部门在整体项目组织实施方面，已制定或具有相应的财务和业务管理制度，财务和业务管理制度合法、合规、完整。</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2.资金使用合规性和安全性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部门预算资金使用符合国家法规和财务管理制度；预算资金拨付有完整的审批程序和手续，符合项目预算批复或合同规定的用途；不存在截留、挤占、挪用、虚列支出等情况。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3.预决算信息公开性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按照《中央、国务院关于进一步推进预算公开工作的意见（中办发〔2016〕13号）、《地方预决算公开操作规程》（财预〔2016〕143号）</w:t>
      </w:r>
      <w:r>
        <w:rPr>
          <w:rStyle w:val="8"/>
          <w:rFonts w:hint="eastAsia" w:ascii="仿宋_GB2312" w:hAnsi="仿宋_GB2312" w:eastAsia="仿宋_GB2312" w:cs="仿宋_GB2312"/>
          <w:b w:val="0"/>
          <w:color w:val="333333"/>
          <w:sz w:val="32"/>
          <w:szCs w:val="32"/>
          <w:lang w:val="en-US" w:eastAsia="zh-CN" w:bidi="ar"/>
        </w:rPr>
        <w:t>等相关要求，本</w:t>
      </w:r>
      <w:r>
        <w:rPr>
          <w:rStyle w:val="8"/>
          <w:rFonts w:hint="default" w:ascii="仿宋_GB2312" w:hAnsi="仿宋_GB2312" w:eastAsia="仿宋_GB2312" w:cs="仿宋_GB2312"/>
          <w:b w:val="0"/>
          <w:color w:val="333333"/>
          <w:sz w:val="32"/>
          <w:szCs w:val="32"/>
          <w:lang w:val="en-US" w:eastAsia="zh-CN" w:bidi="ar"/>
        </w:rPr>
        <w:t>部门</w:t>
      </w:r>
      <w:r>
        <w:rPr>
          <w:rStyle w:val="8"/>
          <w:rFonts w:hint="eastAsia" w:ascii="仿宋_GB2312" w:hAnsi="仿宋_GB2312" w:eastAsia="仿宋_GB2312" w:cs="仿宋_GB2312"/>
          <w:b w:val="0"/>
          <w:color w:val="333333"/>
          <w:sz w:val="32"/>
          <w:szCs w:val="32"/>
          <w:lang w:val="en-US" w:eastAsia="zh-CN" w:bidi="ar"/>
        </w:rPr>
        <w:t>已在岳普湖县政府网站</w:t>
      </w:r>
      <w:r>
        <w:rPr>
          <w:rStyle w:val="8"/>
          <w:rFonts w:hint="default" w:ascii="仿宋_GB2312" w:hAnsi="仿宋_GB2312" w:eastAsia="仿宋_GB2312" w:cs="仿宋_GB2312"/>
          <w:b w:val="0"/>
          <w:color w:val="333333"/>
          <w:sz w:val="32"/>
          <w:szCs w:val="32"/>
          <w:lang w:val="en-US" w:eastAsia="zh-CN" w:bidi="ar"/>
        </w:rPr>
        <w:t>公开</w:t>
      </w:r>
      <w:r>
        <w:rPr>
          <w:rStyle w:val="8"/>
          <w:rFonts w:hint="eastAsia" w:ascii="仿宋_GB2312" w:hAnsi="仿宋_GB2312" w:eastAsia="仿宋_GB2312" w:cs="仿宋_GB2312"/>
          <w:b w:val="0"/>
          <w:color w:val="333333"/>
          <w:sz w:val="32"/>
          <w:szCs w:val="32"/>
          <w:lang w:val="en-US" w:eastAsia="zh-CN" w:bidi="ar"/>
        </w:rPr>
        <w:t>部门</w:t>
      </w:r>
      <w:r>
        <w:rPr>
          <w:rStyle w:val="8"/>
          <w:rFonts w:hint="default" w:ascii="仿宋_GB2312" w:hAnsi="仿宋_GB2312" w:eastAsia="仿宋_GB2312" w:cs="仿宋_GB2312"/>
          <w:b w:val="0"/>
          <w:color w:val="333333"/>
          <w:sz w:val="32"/>
          <w:szCs w:val="32"/>
          <w:lang w:val="en-US" w:eastAsia="zh-CN" w:bidi="ar"/>
        </w:rPr>
        <w:t>预决算信息</w:t>
      </w:r>
      <w:r>
        <w:rPr>
          <w:rStyle w:val="8"/>
          <w:rFonts w:hint="eastAsia" w:ascii="仿宋_GB2312" w:hAnsi="仿宋_GB2312" w:eastAsia="仿宋_GB2312" w:cs="仿宋_GB2312"/>
          <w:b w:val="0"/>
          <w:color w:val="333333"/>
          <w:sz w:val="32"/>
          <w:szCs w:val="32"/>
          <w:lang w:val="en-US"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（二）基本支出和使用情况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基本支出</w:t>
      </w:r>
      <w:r>
        <w:rPr>
          <w:rStyle w:val="8"/>
          <w:rFonts w:hint="eastAsia" w:ascii="仿宋_GB2312" w:hAnsi="仿宋_GB2312" w:eastAsia="仿宋_GB2312" w:cs="仿宋_GB2312"/>
          <w:b w:val="0"/>
          <w:color w:val="333333"/>
          <w:sz w:val="32"/>
          <w:szCs w:val="32"/>
          <w:highlight w:val="none"/>
          <w:lang w:val="en-US" w:eastAsia="zh-CN" w:bidi="ar"/>
        </w:rPr>
        <w:t>全年</w:t>
      </w:r>
      <w:r>
        <w:rPr>
          <w:rStyle w:val="8"/>
          <w:rFonts w:hint="eastAsia" w:ascii="仿宋_GB2312" w:hAnsi="仿宋_GB2312" w:eastAsia="仿宋_GB2312" w:cs="仿宋_GB2312"/>
          <w:b w:val="0"/>
          <w:color w:val="333333"/>
          <w:sz w:val="32"/>
          <w:szCs w:val="32"/>
          <w:highlight w:val="none"/>
          <w:lang w:bidi="ar"/>
        </w:rPr>
        <w:t>预算总额</w:t>
      </w:r>
      <w:r>
        <w:rPr>
          <w:rStyle w:val="8"/>
          <w:rFonts w:hint="eastAsia" w:ascii="仿宋_GB2312" w:hAnsi="仿宋_GB2312" w:eastAsia="仿宋_GB2312" w:cs="仿宋_GB2312"/>
          <w:b w:val="0"/>
          <w:color w:val="333333"/>
          <w:sz w:val="32"/>
          <w:szCs w:val="32"/>
          <w:highlight w:val="none"/>
          <w:lang w:val="en-US" w:eastAsia="zh-CN" w:bidi="ar"/>
        </w:rPr>
        <w:t>223.19</w:t>
      </w:r>
      <w:r>
        <w:rPr>
          <w:rStyle w:val="8"/>
          <w:rFonts w:hint="eastAsia" w:ascii="仿宋_GB2312" w:hAnsi="仿宋_GB2312" w:eastAsia="仿宋_GB2312" w:cs="仿宋_GB2312"/>
          <w:b w:val="0"/>
          <w:color w:val="333333"/>
          <w:sz w:val="32"/>
          <w:szCs w:val="32"/>
          <w:highlight w:val="none"/>
          <w:lang w:bidi="ar"/>
        </w:rPr>
        <w:t>万元，其中</w:t>
      </w:r>
      <w:r>
        <w:rPr>
          <w:rStyle w:val="8"/>
          <w:rFonts w:hint="eastAsia" w:ascii="仿宋_GB2312" w:hAnsi="仿宋_GB2312" w:eastAsia="仿宋_GB2312" w:cs="仿宋_GB2312"/>
          <w:b w:val="0"/>
          <w:color w:val="333333"/>
          <w:sz w:val="32"/>
          <w:szCs w:val="32"/>
          <w:highlight w:val="none"/>
          <w:lang w:eastAsia="zh-CN" w:bidi="ar"/>
        </w:rPr>
        <w:t>：</w:t>
      </w:r>
      <w:r>
        <w:rPr>
          <w:rStyle w:val="8"/>
          <w:rFonts w:hint="eastAsia" w:ascii="仿宋_GB2312" w:hAnsi="仿宋_GB2312" w:eastAsia="仿宋_GB2312" w:cs="仿宋_GB2312"/>
          <w:b w:val="0"/>
          <w:color w:val="333333"/>
          <w:sz w:val="32"/>
          <w:szCs w:val="32"/>
          <w:highlight w:val="none"/>
          <w:lang w:bidi="ar"/>
        </w:rPr>
        <w:t>人员经费</w:t>
      </w:r>
      <w:r>
        <w:rPr>
          <w:rStyle w:val="8"/>
          <w:rFonts w:hint="eastAsia" w:ascii="仿宋_GB2312" w:hAnsi="仿宋_GB2312" w:eastAsia="仿宋_GB2312" w:cs="仿宋_GB2312"/>
          <w:b w:val="0"/>
          <w:color w:val="333333"/>
          <w:sz w:val="32"/>
          <w:szCs w:val="32"/>
          <w:highlight w:val="none"/>
          <w:lang w:val="en-US" w:eastAsia="zh-CN" w:bidi="ar"/>
        </w:rPr>
        <w:t>216.51</w:t>
      </w:r>
      <w:r>
        <w:rPr>
          <w:rStyle w:val="8"/>
          <w:rFonts w:hint="eastAsia" w:ascii="仿宋_GB2312" w:hAnsi="仿宋_GB2312" w:eastAsia="仿宋_GB2312" w:cs="仿宋_GB2312"/>
          <w:b w:val="0"/>
          <w:color w:val="333333"/>
          <w:sz w:val="32"/>
          <w:szCs w:val="32"/>
          <w:highlight w:val="none"/>
          <w:lang w:bidi="ar"/>
        </w:rPr>
        <w:t>万元，公用经费</w:t>
      </w:r>
      <w:r>
        <w:rPr>
          <w:rStyle w:val="8"/>
          <w:rFonts w:hint="eastAsia" w:ascii="仿宋_GB2312" w:hAnsi="仿宋_GB2312" w:eastAsia="仿宋_GB2312" w:cs="仿宋_GB2312"/>
          <w:b w:val="0"/>
          <w:color w:val="333333"/>
          <w:sz w:val="32"/>
          <w:szCs w:val="32"/>
          <w:highlight w:val="none"/>
          <w:lang w:val="en-US" w:eastAsia="zh-CN" w:bidi="ar"/>
        </w:rPr>
        <w:t>6.68</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223.19</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基本支出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100</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eastAsia="zh-CN" w:bidi="ar"/>
        </w:rPr>
      </w:pPr>
      <w:r>
        <w:rPr>
          <w:rStyle w:val="8"/>
          <w:rFonts w:hint="eastAsia" w:ascii="仿宋_GB2312" w:hAnsi="仿宋_GB2312" w:eastAsia="仿宋_GB2312" w:cs="仿宋_GB2312"/>
          <w:b w:val="0"/>
          <w:color w:val="333333"/>
          <w:sz w:val="32"/>
          <w:szCs w:val="32"/>
          <w:highlight w:val="none"/>
          <w:lang w:val="en-US" w:eastAsia="zh-CN" w:bidi="ar"/>
        </w:rPr>
        <w:t>三公经费控制情况：</w:t>
      </w:r>
      <w:r>
        <w:rPr>
          <w:rStyle w:val="8"/>
          <w:rFonts w:hint="eastAsia" w:ascii="仿宋_GB2312" w:hAnsi="仿宋_GB2312" w:eastAsia="仿宋_GB2312" w:cs="仿宋_GB2312"/>
          <w:b w:val="0"/>
          <w:color w:val="333333"/>
          <w:sz w:val="32"/>
          <w:szCs w:val="32"/>
          <w:highlight w:val="none"/>
          <w:lang w:bidi="ar"/>
        </w:rPr>
        <w:t>部门公务接待、公务用车、公款出国费用的控制情况符合财政部门当年的预算要求和相关管理制度要求</w:t>
      </w:r>
      <w:r>
        <w:rPr>
          <w:rStyle w:val="8"/>
          <w:rFonts w:hint="eastAsia" w:ascii="仿宋_GB2312" w:hAnsi="仿宋_GB2312" w:eastAsia="仿宋_GB2312" w:cs="仿宋_GB2312"/>
          <w:b w:val="0"/>
          <w:color w:val="333333"/>
          <w:sz w:val="32"/>
          <w:szCs w:val="32"/>
          <w:highlight w:val="none"/>
          <w:lang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highlight w:val="none"/>
          <w:lang w:val="en-US" w:eastAsia="zh-CN" w:bidi="ar"/>
        </w:rPr>
      </w:pPr>
      <w:r>
        <w:rPr>
          <w:rStyle w:val="8"/>
          <w:rFonts w:hint="eastAsia" w:ascii="方正楷体_GBK" w:hAnsi="方正楷体_GBK" w:eastAsia="方正楷体_GBK" w:cs="方正楷体_GBK"/>
          <w:b w:val="0"/>
          <w:color w:val="333333"/>
          <w:sz w:val="32"/>
          <w:szCs w:val="32"/>
          <w:highlight w:val="none"/>
          <w:lang w:val="en-US" w:eastAsia="zh-CN" w:bidi="ar"/>
        </w:rPr>
        <w:t>（三）专项支出管理和使用情况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本单位安排</w:t>
      </w:r>
      <w:r>
        <w:rPr>
          <w:rStyle w:val="8"/>
          <w:rFonts w:hint="eastAsia" w:ascii="仿宋_GB2312" w:hAnsi="仿宋_GB2312" w:eastAsia="仿宋_GB2312" w:cs="仿宋_GB2312"/>
          <w:b w:val="0"/>
          <w:color w:val="333333"/>
          <w:sz w:val="32"/>
          <w:szCs w:val="32"/>
          <w:highlight w:val="none"/>
          <w:lang w:bidi="ar"/>
        </w:rPr>
        <w:t>专项支出预算总额</w:t>
      </w:r>
      <w:r>
        <w:rPr>
          <w:rStyle w:val="8"/>
          <w:rFonts w:hint="eastAsia" w:ascii="仿宋_GB2312" w:hAnsi="仿宋_GB2312" w:eastAsia="仿宋_GB2312" w:cs="仿宋_GB2312"/>
          <w:b w:val="0"/>
          <w:color w:val="333333"/>
          <w:sz w:val="32"/>
          <w:szCs w:val="32"/>
          <w:highlight w:val="none"/>
          <w:lang w:val="en-US" w:eastAsia="zh-CN" w:bidi="ar"/>
        </w:rPr>
        <w:t>15095.42</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15095.42</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专项支出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100</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共有</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个专项资金项目，其中</w:t>
      </w:r>
      <w:r>
        <w:rPr>
          <w:rStyle w:val="8"/>
          <w:rFonts w:hint="eastAsia" w:ascii="仿宋_GB2312" w:hAnsi="仿宋_GB2312" w:eastAsia="仿宋_GB2312" w:cs="仿宋_GB2312"/>
          <w:b w:val="0"/>
          <w:color w:val="333333"/>
          <w:sz w:val="32"/>
          <w:szCs w:val="32"/>
          <w:highlight w:val="none"/>
          <w:lang w:val="en-US" w:eastAsia="zh-CN" w:bidi="ar"/>
        </w:rPr>
        <w:t>7</w:t>
      </w:r>
      <w:r>
        <w:rPr>
          <w:rStyle w:val="8"/>
          <w:rFonts w:hint="eastAsia" w:ascii="仿宋_GB2312" w:hAnsi="仿宋_GB2312" w:eastAsia="仿宋_GB2312" w:cs="仿宋_GB2312"/>
          <w:b w:val="0"/>
          <w:color w:val="333333"/>
          <w:sz w:val="32"/>
          <w:szCs w:val="32"/>
          <w:highlight w:val="none"/>
          <w:lang w:bidi="ar"/>
        </w:rPr>
        <w:t>个属经常性项目、</w:t>
      </w:r>
      <w:r>
        <w:rPr>
          <w:rStyle w:val="8"/>
          <w:rFonts w:hint="eastAsia" w:ascii="仿宋_GB2312" w:hAnsi="仿宋_GB2312" w:eastAsia="仿宋_GB2312" w:cs="仿宋_GB2312"/>
          <w:b w:val="0"/>
          <w:color w:val="333333"/>
          <w:sz w:val="32"/>
          <w:szCs w:val="32"/>
          <w:highlight w:val="none"/>
          <w:lang w:val="en-US" w:eastAsia="zh-CN" w:bidi="ar"/>
        </w:rPr>
        <w:t>13</w:t>
      </w:r>
      <w:r>
        <w:rPr>
          <w:rStyle w:val="8"/>
          <w:rFonts w:hint="eastAsia" w:ascii="仿宋_GB2312" w:hAnsi="仿宋_GB2312" w:eastAsia="仿宋_GB2312" w:cs="仿宋_GB2312"/>
          <w:b w:val="0"/>
          <w:color w:val="333333"/>
          <w:sz w:val="32"/>
          <w:szCs w:val="32"/>
          <w:highlight w:val="none"/>
          <w:lang w:bidi="ar"/>
        </w:rPr>
        <w:t>个属当年度新增项目，已完成项目</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个</w:t>
      </w:r>
      <w:r>
        <w:rPr>
          <w:rStyle w:val="8"/>
          <w:rFonts w:hint="eastAsia" w:ascii="仿宋_GB2312" w:hAnsi="仿宋_GB2312" w:eastAsia="仿宋_GB2312" w:cs="仿宋_GB2312"/>
          <w:b w:val="0"/>
          <w:color w:val="333333"/>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三、部门单位专项组织实施情况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（一）专项组织情况分析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1.前期准备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通过与相关成员前期沟通，明确评价目标、识别重要评价事项和履行的评价责任。</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制定文件清单，了解项目基本情况，确认部门整体的绩效标，梳理部门内部管理制度，确定当年整体绩效评价重点。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2.组织实施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根据前期沟通了解评价对象基本情况，编制评价工作方案，进行调研实施。对数据采集、分析、处理结果撰写评价报告。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color w:val="auto"/>
          <w:spacing w:val="-4"/>
          <w:sz w:val="32"/>
          <w:szCs w:val="32"/>
          <w:lang w:val="en-US" w:eastAsia="zh-CN"/>
        </w:rPr>
      </w:pPr>
      <w:r>
        <w:rPr>
          <w:rStyle w:val="8"/>
          <w:rFonts w:hint="eastAsia" w:ascii="方正楷体_GBK" w:hAnsi="方正楷体_GBK" w:eastAsia="方正楷体_GBK" w:cs="方正楷体_GBK"/>
          <w:b w:val="0"/>
          <w:bCs w:val="0"/>
          <w:color w:val="auto"/>
          <w:spacing w:val="-4"/>
          <w:sz w:val="32"/>
          <w:szCs w:val="32"/>
          <w:lang w:val="en-US" w:eastAsia="zh-CN"/>
        </w:rPr>
        <w:t>（二）专项管理情况分析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1.项目资金情况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highlight w:val="none"/>
          <w:lang w:val="en-US" w:eastAsia="zh-CN"/>
        </w:rPr>
        <w:t>该项目预算资金15095.42万元，实际到位15095.42万元，实际支出15095.42万元。到位是足额</w:t>
      </w:r>
      <w:r>
        <w:rPr>
          <w:rStyle w:val="8"/>
          <w:rFonts w:hint="eastAsia" w:ascii="仿宋_GB2312" w:hAnsi="仿宋_GB2312" w:eastAsia="仿宋_GB2312" w:cs="仿宋_GB2312"/>
          <w:b w:val="0"/>
          <w:bCs w:val="0"/>
          <w:spacing w:val="-4"/>
          <w:sz w:val="32"/>
          <w:szCs w:val="32"/>
          <w:lang w:val="en-US" w:eastAsia="zh-CN"/>
        </w:rPr>
        <w:t>及时，预算编制依据充分，预算编制准确，资金不存在截留、挪用，支付审批合规、不存在用途改变、范围超支和虚列项目支出等情况；本项目严格按照《岳普湖县商务和经济信息化委员会单位财务管理制度》执行项目资金，实行专账核算、逐级审批。认真落实项目资金的使用各项管理制度，确保专款专用，及时拨付到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2.项目实施情况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项目管理情况：根据《项目绩效管理办法》及单位相关项目管理制度的规定，对项目的实施进行监督管理。建立健全项目后续各项监督管理制度，确保项目正常运转，长期发挥效益。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项目监管情况：不定期对项目进度和质量等进行监督检查，并且组织开展多种形式的监督检查，以加强日常监管为主，自查、随机抽查、专项检查等方式进行。对检查中发现的问题，及时纠正。</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3.项目绩效情况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成本控制情况：严格按照相关的专项资金管理办法，实行多重审批控制专项经费的支出。</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成本节约情况：项目根据实际情况做出合理预算，支出严格控制在预算范围内，本着节约成本，防止资源浪费的原则将项目成效最大化。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4.项目效率性</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项目实施进度：项目实施紧扣各个环节，逐步推进，及时与职能部门跟踪项目进展，加强项目督办，充分调动职能部门的积极性，加大项目投入工作的力度，加快项目实施进度。</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项目完成质量：项目严格按照年度预期目标执行，项目基本达标。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5.项目效益性</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val="0"/>
          <w:bCs w:val="0"/>
          <w:spacing w:val="-4"/>
          <w:sz w:val="32"/>
          <w:szCs w:val="32"/>
          <w:highlight w:val="none"/>
          <w:lang w:val="en-US" w:eastAsia="zh-CN"/>
        </w:rPr>
        <w:t>预期目标完成程度：按预定目标完成了年初所设定的各项指标。专项经费实际支出未超出预算规定，保障了专项工作的开展。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highlight w:val="none"/>
          <w:lang w:val="en-US" w:eastAsia="zh-CN"/>
        </w:rPr>
        <w:t>项目实施对效益的影响：保障项</w:t>
      </w:r>
      <w:r>
        <w:rPr>
          <w:rStyle w:val="8"/>
          <w:rFonts w:hint="eastAsia" w:ascii="仿宋_GB2312" w:hAnsi="仿宋_GB2312" w:eastAsia="仿宋_GB2312" w:cs="仿宋_GB2312"/>
          <w:b w:val="0"/>
          <w:bCs w:val="0"/>
          <w:spacing w:val="-4"/>
          <w:sz w:val="32"/>
          <w:szCs w:val="32"/>
          <w:lang w:val="en-US" w:eastAsia="zh-CN"/>
        </w:rPr>
        <w:t>目顺利进行，脱贫攻坚工作有序推进。</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资产管理情况</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一）资产管理规范性</w:t>
      </w:r>
    </w:p>
    <w:p>
      <w:pPr>
        <w:pStyle w:val="9"/>
        <w:tabs>
          <w:tab w:val="left" w:pos="0"/>
        </w:tabs>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1.流动资产的管理</w:t>
      </w:r>
    </w:p>
    <w:p>
      <w:pPr>
        <w:pStyle w:val="9"/>
        <w:tabs>
          <w:tab w:val="left" w:pos="0"/>
        </w:tabs>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流动资产严格按照本单位内控体系要求进行管理，无备用金，单位货币资金管理由财务科每月与银行进行对帐，并填写银行余额调节表。</w:t>
      </w:r>
    </w:p>
    <w:p>
      <w:pPr>
        <w:pStyle w:val="9"/>
        <w:tabs>
          <w:tab w:val="left" w:pos="0"/>
        </w:tabs>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2.固定资产的管理</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本单位的资产管理详细按照的相关要求执行,符合财政部门要求。每年定时对本单位的固定资产进行盘点，对盘点过程中发生的盈亏，进行原因查找，并上报单位党组研究决策，再上报财政国有资产管理科进行申报再行处理。</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二）固定资产利用率</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val="0"/>
          <w:bCs w:val="0"/>
          <w:spacing w:val="-4"/>
          <w:sz w:val="32"/>
          <w:szCs w:val="32"/>
          <w:highlight w:val="none"/>
          <w:lang w:val="en-US" w:eastAsia="zh-CN"/>
        </w:rPr>
        <w:t>截止本年度固定资产账面净值43.20万元，年末实际在用固定资产43.20万元，固定资产利用率为100%。</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部门单位整体支出绩效情况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部门单位整体支出共设置一级指标3个，二级指标</w:t>
      </w:r>
      <w:r>
        <w:rPr>
          <w:rStyle w:val="8"/>
          <w:rFonts w:hint="eastAsia" w:ascii="仿宋_GB2312" w:hAnsi="仿宋_GB2312" w:eastAsia="仿宋_GB2312" w:cs="仿宋_GB2312"/>
          <w:b w:val="0"/>
          <w:bCs w:val="0"/>
          <w:spacing w:val="-4"/>
          <w:sz w:val="32"/>
          <w:szCs w:val="32"/>
          <w:lang w:val="en-US" w:eastAsia="zh-CN"/>
        </w:rPr>
        <w:t>7</w:t>
      </w:r>
      <w:r>
        <w:rPr>
          <w:rStyle w:val="8"/>
          <w:rFonts w:hint="eastAsia" w:ascii="仿宋_GB2312" w:hAnsi="仿宋_GB2312" w:eastAsia="仿宋_GB2312" w:cs="仿宋_GB2312"/>
          <w:b w:val="0"/>
          <w:bCs w:val="0"/>
          <w:spacing w:val="-4"/>
          <w:sz w:val="32"/>
          <w:szCs w:val="32"/>
        </w:rPr>
        <w:t>个，三级指标</w:t>
      </w:r>
      <w:r>
        <w:rPr>
          <w:rStyle w:val="8"/>
          <w:rFonts w:hint="eastAsia" w:ascii="仿宋_GB2312" w:hAnsi="仿宋_GB2312" w:eastAsia="仿宋_GB2312" w:cs="仿宋_GB2312"/>
          <w:b w:val="0"/>
          <w:bCs w:val="0"/>
          <w:spacing w:val="-4"/>
          <w:sz w:val="32"/>
          <w:szCs w:val="32"/>
          <w:lang w:val="en-US" w:eastAsia="zh-CN"/>
        </w:rPr>
        <w:t>14</w:t>
      </w:r>
      <w:r>
        <w:rPr>
          <w:rStyle w:val="8"/>
          <w:rFonts w:hint="eastAsia" w:ascii="仿宋_GB2312" w:hAnsi="仿宋_GB2312" w:eastAsia="仿宋_GB2312" w:cs="仿宋_GB2312"/>
          <w:b w:val="0"/>
          <w:bCs w:val="0"/>
          <w:spacing w:val="-4"/>
          <w:sz w:val="32"/>
          <w:szCs w:val="32"/>
        </w:rPr>
        <w:t>个。</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 w:hAnsi="仿宋" w:eastAsia="仿宋"/>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w:t>
      </w:r>
      <w:r>
        <w:rPr>
          <w:rStyle w:val="8"/>
          <w:rFonts w:hint="eastAsia" w:ascii="方正楷体_GBK" w:hAnsi="方正楷体_GBK" w:eastAsia="方正楷体_GBK" w:cs="方正楷体_GBK"/>
          <w:b w:val="0"/>
          <w:bCs w:val="0"/>
          <w:spacing w:val="-4"/>
          <w:sz w:val="32"/>
          <w:szCs w:val="32"/>
        </w:rPr>
        <w:t>产出指标完成情况分析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1.产出</w:t>
      </w:r>
      <w:r>
        <w:rPr>
          <w:rStyle w:val="8"/>
          <w:rFonts w:hint="eastAsia" w:ascii="仿宋_GB2312" w:hAnsi="仿宋_GB2312" w:eastAsia="仿宋_GB2312" w:cs="仿宋_GB2312"/>
          <w:b w:val="0"/>
          <w:bCs w:val="0"/>
          <w:spacing w:val="-4"/>
          <w:sz w:val="32"/>
          <w:szCs w:val="32"/>
        </w:rPr>
        <w:t>数量</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保障人数指标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等于29</w:t>
      </w:r>
      <w:r>
        <w:rPr>
          <w:rStyle w:val="8"/>
          <w:rFonts w:hint="eastAsia" w:ascii="仿宋_GB2312" w:hAnsi="仿宋_GB2312" w:eastAsia="仿宋_GB2312" w:cs="仿宋_GB2312"/>
          <w:b w:val="0"/>
          <w:bCs w:val="0"/>
          <w:spacing w:val="-4"/>
          <w:sz w:val="32"/>
          <w:szCs w:val="32"/>
        </w:rPr>
        <w:t>人，实际完成值是</w:t>
      </w:r>
      <w:r>
        <w:rPr>
          <w:rStyle w:val="8"/>
          <w:rFonts w:hint="eastAsia" w:ascii="仿宋_GB2312" w:hAnsi="仿宋_GB2312" w:eastAsia="仿宋_GB2312" w:cs="仿宋_GB2312"/>
          <w:b w:val="0"/>
          <w:bCs w:val="0"/>
          <w:spacing w:val="-4"/>
          <w:sz w:val="32"/>
          <w:szCs w:val="32"/>
          <w:lang w:val="en-US" w:eastAsia="zh-CN"/>
        </w:rPr>
        <w:t>29</w:t>
      </w:r>
      <w:r>
        <w:rPr>
          <w:rStyle w:val="8"/>
          <w:rFonts w:hint="eastAsia" w:ascii="仿宋_GB2312" w:hAnsi="仿宋_GB2312" w:eastAsia="仿宋_GB2312" w:cs="仿宋_GB2312"/>
          <w:b w:val="0"/>
          <w:bCs w:val="0"/>
          <w:spacing w:val="-4"/>
          <w:sz w:val="32"/>
          <w:szCs w:val="32"/>
        </w:rPr>
        <w:t>人，指标完成率是100%，达到预期目标。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保障月份指标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等于12月</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12月</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数量指标共计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个，达到预期目标，数量指标完成。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2.产出</w:t>
      </w:r>
      <w:r>
        <w:rPr>
          <w:rStyle w:val="8"/>
          <w:rFonts w:hint="eastAsia" w:ascii="仿宋_GB2312" w:hAnsi="仿宋_GB2312" w:eastAsia="仿宋_GB2312" w:cs="仿宋_GB2312"/>
          <w:b w:val="0"/>
          <w:bCs w:val="0"/>
          <w:spacing w:val="-4"/>
          <w:sz w:val="32"/>
          <w:szCs w:val="32"/>
        </w:rPr>
        <w:t>质量</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工资福利发放保障率指标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项目验收合格率指标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val="en-US" w:eastAsia="zh-CN"/>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质量指标共计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个，达到预期目标，质量指标完成。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3.产出进</w:t>
      </w:r>
      <w:r>
        <w:rPr>
          <w:rStyle w:val="8"/>
          <w:rFonts w:hint="eastAsia" w:ascii="仿宋_GB2312" w:hAnsi="仿宋_GB2312" w:eastAsia="仿宋_GB2312" w:cs="仿宋_GB2312"/>
          <w:b w:val="0"/>
          <w:bCs w:val="0"/>
          <w:spacing w:val="-4"/>
          <w:sz w:val="32"/>
          <w:szCs w:val="32"/>
        </w:rPr>
        <w:t>度</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资金支付率指标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eastAsia="zh-CN"/>
        </w:rPr>
      </w:pPr>
      <w:r>
        <w:rPr>
          <w:rStyle w:val="8"/>
          <w:rFonts w:hint="eastAsia" w:ascii="仿宋_GB2312" w:hAnsi="仿宋_GB2312" w:eastAsia="仿宋_GB2312" w:cs="仿宋_GB2312"/>
          <w:b w:val="0"/>
          <w:bCs w:val="0"/>
          <w:spacing w:val="-4"/>
          <w:sz w:val="32"/>
          <w:szCs w:val="32"/>
          <w:lang w:val="en-US" w:eastAsia="zh-CN"/>
        </w:rPr>
        <w:t>项目完成及时率指标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时效指标共计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个，达到预期目标，时效指标完成。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4.产出成本</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工资福利支出总金额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139.16</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160.94</w:t>
      </w:r>
      <w:r>
        <w:rPr>
          <w:rStyle w:val="8"/>
          <w:rFonts w:hint="eastAsia" w:ascii="仿宋_GB2312" w:hAnsi="仿宋_GB2312" w:eastAsia="仿宋_GB2312" w:cs="仿宋_GB2312"/>
          <w:b w:val="0"/>
          <w:bCs w:val="0"/>
          <w:spacing w:val="-4"/>
          <w:sz w:val="32"/>
          <w:szCs w:val="32"/>
        </w:rPr>
        <w:t>万元，</w:t>
      </w:r>
      <w:r>
        <w:rPr>
          <w:rStyle w:val="8"/>
          <w:rFonts w:hint="eastAsia" w:ascii="仿宋_GB2312" w:hAnsi="仿宋_GB2312" w:eastAsia="仿宋_GB2312" w:cs="仿宋_GB2312"/>
          <w:b w:val="0"/>
          <w:bCs w:val="0"/>
          <w:spacing w:val="-4"/>
          <w:sz w:val="32"/>
          <w:szCs w:val="32"/>
          <w:lang w:val="en-US" w:eastAsia="zh-CN"/>
        </w:rPr>
        <w:t>未</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偏差原因：基本支出预算调整。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商品和服务支出总金额指标，预期指标小于等于</w:t>
      </w:r>
      <w:r>
        <w:rPr>
          <w:rStyle w:val="8"/>
          <w:rFonts w:hint="eastAsia" w:ascii="仿宋_GB2312" w:hAnsi="仿宋_GB2312" w:eastAsia="仿宋_GB2312" w:cs="仿宋_GB2312"/>
          <w:b w:val="0"/>
          <w:bCs w:val="0"/>
          <w:spacing w:val="-4"/>
          <w:sz w:val="32"/>
          <w:szCs w:val="32"/>
          <w:lang w:val="en-US" w:eastAsia="zh-CN"/>
        </w:rPr>
        <w:t>6</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6.68</w:t>
      </w:r>
      <w:r>
        <w:rPr>
          <w:rStyle w:val="8"/>
          <w:rFonts w:hint="eastAsia" w:ascii="仿宋_GB2312" w:hAnsi="仿宋_GB2312" w:eastAsia="仿宋_GB2312" w:cs="仿宋_GB2312"/>
          <w:b w:val="0"/>
          <w:bCs w:val="0"/>
          <w:spacing w:val="-4"/>
          <w:sz w:val="32"/>
          <w:szCs w:val="32"/>
        </w:rPr>
        <w:t>万元，</w:t>
      </w:r>
      <w:r>
        <w:rPr>
          <w:rStyle w:val="8"/>
          <w:rFonts w:hint="eastAsia" w:ascii="仿宋_GB2312" w:hAnsi="仿宋_GB2312" w:eastAsia="仿宋_GB2312" w:cs="仿宋_GB2312"/>
          <w:b w:val="0"/>
          <w:bCs w:val="0"/>
          <w:spacing w:val="-4"/>
          <w:sz w:val="32"/>
          <w:szCs w:val="32"/>
          <w:lang w:val="en-US" w:eastAsia="zh-CN"/>
        </w:rPr>
        <w:t>未</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偏差原因：基本支出预算调整。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对个人和家庭补助支出总金额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18.34</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55.57</w:t>
      </w:r>
      <w:r>
        <w:rPr>
          <w:rStyle w:val="8"/>
          <w:rFonts w:hint="eastAsia" w:ascii="仿宋_GB2312" w:hAnsi="仿宋_GB2312" w:eastAsia="仿宋_GB2312" w:cs="仿宋_GB2312"/>
          <w:b w:val="0"/>
          <w:bCs w:val="0"/>
          <w:spacing w:val="-4"/>
          <w:sz w:val="32"/>
          <w:szCs w:val="32"/>
        </w:rPr>
        <w:t>万元，</w:t>
      </w:r>
      <w:r>
        <w:rPr>
          <w:rStyle w:val="8"/>
          <w:rFonts w:hint="eastAsia" w:ascii="仿宋_GB2312" w:hAnsi="仿宋_GB2312" w:eastAsia="仿宋_GB2312" w:cs="仿宋_GB2312"/>
          <w:b w:val="0"/>
          <w:bCs w:val="0"/>
          <w:spacing w:val="-4"/>
          <w:sz w:val="32"/>
          <w:szCs w:val="32"/>
          <w:lang w:val="en-US" w:eastAsia="zh-CN"/>
        </w:rPr>
        <w:t>未</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偏差原因：基本支出预算调整。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项目支出总金额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1814.95</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3447.84</w:t>
      </w:r>
      <w:r>
        <w:rPr>
          <w:rStyle w:val="8"/>
          <w:rFonts w:hint="eastAsia" w:ascii="仿宋_GB2312" w:hAnsi="仿宋_GB2312" w:eastAsia="仿宋_GB2312" w:cs="仿宋_GB2312"/>
          <w:b w:val="0"/>
          <w:bCs w:val="0"/>
          <w:spacing w:val="-4"/>
          <w:sz w:val="32"/>
          <w:szCs w:val="32"/>
        </w:rPr>
        <w:t>万元，</w:t>
      </w:r>
      <w:r>
        <w:rPr>
          <w:rStyle w:val="8"/>
          <w:rFonts w:hint="eastAsia" w:ascii="仿宋_GB2312" w:hAnsi="仿宋_GB2312" w:eastAsia="仿宋_GB2312" w:cs="仿宋_GB2312"/>
          <w:b w:val="0"/>
          <w:bCs w:val="0"/>
          <w:spacing w:val="-4"/>
          <w:sz w:val="32"/>
          <w:szCs w:val="32"/>
          <w:lang w:val="en-US" w:eastAsia="zh-CN"/>
        </w:rPr>
        <w:t>未</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偏差原因：项目支出预算调整。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成本指标共计</w:t>
      </w:r>
      <w:r>
        <w:rPr>
          <w:rStyle w:val="8"/>
          <w:rFonts w:hint="eastAsia" w:ascii="仿宋_GB2312" w:hAnsi="仿宋_GB2312" w:eastAsia="仿宋_GB2312" w:cs="仿宋_GB2312"/>
          <w:b w:val="0"/>
          <w:bCs w:val="0"/>
          <w:spacing w:val="-4"/>
          <w:sz w:val="32"/>
          <w:szCs w:val="32"/>
          <w:lang w:val="en-US" w:eastAsia="zh-CN"/>
        </w:rPr>
        <w:t>4</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0</w:t>
      </w:r>
      <w:r>
        <w:rPr>
          <w:rStyle w:val="8"/>
          <w:rFonts w:hint="eastAsia" w:ascii="仿宋_GB2312" w:hAnsi="仿宋_GB2312" w:eastAsia="仿宋_GB2312" w:cs="仿宋_GB2312"/>
          <w:b w:val="0"/>
          <w:bCs w:val="0"/>
          <w:spacing w:val="-4"/>
          <w:sz w:val="32"/>
          <w:szCs w:val="32"/>
        </w:rPr>
        <w:t>个</w:t>
      </w:r>
      <w:r>
        <w:rPr>
          <w:rStyle w:val="8"/>
          <w:rFonts w:hint="eastAsia" w:ascii="仿宋_GB2312" w:hAnsi="仿宋_GB2312" w:eastAsia="仿宋_GB2312" w:cs="仿宋_GB2312"/>
          <w:b w:val="0"/>
          <w:bCs w:val="0"/>
          <w:spacing w:val="-4"/>
          <w:sz w:val="32"/>
          <w:szCs w:val="32"/>
          <w:lang w:eastAsia="zh-CN"/>
        </w:rPr>
        <w:t>，</w:t>
      </w:r>
      <w:r>
        <w:rPr>
          <w:rStyle w:val="8"/>
          <w:rFonts w:hint="eastAsia" w:ascii="仿宋_GB2312" w:hAnsi="仿宋_GB2312" w:eastAsia="仿宋_GB2312" w:cs="仿宋_GB2312"/>
          <w:b w:val="0"/>
          <w:bCs w:val="0"/>
          <w:spacing w:val="-4"/>
          <w:sz w:val="32"/>
          <w:szCs w:val="32"/>
          <w:lang w:val="en-US" w:eastAsia="zh-CN"/>
        </w:rPr>
        <w:t>未</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成本</w:t>
      </w:r>
      <w:r>
        <w:rPr>
          <w:rStyle w:val="8"/>
          <w:rFonts w:hint="eastAsia" w:ascii="仿宋_GB2312" w:hAnsi="仿宋_GB2312" w:eastAsia="仿宋_GB2312" w:cs="仿宋_GB2312"/>
          <w:b w:val="0"/>
          <w:bCs w:val="0"/>
          <w:spacing w:val="-4"/>
          <w:sz w:val="32"/>
          <w:szCs w:val="32"/>
        </w:rPr>
        <w:t>指标</w:t>
      </w:r>
      <w:r>
        <w:rPr>
          <w:rStyle w:val="8"/>
          <w:rFonts w:hint="eastAsia" w:ascii="仿宋_GB2312" w:hAnsi="仿宋_GB2312" w:eastAsia="仿宋_GB2312" w:cs="仿宋_GB2312"/>
          <w:b w:val="0"/>
          <w:bCs w:val="0"/>
          <w:spacing w:val="-4"/>
          <w:sz w:val="32"/>
          <w:szCs w:val="32"/>
          <w:lang w:val="en-US" w:eastAsia="zh-CN"/>
        </w:rPr>
        <w:t>未</w:t>
      </w:r>
      <w:r>
        <w:rPr>
          <w:rStyle w:val="8"/>
          <w:rFonts w:hint="eastAsia" w:ascii="仿宋_GB2312" w:hAnsi="仿宋_GB2312" w:eastAsia="仿宋_GB2312" w:cs="仿宋_GB2312"/>
          <w:b w:val="0"/>
          <w:bCs w:val="0"/>
          <w:spacing w:val="-4"/>
          <w:sz w:val="32"/>
          <w:szCs w:val="32"/>
        </w:rPr>
        <w:t>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w:t>
      </w:r>
      <w:r>
        <w:rPr>
          <w:rStyle w:val="8"/>
          <w:rFonts w:hint="eastAsia" w:ascii="方正楷体_GBK" w:hAnsi="方正楷体_GBK" w:eastAsia="方正楷体_GBK" w:cs="方正楷体_GBK"/>
          <w:b w:val="0"/>
          <w:bCs w:val="0"/>
          <w:spacing w:val="-4"/>
          <w:sz w:val="32"/>
          <w:szCs w:val="32"/>
        </w:rPr>
        <w:t>效益指标完成情况分析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项目实施的经济效益分析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项目实施的社会效益分析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提升社会公众服务能力指标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有效提升</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达成年度指标</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社会效益指标共计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个，达到预期目标，社会效益指标完成。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项目实施的生态效益分析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4.</w:t>
      </w:r>
      <w:r>
        <w:rPr>
          <w:rStyle w:val="8"/>
          <w:rFonts w:hint="eastAsia" w:ascii="仿宋_GB2312" w:hAnsi="仿宋_GB2312" w:eastAsia="仿宋_GB2312" w:cs="仿宋_GB2312"/>
          <w:b w:val="0"/>
          <w:bCs w:val="0"/>
          <w:spacing w:val="-4"/>
          <w:sz w:val="32"/>
          <w:szCs w:val="32"/>
        </w:rPr>
        <w:t>项目实施的可持续影响分析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保障单位日常工作正常开展指标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持续保障</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达成年度指标</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可持续影响</w:t>
      </w:r>
      <w:r>
        <w:rPr>
          <w:rStyle w:val="8"/>
          <w:rFonts w:hint="eastAsia" w:ascii="仿宋_GB2312" w:hAnsi="仿宋_GB2312" w:eastAsia="仿宋_GB2312" w:cs="仿宋_GB2312"/>
          <w:b w:val="0"/>
          <w:bCs w:val="0"/>
          <w:spacing w:val="-4"/>
          <w:sz w:val="32"/>
          <w:szCs w:val="32"/>
        </w:rPr>
        <w:t>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w:t>
      </w:r>
      <w:r>
        <w:rPr>
          <w:rStyle w:val="8"/>
          <w:rFonts w:hint="eastAsia" w:ascii="仿宋_GB2312" w:hAnsi="仿宋_GB2312" w:eastAsia="仿宋_GB2312" w:cs="仿宋_GB2312"/>
          <w:b w:val="0"/>
          <w:bCs w:val="0"/>
          <w:spacing w:val="-4"/>
          <w:sz w:val="32"/>
          <w:szCs w:val="32"/>
          <w:lang w:val="en-US" w:eastAsia="zh-CN"/>
        </w:rPr>
        <w:t>可持续影响</w:t>
      </w:r>
      <w:r>
        <w:rPr>
          <w:rStyle w:val="8"/>
          <w:rFonts w:hint="eastAsia" w:ascii="仿宋_GB2312" w:hAnsi="仿宋_GB2312" w:eastAsia="仿宋_GB2312" w:cs="仿宋_GB2312"/>
          <w:b w:val="0"/>
          <w:bCs w:val="0"/>
          <w:spacing w:val="-4"/>
          <w:sz w:val="32"/>
          <w:szCs w:val="32"/>
        </w:rPr>
        <w:t>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三）</w:t>
      </w:r>
      <w:r>
        <w:rPr>
          <w:rStyle w:val="8"/>
          <w:rFonts w:hint="eastAsia" w:ascii="方正楷体_GBK" w:hAnsi="方正楷体_GBK" w:eastAsia="方正楷体_GBK" w:cs="方正楷体_GBK"/>
          <w:b w:val="0"/>
          <w:bCs w:val="0"/>
          <w:spacing w:val="-4"/>
          <w:sz w:val="32"/>
          <w:szCs w:val="32"/>
        </w:rPr>
        <w:t>满意度指标完成情况分析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按计划完成项目实施，已做满意度调查抽样问卷，具体如下：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单位职工</w:t>
      </w:r>
      <w:r>
        <w:rPr>
          <w:rStyle w:val="8"/>
          <w:rFonts w:hint="eastAsia" w:ascii="仿宋_GB2312" w:hAnsi="仿宋_GB2312" w:eastAsia="仿宋_GB2312" w:cs="仿宋_GB2312"/>
          <w:b w:val="0"/>
          <w:bCs w:val="0"/>
          <w:spacing w:val="-4"/>
          <w:sz w:val="32"/>
          <w:szCs w:val="32"/>
        </w:rPr>
        <w:t>满意度</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大于等于95</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eastAsia="zh-CN"/>
        </w:rPr>
        <w:t>，</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受补助群众</w:t>
      </w:r>
      <w:r>
        <w:rPr>
          <w:rStyle w:val="8"/>
          <w:rFonts w:hint="eastAsia" w:ascii="仿宋_GB2312" w:hAnsi="仿宋_GB2312" w:eastAsia="仿宋_GB2312" w:cs="仿宋_GB2312"/>
          <w:b w:val="0"/>
          <w:bCs w:val="0"/>
          <w:spacing w:val="-4"/>
          <w:sz w:val="32"/>
          <w:szCs w:val="32"/>
        </w:rPr>
        <w:t>满意度</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大于等于95%</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eastAsia="zh-CN"/>
        </w:rPr>
        <w:t>，</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满意度指标共计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个，达到预期目标，服务对象满意度指标完成。</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存在的主要问题</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eastAsia" w:ascii="仿宋_GB2312" w:hAnsi="仿宋_GB2312" w:eastAsia="仿宋_GB2312" w:cs="仿宋_GB2312"/>
          <w:b w:val="0"/>
          <w:bCs w:val="0"/>
          <w:spacing w:val="-4"/>
          <w:kern w:val="2"/>
          <w:sz w:val="32"/>
          <w:szCs w:val="32"/>
          <w:lang w:val="en-US" w:eastAsia="zh-CN" w:bidi="ar-SA"/>
        </w:rPr>
      </w:pPr>
      <w:r>
        <w:rPr>
          <w:rStyle w:val="8"/>
          <w:rFonts w:hint="eastAsia" w:ascii="仿宋_GB2312" w:hAnsi="仿宋_GB2312" w:eastAsia="仿宋_GB2312" w:cs="仿宋_GB2312"/>
          <w:b w:val="0"/>
          <w:bCs w:val="0"/>
          <w:spacing w:val="-4"/>
          <w:kern w:val="2"/>
          <w:sz w:val="32"/>
          <w:szCs w:val="32"/>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default" w:ascii="仿宋_GB2312" w:hAnsi="仿宋_GB2312" w:eastAsia="仿宋_GB2312" w:cs="仿宋_GB2312"/>
          <w:b w:val="0"/>
          <w:bCs w:val="0"/>
          <w:spacing w:val="-4"/>
          <w:kern w:val="2"/>
          <w:sz w:val="32"/>
          <w:szCs w:val="32"/>
          <w:lang w:val="en-US" w:eastAsia="zh-CN" w:bidi="ar-SA"/>
        </w:rPr>
      </w:pPr>
      <w:r>
        <w:rPr>
          <w:rStyle w:val="8"/>
          <w:rFonts w:hint="eastAsia" w:ascii="仿宋_GB2312" w:hAnsi="仿宋_GB2312" w:eastAsia="仿宋_GB2312" w:cs="仿宋_GB2312"/>
          <w:b w:val="0"/>
          <w:bCs w:val="0"/>
          <w:spacing w:val="-4"/>
          <w:kern w:val="2"/>
          <w:sz w:val="32"/>
          <w:szCs w:val="32"/>
          <w:lang w:val="en-US" w:eastAsia="zh-CN" w:bidi="ar-SA"/>
        </w:rPr>
        <w:t>绩效指标的明确性、可衡量性、相关性还需进一步提升。预算精细化管理还需完善，预算编制管理水平仍有进一步提升的空间。</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改进措施和建议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（一）改进措施</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加大绩效工作宣传力度，强化绩效理念。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完善绩效指标，提高整体绩效目标质量。提升预算精细化管理水平。</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继续完善预算绩效管理相关工作制度，建立全过程预算绩效管理链条，有效贯彻落实全面实施绩效管理的精神。</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（二）建议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加强预算绩效目标管理工作。明确预算项目绩效目标编制要求，分类别建立科学合理、细化量化、可比可测预算绩效指标体系，突出结果导向，重点考核实绩。</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ascii="仿宋" w:hAnsi="仿宋" w:eastAsia="仿宋"/>
          <w:b w:val="0"/>
          <w:spacing w:val="-4"/>
          <w:sz w:val="32"/>
          <w:szCs w:val="32"/>
        </w:rPr>
      </w:pPr>
      <w:r>
        <w:rPr>
          <w:rStyle w:val="8"/>
          <w:rFonts w:hint="eastAsia" w:ascii="仿宋_GB2312" w:hAnsi="仿宋_GB2312" w:eastAsia="仿宋_GB2312" w:cs="仿宋_GB2312"/>
          <w:b w:val="0"/>
          <w:bCs w:val="0"/>
          <w:spacing w:val="-4"/>
          <w:sz w:val="32"/>
          <w:szCs w:val="32"/>
          <w:lang w:val="en-US" w:eastAsia="zh-CN"/>
        </w:rPr>
        <w:t>借助第三方专业机构力量，贯彻落实全面预算绩效管理工作，建立全过程预算绩效管理链条，将绩效各个环节紧密贯通。</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96A5269"/>
    <w:rsid w:val="098A3C0A"/>
    <w:rsid w:val="0C136E82"/>
    <w:rsid w:val="0FF06313"/>
    <w:rsid w:val="10E5540E"/>
    <w:rsid w:val="10FE60D7"/>
    <w:rsid w:val="14791F2D"/>
    <w:rsid w:val="17887664"/>
    <w:rsid w:val="179E27B9"/>
    <w:rsid w:val="18061B60"/>
    <w:rsid w:val="190C3DF8"/>
    <w:rsid w:val="1B403139"/>
    <w:rsid w:val="1C6D319F"/>
    <w:rsid w:val="1D4D74D6"/>
    <w:rsid w:val="1F2854B6"/>
    <w:rsid w:val="21C768CD"/>
    <w:rsid w:val="2276504E"/>
    <w:rsid w:val="22E14253"/>
    <w:rsid w:val="23247930"/>
    <w:rsid w:val="26092727"/>
    <w:rsid w:val="289437EE"/>
    <w:rsid w:val="2B267DDE"/>
    <w:rsid w:val="2EBF757D"/>
    <w:rsid w:val="31B83F5F"/>
    <w:rsid w:val="32653994"/>
    <w:rsid w:val="328E2AB6"/>
    <w:rsid w:val="329B12EA"/>
    <w:rsid w:val="33A83F87"/>
    <w:rsid w:val="36851B5C"/>
    <w:rsid w:val="36E45836"/>
    <w:rsid w:val="374A5D7E"/>
    <w:rsid w:val="376350E4"/>
    <w:rsid w:val="377C3ADF"/>
    <w:rsid w:val="37D360CA"/>
    <w:rsid w:val="3822416E"/>
    <w:rsid w:val="38D331DF"/>
    <w:rsid w:val="39AC4828"/>
    <w:rsid w:val="3A8B582C"/>
    <w:rsid w:val="3EB62461"/>
    <w:rsid w:val="417A34F9"/>
    <w:rsid w:val="41A37673"/>
    <w:rsid w:val="42C30950"/>
    <w:rsid w:val="449946F4"/>
    <w:rsid w:val="45786A07"/>
    <w:rsid w:val="468C2A4A"/>
    <w:rsid w:val="46AD2493"/>
    <w:rsid w:val="46EC7F14"/>
    <w:rsid w:val="47D32FE9"/>
    <w:rsid w:val="48AF4C7F"/>
    <w:rsid w:val="4B260339"/>
    <w:rsid w:val="4CC12BD4"/>
    <w:rsid w:val="4DA177B2"/>
    <w:rsid w:val="4DF36D4F"/>
    <w:rsid w:val="501B7C76"/>
    <w:rsid w:val="559558A4"/>
    <w:rsid w:val="56F56F39"/>
    <w:rsid w:val="57232FC4"/>
    <w:rsid w:val="572D2326"/>
    <w:rsid w:val="59926E3E"/>
    <w:rsid w:val="59EE1E48"/>
    <w:rsid w:val="5A490F5C"/>
    <w:rsid w:val="5A760FE8"/>
    <w:rsid w:val="5BAF7BB9"/>
    <w:rsid w:val="5BDE2B83"/>
    <w:rsid w:val="5E6C0E56"/>
    <w:rsid w:val="61635F72"/>
    <w:rsid w:val="618606C5"/>
    <w:rsid w:val="6E58438A"/>
    <w:rsid w:val="71EB22B3"/>
    <w:rsid w:val="748A4F72"/>
    <w:rsid w:val="75664078"/>
    <w:rsid w:val="761E4132"/>
    <w:rsid w:val="76DC5269"/>
    <w:rsid w:val="78061A79"/>
    <w:rsid w:val="7FDB1E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bCs/>
    </w:rPr>
  </w:style>
  <w:style w:type="paragraph" w:styleId="9">
    <w:name w:val="List Paragraph"/>
    <w:basedOn w:val="1"/>
    <w:unhideWhenUsed/>
    <w:qFormat/>
    <w:uiPriority w:val="99"/>
    <w:pPr>
      <w:ind w:firstLine="420" w:firstLineChars="200"/>
    </w:pPr>
  </w:style>
  <w:style w:type="character" w:customStyle="1" w:styleId="10">
    <w:name w:val="页脚 字符"/>
    <w:basedOn w:val="7"/>
    <w:link w:val="3"/>
    <w:qFormat/>
    <w:uiPriority w:val="99"/>
    <w:rPr>
      <w:sz w:val="18"/>
      <w:szCs w:val="18"/>
    </w:rPr>
  </w:style>
  <w:style w:type="character" w:customStyle="1" w:styleId="11">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6</Pages>
  <Words>637</Words>
  <Characters>712</Characters>
  <Lines>7</Lines>
  <Paragraphs>2</Paragraphs>
  <TotalTime>0</TotalTime>
  <ScaleCrop>false</ScaleCrop>
  <LinksUpToDate>false</LinksUpToDate>
  <CharactersWithSpaces>749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2021-02-24T14:26:00Z</dcterms:created>
  <dc:creator>ght-pc</dc:creator>
  <cp:lastModifiedBy>ght-pc</cp:lastModifiedBy>
  <dcterms:modified xsi:type="dcterms:W3CDTF">2021-05-22T17:40:43Z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